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2390/17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exact" w:line="240"/>
        <w:ind w:end="0"/>
        <w:jc w:val="start"/>
        <w:rPr>
          <w:rFonts w:cs="Miriam"/>
          <w:b/>
          <w:bCs/>
          <w:sz w:val="48"/>
          <w:szCs w:val="56"/>
        </w:rPr>
      </w:pPr>
      <w:r>
        <w:rPr>
          <w:rFonts w:cs="Miriam"/>
          <w:b/>
          <w:bCs/>
          <w:sz w:val="48"/>
          <w:szCs w:val="5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וחיד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מרזיק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פרקש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273-10-15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2014</w:t>
            </w:r>
          </w:p>
        </w:tc>
      </w:tr>
    </w:tbl>
    <w:p>
      <w:pPr>
        <w:pStyle w:val="Ruller31"/>
        <w:ind w:end="0"/>
        <w:jc w:val="start"/>
        <w:rPr>
          <w:sz w:val="40"/>
          <w:szCs w:val="48"/>
        </w:rPr>
      </w:pPr>
      <w:r>
        <w:rPr>
          <w:sz w:val="40"/>
          <w:szCs w:val="48"/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32"/>
          <w:szCs w:val="40"/>
        </w:rPr>
      </w:pPr>
      <w:r>
        <w:rPr>
          <w:rFonts w:cs="Times New Roman"/>
          <w:sz w:val="32"/>
          <w:szCs w:val="40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ורשלנות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נפיץ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התפרעות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וגניבה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העלולים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היציאה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ייאלץ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שיגויס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ולביקורו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במוזיאון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חיזבאללה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ותרומתו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4" w:name="Writer_Name"/>
      <w:bookmarkEnd w:id="14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bookmarkStart w:id="15" w:name="Start_Write"/>
      <w:bookmarkEnd w:id="15"/>
      <w:r>
        <w:rPr>
          <w:rFonts w:cs="Times New Roman" w:ascii="Times New Roman" w:hAnsi="Times New Roman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הנשיא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פרקש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שבגדרו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ומאסרים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העובדות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הורשע על יסוד הודאתו במסגרת הסדר טיעון בעבירות של יציאה שלא כדין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הסתננות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ושיפוט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; </w:t>
      </w:r>
      <w:r>
        <w:rPr>
          <w:rtl w:val="true"/>
        </w:rPr>
        <w:t xml:space="preserve">ניסיון הצתה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 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החזקת נשק 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 לחוק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עבירות של ניסיון לתקיפת שוטר בנסיבות מחמירות לפי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שתי עבירות של מעשי פזיזות ורשלנות בחומר נפיץ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שלוש עבירות של התפרעות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וגניבה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לפי האישום הראשון בכתב האישום המתוקן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 xml:space="preserve">המערער החליט לצאת ללבנון לצורך השתתפות במחנה צעירים ממוצא ערבי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המחנה</w:t>
      </w:r>
      <w:r>
        <w:rPr>
          <w:rtl w:val="true"/>
        </w:rPr>
        <w:t xml:space="preserve">), </w:t>
      </w:r>
      <w:r>
        <w:rPr>
          <w:rtl w:val="true"/>
        </w:rPr>
        <w:t>שאורכו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25.7.2015</w:t>
      </w:r>
      <w:r>
        <w:rPr>
          <w:rtl w:val="true"/>
        </w:rPr>
        <w:t xml:space="preserve"> </w:t>
      </w:r>
      <w:r>
        <w:rPr>
          <w:rtl w:val="true"/>
        </w:rPr>
        <w:t>יצא המערער לירדן דרך גשר אלנבי</w:t>
      </w:r>
      <w:r>
        <w:rPr>
          <w:rtl w:val="true"/>
        </w:rPr>
        <w:t xml:space="preserve">; </w:t>
      </w:r>
      <w:r>
        <w:rPr>
          <w:rtl w:val="true"/>
        </w:rPr>
        <w:t xml:space="preserve">וביום </w:t>
      </w:r>
      <w:r>
        <w:rPr/>
        <w:t>28.7.2015</w:t>
      </w:r>
      <w:r>
        <w:rPr>
          <w:rtl w:val="true"/>
        </w:rPr>
        <w:t xml:space="preserve"> </w:t>
      </w:r>
      <w:r>
        <w:rPr>
          <w:rtl w:val="true"/>
        </w:rPr>
        <w:t>טס מירדן ללבנון</w:t>
      </w:r>
      <w:r>
        <w:rPr>
          <w:rtl w:val="true"/>
        </w:rPr>
        <w:t xml:space="preserve">. </w:t>
      </w:r>
      <w:r>
        <w:rPr>
          <w:rtl w:val="true"/>
        </w:rPr>
        <w:t>במהלך שהותו בלבנון והשתתפותו במחנה ביקר המערער בפארק מליטה</w:t>
      </w:r>
      <w:r>
        <w:rPr>
          <w:rtl w:val="true"/>
        </w:rPr>
        <w:t xml:space="preserve">, </w:t>
      </w:r>
      <w:r>
        <w:rPr>
          <w:rtl w:val="true"/>
        </w:rPr>
        <w:t>מוזיאון השייך לארגון חיזבאללה</w:t>
      </w:r>
      <w:r>
        <w:rPr>
          <w:rtl w:val="true"/>
        </w:rPr>
        <w:t xml:space="preserve">, </w:t>
      </w:r>
      <w:r>
        <w:rPr>
          <w:rtl w:val="true"/>
        </w:rPr>
        <w:t>שבו נטל המערער חלק בפעילות הסברה בנוגע לפעולות הארגון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8.8.2015</w:t>
      </w:r>
      <w:r>
        <w:rPr>
          <w:rtl w:val="true"/>
        </w:rPr>
        <w:t xml:space="preserve"> </w:t>
      </w:r>
      <w:r>
        <w:rPr>
          <w:rtl w:val="true"/>
        </w:rPr>
        <w:t>שהה המערער בביירות למשך יומיים</w:t>
      </w:r>
      <w:r>
        <w:rPr>
          <w:rtl w:val="true"/>
        </w:rPr>
        <w:t xml:space="preserve">;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10.8.2015</w:t>
      </w:r>
      <w:r>
        <w:rPr>
          <w:rtl w:val="true"/>
        </w:rPr>
        <w:t xml:space="preserve">, </w:t>
      </w:r>
      <w:r>
        <w:rPr>
          <w:rtl w:val="true"/>
        </w:rPr>
        <w:t>טס המערער לירדן</w:t>
      </w:r>
      <w:r>
        <w:rPr>
          <w:rtl w:val="true"/>
        </w:rPr>
        <w:t xml:space="preserve">, </w:t>
      </w:r>
      <w:r>
        <w:rPr>
          <w:rtl w:val="true"/>
        </w:rPr>
        <w:t xml:space="preserve">ומשם שב לישראל דרך גשר אלנבי ביום </w:t>
      </w:r>
      <w:r>
        <w:rPr/>
        <w:t>11.8.2015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האישום השני בכתב האישום</w:t>
      </w:r>
      <w:r>
        <w:rPr>
          <w:rtl w:val="true"/>
        </w:rPr>
        <w:t xml:space="preserve">, </w:t>
      </w:r>
      <w:r>
        <w:rPr>
          <w:rtl w:val="true"/>
        </w:rPr>
        <w:t>המערער השתתף במספר הזדמנויות בהתפרעויות שכוונו נגד כוחות הביטחון</w:t>
      </w:r>
      <w:r>
        <w:rPr>
          <w:rtl w:val="true"/>
        </w:rPr>
        <w:t xml:space="preserve">: </w:t>
      </w:r>
      <w:r>
        <w:rPr>
          <w:rtl w:val="true"/>
        </w:rPr>
        <w:t xml:space="preserve">ביום </w:t>
      </w:r>
      <w:r>
        <w:rPr/>
        <w:t>4.7.2014</w:t>
      </w:r>
      <w:r>
        <w:rPr>
          <w:rtl w:val="true"/>
        </w:rPr>
        <w:t xml:space="preserve">, </w:t>
      </w:r>
      <w:r>
        <w:rPr>
          <w:rtl w:val="true"/>
        </w:rPr>
        <w:t>יום לוויית מוחמד אבו חדיר המנוח</w:t>
      </w:r>
      <w:r>
        <w:rPr>
          <w:rtl w:val="true"/>
        </w:rPr>
        <w:t xml:space="preserve">, </w:t>
      </w:r>
      <w:r>
        <w:rPr>
          <w:rtl w:val="true"/>
        </w:rPr>
        <w:t>השתתף המערער בשעות הצהריים בהתקהלות אסורה יחד עם אחרים</w:t>
      </w:r>
      <w:r>
        <w:rPr>
          <w:rtl w:val="true"/>
        </w:rPr>
        <w:t xml:space="preserve">, </w:t>
      </w:r>
      <w:r>
        <w:rPr>
          <w:rtl w:val="true"/>
        </w:rPr>
        <w:t>לשם הפרות סדר</w:t>
      </w:r>
      <w:r>
        <w:rPr>
          <w:rtl w:val="true"/>
        </w:rPr>
        <w:t xml:space="preserve">, </w:t>
      </w:r>
      <w:r>
        <w:rPr>
          <w:rtl w:val="true"/>
        </w:rPr>
        <w:t xml:space="preserve">באזור הסמוך לאוהל האבלים בשועפט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האבלים</w:t>
      </w:r>
      <w:r>
        <w:rPr>
          <w:rtl w:val="true"/>
        </w:rPr>
        <w:t xml:space="preserve">). </w:t>
      </w:r>
      <w:r>
        <w:rPr>
          <w:rtl w:val="true"/>
        </w:rPr>
        <w:t>במהלך ההתפרעות</w:t>
      </w:r>
      <w:r>
        <w:rPr>
          <w:rtl w:val="true"/>
        </w:rPr>
        <w:t xml:space="preserve">, </w:t>
      </w:r>
      <w:r>
        <w:rPr>
          <w:rtl w:val="true"/>
        </w:rPr>
        <w:t xml:space="preserve">יידה המערער בצוותא חדא עם שני אחרים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בקבוקי תבערה לעבר כוחות הביטחון שעמדו במרחק של 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כאשר המערער עצמו יידה בקבוק תבערה אחד</w:t>
      </w:r>
      <w:r>
        <w:rPr>
          <w:rtl w:val="true"/>
        </w:rPr>
        <w:t xml:space="preserve">. </w:t>
      </w:r>
      <w:r>
        <w:rPr>
          <w:rtl w:val="true"/>
        </w:rPr>
        <w:t>בהמשך היום</w:t>
      </w:r>
      <w:r>
        <w:rPr>
          <w:rtl w:val="true"/>
        </w:rPr>
        <w:t xml:space="preserve">, </w:t>
      </w:r>
      <w:r>
        <w:rPr>
          <w:rtl w:val="true"/>
        </w:rPr>
        <w:t>בשעות אחר הצהריים</w:t>
      </w:r>
      <w:r>
        <w:rPr>
          <w:rtl w:val="true"/>
        </w:rPr>
        <w:t xml:space="preserve">, </w:t>
      </w:r>
      <w:r>
        <w:rPr>
          <w:rtl w:val="true"/>
        </w:rPr>
        <w:t>בסמוך למועד הלוויה</w:t>
      </w:r>
      <w:r>
        <w:rPr>
          <w:rtl w:val="true"/>
        </w:rPr>
        <w:t xml:space="preserve">, </w:t>
      </w:r>
      <w:r>
        <w:rPr>
          <w:rtl w:val="true"/>
        </w:rPr>
        <w:t>השתתף המערער בהתקהלות אסורה יחד עם לפחות שלושה אחרים לשם הפרות סדר באזור הסמוך לאוהל האבלים</w:t>
      </w:r>
      <w:r>
        <w:rPr>
          <w:rtl w:val="true"/>
        </w:rPr>
        <w:t xml:space="preserve">, </w:t>
      </w:r>
      <w:r>
        <w:rPr>
          <w:rtl w:val="true"/>
        </w:rPr>
        <w:t>שבמהלכה יידה אבנים וירה זיקוקים לעבר כוחות הביטחון שהיו במרחק של 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 xml:space="preserve">מטרים מהמערער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על 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24.7.2014</w:t>
      </w:r>
      <w:r>
        <w:rPr>
          <w:rtl w:val="true"/>
        </w:rPr>
        <w:t xml:space="preserve">, </w:t>
      </w:r>
      <w:r>
        <w:rPr>
          <w:rtl w:val="true"/>
        </w:rPr>
        <w:t xml:space="preserve">שבו חל </w:t>
      </w:r>
      <w:r>
        <w:rPr>
          <w:rtl w:val="true"/>
        </w:rPr>
        <w:t>"</w:t>
      </w:r>
      <w:r>
        <w:rPr>
          <w:rtl w:val="true"/>
        </w:rPr>
        <w:t>לילת אל קאדר</w:t>
      </w:r>
      <w:r>
        <w:rPr>
          <w:rtl w:val="true"/>
        </w:rPr>
        <w:t xml:space="preserve">" </w:t>
      </w:r>
      <w:r>
        <w:rPr>
          <w:rtl w:val="true"/>
        </w:rPr>
        <w:t>השתתף המערער בהתקהלות אסורה יחד עם עשרות אחרים לשם הפרות סדר במתחם הר הבית בירושלים</w:t>
      </w:r>
      <w:r>
        <w:rPr>
          <w:rtl w:val="true"/>
        </w:rPr>
        <w:t xml:space="preserve">. </w:t>
      </w:r>
      <w:r>
        <w:rPr>
          <w:rtl w:val="true"/>
        </w:rPr>
        <w:t>במהלך ההתפרעות יודו אבנים וזיקוקים לעבר כוחות הביטחון</w:t>
      </w:r>
      <w:r>
        <w:rPr>
          <w:rtl w:val="true"/>
        </w:rPr>
        <w:t xml:space="preserve">, </w:t>
      </w:r>
      <w:r>
        <w:rPr>
          <w:rtl w:val="true"/>
        </w:rPr>
        <w:t xml:space="preserve">וכמו כן נפרצה תחנת משטרה סמוכה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התחנה</w:t>
      </w:r>
      <w:r>
        <w:rPr>
          <w:rtl w:val="true"/>
        </w:rPr>
        <w:t xml:space="preserve">) </w:t>
      </w:r>
      <w:r>
        <w:rPr>
          <w:rtl w:val="true"/>
        </w:rPr>
        <w:t>על ידי מתפרעים ששברו והציתו את הציוד במקום</w:t>
      </w:r>
      <w:r>
        <w:rPr>
          <w:rtl w:val="true"/>
        </w:rPr>
        <w:t xml:space="preserve">. </w:t>
      </w:r>
      <w:r>
        <w:rPr>
          <w:rtl w:val="true"/>
        </w:rPr>
        <w:t>המערער נכנס לתחנה ולקח ממנה מגן השייך למשטרת ישראל</w:t>
      </w:r>
      <w:r>
        <w:rPr>
          <w:rtl w:val="true"/>
        </w:rPr>
        <w:t xml:space="preserve">, </w:t>
      </w:r>
      <w:r>
        <w:rPr>
          <w:rtl w:val="true"/>
        </w:rPr>
        <w:t xml:space="preserve">ללא הסכמה וכשהוא מתכוון לשלול את המגן מבעליו שלילת קבע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20.5.2015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היום שבו נורה עמר אבו דהים שביצע פיגוע דריסה בא</w:t>
      </w:r>
      <w:r>
        <w:rPr>
          <w:rtl w:val="true"/>
        </w:rPr>
        <w:t>-</w:t>
      </w:r>
      <w:r>
        <w:rPr>
          <w:rtl w:val="true"/>
        </w:rPr>
        <w:t xml:space="preserve">טור 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 xml:space="preserve"> השתתף המערער בהתקהלות אסורה יחד עם עשרות נוספים בג</w:t>
      </w:r>
      <w:r>
        <w:rPr>
          <w:rtl w:val="true"/>
        </w:rPr>
        <w:t>'</w:t>
      </w:r>
      <w:r>
        <w:rPr>
          <w:rtl w:val="true"/>
        </w:rPr>
        <w:t>בל מוכבר</w:t>
      </w:r>
      <w:r>
        <w:rPr>
          <w:rtl w:val="true"/>
        </w:rPr>
        <w:t xml:space="preserve">, </w:t>
      </w:r>
      <w:r>
        <w:rPr>
          <w:rtl w:val="true"/>
        </w:rPr>
        <w:t>לשם הפרות סדר</w:t>
      </w:r>
      <w:r>
        <w:rPr>
          <w:rtl w:val="true"/>
        </w:rPr>
        <w:t xml:space="preserve">. </w:t>
      </w:r>
      <w:r>
        <w:rPr>
          <w:rtl w:val="true"/>
        </w:rPr>
        <w:t>במהלך ההתפרעות יידה המערער</w:t>
      </w:r>
      <w:r>
        <w:rPr>
          <w:rtl w:val="true"/>
        </w:rPr>
        <w:t xml:space="preserve">, </w:t>
      </w:r>
      <w:r>
        <w:rPr>
          <w:rtl w:val="true"/>
        </w:rPr>
        <w:t>יחד עם אחרים</w:t>
      </w:r>
      <w:r>
        <w:rPr>
          <w:rtl w:val="true"/>
        </w:rPr>
        <w:t xml:space="preserve">, </w:t>
      </w:r>
      <w:r>
        <w:rPr>
          <w:rtl w:val="true"/>
        </w:rPr>
        <w:t xml:space="preserve">אבנים לעבר כוחות הביטחון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יוער כי בתחילה טען המערער שאין להאשימו באישום הראשון</w:t>
      </w:r>
      <w:r>
        <w:rPr>
          <w:rtl w:val="true"/>
        </w:rPr>
        <w:t xml:space="preserve">, </w:t>
      </w:r>
      <w:r>
        <w:rPr>
          <w:rtl w:val="true"/>
        </w:rPr>
        <w:t>בין היתר מחמת אכיפה בררנית</w:t>
      </w:r>
      <w:r>
        <w:rPr>
          <w:rtl w:val="true"/>
        </w:rPr>
        <w:t xml:space="preserve">; </w:t>
      </w:r>
      <w:r>
        <w:rPr>
          <w:rtl w:val="true"/>
        </w:rPr>
        <w:t>וכי האישום השני מבוסס על הודאות שנגבו ממנו שלא כדין עת נחקר בנוגע לאישום הראשון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התדיינות בין הצדדים</w:t>
      </w:r>
      <w:r>
        <w:rPr>
          <w:rtl w:val="true"/>
        </w:rPr>
        <w:t xml:space="preserve">, </w:t>
      </w:r>
      <w:r>
        <w:rPr>
          <w:rtl w:val="true"/>
        </w:rPr>
        <w:t>הודה המערער באישום השני ובעובדות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>כשהוא שומר על זכותו לטעון לזיכוי מהאישום הראשון</w:t>
      </w:r>
      <w:r>
        <w:rPr>
          <w:rtl w:val="true"/>
        </w:rPr>
        <w:t xml:space="preserve">. </w:t>
      </w: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באישום השני ביום </w:t>
      </w:r>
      <w:r>
        <w:rPr/>
        <w:t>1.5.2016</w:t>
      </w:r>
      <w:r>
        <w:rPr>
          <w:rtl w:val="true"/>
        </w:rPr>
        <w:t xml:space="preserve">; </w:t>
      </w:r>
      <w:r>
        <w:rPr>
          <w:rtl w:val="true"/>
        </w:rPr>
        <w:t xml:space="preserve">וביום </w:t>
      </w:r>
      <w:r>
        <w:rPr/>
        <w:t>23.11.2016</w:t>
      </w:r>
      <w:r>
        <w:rPr>
          <w:rtl w:val="true"/>
        </w:rPr>
        <w:t xml:space="preserve">, </w:t>
      </w:r>
      <w:r>
        <w:rPr>
          <w:rtl w:val="true"/>
        </w:rPr>
        <w:t>לאחר שנדחו טענותיו המקדמיות לגבי האישום הראשון</w:t>
      </w:r>
      <w:r>
        <w:rPr>
          <w:rtl w:val="true"/>
        </w:rPr>
        <w:t xml:space="preserve">, </w:t>
      </w:r>
      <w:r>
        <w:rPr>
          <w:rtl w:val="true"/>
        </w:rPr>
        <w:t>הורשע המערער אף בגינו</w:t>
      </w:r>
      <w:r>
        <w:rPr>
          <w:rtl w:val="true"/>
        </w:rPr>
        <w:t xml:space="preserve">, </w:t>
      </w:r>
      <w:r>
        <w:rPr>
          <w:rtl w:val="true"/>
        </w:rPr>
        <w:t>על יסוד הודאתו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על הכנת תסקיר שירות המבחן בעניינו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 xml:space="preserve">). </w:t>
      </w:r>
      <w:r>
        <w:rPr>
          <w:rtl w:val="true"/>
        </w:rPr>
        <w:t xml:space="preserve">בתסקיר מיום </w:t>
      </w:r>
      <w:r>
        <w:rPr/>
        <w:t>10.1.2017</w:t>
      </w:r>
      <w:r>
        <w:rPr>
          <w:rtl w:val="true"/>
        </w:rPr>
        <w:t xml:space="preserve"> (</w:t>
      </w:r>
      <w:r>
        <w:rPr>
          <w:rtl w:val="true"/>
        </w:rPr>
        <w:t xml:space="preserve">שהוגש לבית המשפט ביום </w:t>
      </w:r>
      <w:r>
        <w:rPr/>
        <w:t>15.1.2017</w:t>
      </w:r>
      <w:r>
        <w:rPr>
          <w:rtl w:val="true"/>
        </w:rPr>
        <w:t xml:space="preserve">)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היה סטודנט בשנתו השלישית ללימודי משפטים טרם מעצרו</w:t>
      </w:r>
      <w:r>
        <w:rPr>
          <w:rtl w:val="true"/>
        </w:rPr>
        <w:t xml:space="preserve">; </w:t>
      </w:r>
      <w:r>
        <w:rPr>
          <w:rtl w:val="true"/>
        </w:rPr>
        <w:t xml:space="preserve">וכי נישא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לפני מעצרו</w:t>
      </w:r>
      <w:r>
        <w:rPr>
          <w:rtl w:val="true"/>
        </w:rPr>
        <w:t xml:space="preserve">. </w:t>
      </w:r>
      <w:r>
        <w:rPr>
          <w:rtl w:val="true"/>
        </w:rPr>
        <w:t>עובר למעצרו עבד המערער בעבודות מזדמנות ועסק בפעילות התנדבותית עם ילדים</w:t>
      </w:r>
      <w:r>
        <w:rPr>
          <w:rtl w:val="true"/>
        </w:rPr>
        <w:t xml:space="preserve">. </w:t>
      </w:r>
      <w:r>
        <w:rPr>
          <w:rtl w:val="true"/>
        </w:rPr>
        <w:t>על כך הוסף כי מצבה הכלכלי של משפחת המערער משביע רצון</w:t>
      </w:r>
      <w:r>
        <w:rPr>
          <w:rtl w:val="true"/>
        </w:rPr>
        <w:t xml:space="preserve">, </w:t>
      </w:r>
      <w:r>
        <w:rPr>
          <w:rtl w:val="true"/>
        </w:rPr>
        <w:t>וכי לבני המשפחה אין עבר פלילי</w:t>
      </w:r>
      <w:r>
        <w:rPr>
          <w:rtl w:val="true"/>
        </w:rPr>
        <w:t xml:space="preserve">. </w:t>
      </w:r>
      <w:r>
        <w:rPr>
          <w:rtl w:val="true"/>
        </w:rPr>
        <w:t>עוד צוין כי המערער נעדר עבר פלילי פרט לאישומים האמורים לעיל שבהם הורשע</w:t>
      </w:r>
      <w:r>
        <w:rPr>
          <w:rtl w:val="true"/>
        </w:rPr>
        <w:t xml:space="preserve">. </w:t>
      </w:r>
      <w:r>
        <w:rPr>
          <w:rtl w:val="true"/>
        </w:rPr>
        <w:t>שירות המבחן עמד על כך שהמערער גילה לאורך חייו יכולות תפקוד טובות</w:t>
      </w:r>
      <w:r>
        <w:rPr>
          <w:rtl w:val="true"/>
        </w:rPr>
        <w:t xml:space="preserve">, </w:t>
      </w:r>
      <w:r>
        <w:rPr>
          <w:rtl w:val="true"/>
        </w:rPr>
        <w:t>כי הוא נוטל אחריות מלאה על ביצוע העבירות ומצר על ביצוען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ציין שירות המבחן כי למערער מאפייני אישיות ילדותיים ובלתי בשלים וכי זהותו העצמית אינה מגובשת</w:t>
      </w:r>
      <w:r>
        <w:rPr>
          <w:rtl w:val="true"/>
        </w:rPr>
        <w:t xml:space="preserve">. </w:t>
      </w:r>
      <w:r>
        <w:rPr>
          <w:rtl w:val="true"/>
        </w:rPr>
        <w:t>על כך הוסף</w:t>
      </w:r>
      <w:r>
        <w:rPr>
          <w:rtl w:val="true"/>
        </w:rPr>
        <w:t xml:space="preserve">, </w:t>
      </w:r>
      <w:r>
        <w:rPr>
          <w:rtl w:val="true"/>
        </w:rPr>
        <w:t>כי המערער פעל באופן אלים מבלי לקחת בחשבון את הפגיעה באחרים לכאורה בשם אידיאולוגיה שאימץ באותה העת</w:t>
      </w:r>
      <w:r>
        <w:rPr>
          <w:rtl w:val="true"/>
        </w:rPr>
        <w:t xml:space="preserve">, </w:t>
      </w:r>
      <w:r>
        <w:rPr>
          <w:rtl w:val="true"/>
        </w:rPr>
        <w:t>ששימשה</w:t>
      </w:r>
      <w:r>
        <w:rPr>
          <w:rtl w:val="true"/>
        </w:rPr>
        <w:t xml:space="preserve">, </w:t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אמצעי להתחברות ושייכות חברתית והשגת תחושת משמעות וערך עצמי</w:t>
      </w:r>
      <w:r>
        <w:rPr>
          <w:rtl w:val="true"/>
        </w:rPr>
        <w:t xml:space="preserve">. </w:t>
      </w:r>
      <w:r>
        <w:rPr>
          <w:rtl w:val="true"/>
        </w:rPr>
        <w:t>לעמדת שירות המבחן</w:t>
      </w:r>
      <w:r>
        <w:rPr>
          <w:rtl w:val="true"/>
        </w:rPr>
        <w:t xml:space="preserve">, </w:t>
      </w:r>
      <w:r>
        <w:rPr>
          <w:rtl w:val="true"/>
        </w:rPr>
        <w:t>התנהגות זו אינה מייצגת את הערכים שעליהם גדל המערער ואת התנהגות בני משפחתו</w:t>
      </w:r>
      <w:r>
        <w:rPr>
          <w:rtl w:val="true"/>
        </w:rPr>
        <w:t xml:space="preserve">. </w:t>
      </w:r>
      <w:r>
        <w:rPr>
          <w:rtl w:val="true"/>
        </w:rPr>
        <w:t>בהתבסס על האמור</w:t>
      </w:r>
      <w:r>
        <w:rPr>
          <w:rtl w:val="true"/>
        </w:rPr>
        <w:t xml:space="preserve">, </w:t>
      </w:r>
      <w:r>
        <w:rPr>
          <w:rtl w:val="true"/>
        </w:rPr>
        <w:t>הוער כי המערער הוא צעיר בעל כוחות ומשאבים פנימיים חיוביים לתפקוד תקין</w:t>
      </w:r>
      <w:r>
        <w:rPr>
          <w:rtl w:val="true"/>
        </w:rPr>
        <w:t xml:space="preserve">, </w:t>
      </w:r>
      <w:r>
        <w:rPr>
          <w:rtl w:val="true"/>
        </w:rPr>
        <w:t>שביצע את העבירות כחלק מתהליך גיבוש זהותו העצמית</w:t>
      </w:r>
      <w:r>
        <w:rPr>
          <w:rtl w:val="true"/>
        </w:rPr>
        <w:t xml:space="preserve">; </w:t>
      </w:r>
      <w:r>
        <w:rPr>
          <w:rtl w:val="true"/>
        </w:rPr>
        <w:t>וכי זמן המעצר הממושך</w:t>
      </w:r>
      <w:r>
        <w:rPr>
          <w:rtl w:val="true"/>
        </w:rPr>
        <w:t xml:space="preserve">, </w:t>
      </w:r>
      <w:r>
        <w:rPr>
          <w:rtl w:val="true"/>
        </w:rPr>
        <w:t>הביקורת המשפחתית הקשה שספג המערער בגין העבירות וההליכים המשפטיים שמתנהלים נגדו מהווים גורמים הרתעתיים משמעותיים מפני ביצוע עבירות דומות בעתיד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יש לקחת שיקול זה בחשבון לצד תקופת מעצרו של המערער</w:t>
      </w:r>
      <w:r>
        <w:rPr>
          <w:rtl w:val="true"/>
        </w:rPr>
        <w:t xml:space="preserve">; </w:t>
      </w:r>
      <w:r>
        <w:rPr>
          <w:rtl w:val="true"/>
        </w:rPr>
        <w:t>אך כי המערער לא בשל להליך טיפולי והוא עצמו אף לא זיהה צורך בהתגייסות לטיפול כאמור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בעניינו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30.1.2017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עונשו של המערער תוך שקבע כי המעשים המתוארים באישום הראשון והמעשים המתוארים באישום השני הם אירועים נפרדים לעניין 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בצד זאת נקבע כי בכל הנוגע לאישום השני</w:t>
      </w:r>
      <w:r>
        <w:rPr>
          <w:rtl w:val="true"/>
        </w:rPr>
        <w:t xml:space="preserve">, </w:t>
      </w:r>
      <w:r>
        <w:rPr>
          <w:rtl w:val="true"/>
        </w:rPr>
        <w:t>יש לראות באירועים הראשון והשני</w:t>
      </w:r>
      <w:r>
        <w:rPr>
          <w:rtl w:val="true"/>
        </w:rPr>
        <w:t xml:space="preserve">, </w:t>
      </w:r>
      <w:r>
        <w:rPr>
          <w:rtl w:val="true"/>
        </w:rPr>
        <w:t xml:space="preserve">שאירעו בחודש יולי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אירוע אחד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סמיכות הזמנים ביניהם והיותם חלק מההתלהטות בעקבות רציחת הנער מוחמד אבו חדיר</w:t>
      </w:r>
      <w:r>
        <w:rPr>
          <w:rtl w:val="true"/>
        </w:rPr>
        <w:t xml:space="preserve">, </w:t>
      </w:r>
      <w:r>
        <w:rPr>
          <w:rtl w:val="true"/>
        </w:rPr>
        <w:t>שהובילה לשרשרת התפרעויות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נקבע שהאירוע השלישי באישום השני הוא אירוע נפרד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הוסיף וקבע כי מכלול העבירות שבהן הורשע המערער בוצעו כהתרסה נגד גופי המדינה והביטחון</w:t>
      </w:r>
      <w:r>
        <w:rPr>
          <w:rtl w:val="true"/>
        </w:rPr>
        <w:t xml:space="preserve">, </w:t>
      </w:r>
      <w:r>
        <w:rPr>
          <w:rtl w:val="true"/>
        </w:rPr>
        <w:t>ומתוך רצון לפגוע בסדרי הממשל</w:t>
      </w:r>
      <w:r>
        <w:rPr>
          <w:rtl w:val="true"/>
        </w:rPr>
        <w:t xml:space="preserve">. </w:t>
      </w:r>
      <w:r>
        <w:rPr>
          <w:rtl w:val="true"/>
        </w:rPr>
        <w:t>בית המשפט עמד על הערכים המוגנים השונים שנפגעו כתוצאה ממעשי המערער ובהם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הפגיעה בסדרי השלטון והמשפט שגרמה עבירת היציאה מישראל שלא כדין</w:t>
      </w:r>
      <w:r>
        <w:rPr>
          <w:rtl w:val="true"/>
        </w:rPr>
        <w:t xml:space="preserve">; </w:t>
      </w:r>
      <w:r>
        <w:rPr>
          <w:rtl w:val="true"/>
        </w:rPr>
        <w:t>הפגיעה בערך ההגנה על הרכוש בעבירות הגניבה וניסיון ההצתה</w:t>
      </w:r>
      <w:r>
        <w:rPr>
          <w:rtl w:val="true"/>
        </w:rPr>
        <w:t xml:space="preserve">, </w:t>
      </w:r>
      <w:r>
        <w:rPr>
          <w:rtl w:val="true"/>
        </w:rPr>
        <w:t>כשהעבירה האחרונה פגעה אף בערכי שלמות הנפש והגוף</w:t>
      </w:r>
      <w:r>
        <w:rPr>
          <w:rtl w:val="true"/>
        </w:rPr>
        <w:t xml:space="preserve">, </w:t>
      </w:r>
      <w:r>
        <w:rPr>
          <w:rtl w:val="true"/>
        </w:rPr>
        <w:t>המוגנים גם בעבירת הפזיזות והרשלנות בעשיית מעשה בחומר נפיץ</w:t>
      </w:r>
      <w:r>
        <w:rPr>
          <w:rtl w:val="true"/>
        </w:rPr>
        <w:t xml:space="preserve">. </w:t>
      </w:r>
      <w:r>
        <w:rPr>
          <w:rtl w:val="true"/>
        </w:rPr>
        <w:t>בית המשפט ציין אף את הפגיעה בביטחון הציבור שנגרמה מעבירת החזקת הנשק</w:t>
      </w:r>
      <w:r>
        <w:rPr>
          <w:rtl w:val="true"/>
        </w:rPr>
        <w:t xml:space="preserve">; </w:t>
      </w:r>
      <w:r>
        <w:rPr>
          <w:rtl w:val="true"/>
        </w:rPr>
        <w:t>את הפגיעה בסדר הציבורי ובשמירת שלום המשרתים בכוחות הביטחון</w:t>
      </w:r>
      <w:r>
        <w:rPr>
          <w:rtl w:val="true"/>
        </w:rPr>
        <w:t xml:space="preserve">, </w:t>
      </w:r>
      <w:r>
        <w:rPr>
          <w:rtl w:val="true"/>
        </w:rPr>
        <w:t>המוגנים בעבירת ניסיון תקיפת שוטר</w:t>
      </w:r>
      <w:r>
        <w:rPr>
          <w:rtl w:val="true"/>
        </w:rPr>
        <w:t xml:space="preserve">; </w:t>
      </w:r>
      <w:r>
        <w:rPr>
          <w:rtl w:val="true"/>
        </w:rPr>
        <w:t>ואת שלום הציבור שנפגע במסגרת עבירת ההתפרעות</w:t>
      </w:r>
      <w:r>
        <w:rPr>
          <w:rtl w:val="true"/>
        </w:rPr>
        <w:t xml:space="preserve">. </w:t>
      </w:r>
      <w:r>
        <w:rPr>
          <w:rtl w:val="true"/>
        </w:rPr>
        <w:t>נוכח האמור ובהינתן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העונש ההולם בגין האישום הראשון על חודש 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יחד עם מאסר על תנאי</w:t>
      </w:r>
      <w:r>
        <w:rPr>
          <w:rtl w:val="true"/>
        </w:rPr>
        <w:t xml:space="preserve">). </w:t>
      </w:r>
      <w:r>
        <w:rPr>
          <w:rtl w:val="true"/>
        </w:rPr>
        <w:t xml:space="preserve">בגין האירועים הראשון והשני באישום השני </w:t>
      </w:r>
      <w:r>
        <w:rPr>
          <w:rtl w:val="true"/>
        </w:rPr>
        <w:t>–</w:t>
      </w:r>
      <w:r>
        <w:rPr>
          <w:rtl w:val="true"/>
        </w:rPr>
        <w:t xml:space="preserve"> שבית המשפט קבע כאמור כי יש לראותם כאירוע אחד </w:t>
      </w:r>
      <w:r>
        <w:rPr>
          <w:rtl w:val="true"/>
        </w:rPr>
        <w:t>–</w:t>
      </w:r>
      <w:r>
        <w:rPr>
          <w:rtl w:val="true"/>
        </w:rPr>
        <w:t xml:space="preserve"> הועמד מתחם העונש ההולם 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 בתוספת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ומתחם העונש ההולם בנוגע לאירוע השלישי באישום השני הועמד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ומאסר על תנאי</w:t>
      </w:r>
      <w:r>
        <w:rPr>
          <w:rtl w:val="true"/>
        </w:rPr>
        <w:t xml:space="preserve">. </w:t>
      </w:r>
      <w:r>
        <w:rPr>
          <w:rtl w:val="true"/>
        </w:rPr>
        <w:t>בקביעת מתחמי העונש ההולם</w:t>
      </w:r>
      <w:r>
        <w:rPr>
          <w:rtl w:val="true"/>
        </w:rPr>
        <w:t xml:space="preserve">, </w:t>
      </w:r>
      <w:r>
        <w:rPr>
          <w:rtl w:val="true"/>
        </w:rPr>
        <w:t>נתן בית המשפט משקל לכך שלאישום הראשון קדם תכנון מראש</w:t>
      </w:r>
      <w:r>
        <w:rPr>
          <w:rtl w:val="true"/>
        </w:rPr>
        <w:t xml:space="preserve">, </w:t>
      </w:r>
      <w:r>
        <w:rPr>
          <w:rtl w:val="true"/>
        </w:rPr>
        <w:t>בעוד שלקראת האירועים באישום השני לא קדם תכנון</w:t>
      </w:r>
      <w:r>
        <w:rPr>
          <w:rtl w:val="true"/>
        </w:rPr>
        <w:t xml:space="preserve">; </w:t>
      </w:r>
      <w:r>
        <w:rPr>
          <w:rtl w:val="true"/>
        </w:rPr>
        <w:t>לכך שהמערער אמנם לא הוביל את הפעילויות שבהן השתתף אך נטל בהן חלק אקטיבי</w:t>
      </w:r>
      <w:r>
        <w:rPr>
          <w:rtl w:val="true"/>
        </w:rPr>
        <w:t xml:space="preserve">; </w:t>
      </w:r>
      <w:r>
        <w:rPr>
          <w:rtl w:val="true"/>
        </w:rPr>
        <w:t>ולכך שיידויי האבנים ובקבוקי התבערה נעשו ממרחק רב</w:t>
      </w:r>
      <w:r>
        <w:rPr>
          <w:rtl w:val="true"/>
        </w:rPr>
        <w:t xml:space="preserve">, </w:t>
      </w:r>
      <w:r>
        <w:rPr>
          <w:rtl w:val="true"/>
        </w:rPr>
        <w:t>כך שספק אם היה באפשרותו של המערער לפגוע במטרותיו</w:t>
      </w:r>
      <w:r>
        <w:rPr>
          <w:rtl w:val="true"/>
        </w:rPr>
        <w:t xml:space="preserve">, </w:t>
      </w:r>
      <w:r>
        <w:rPr>
          <w:rtl w:val="true"/>
        </w:rPr>
        <w:t>הגם שאין חולק כי מדובר במעשים שעשויים היו לגרום לנזק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בבואו לגזור את עונשו הפרטני של המערער בגדרי מתחמי הענישה שנקבעו עמד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הנזק שכבר נגרם למערער עקב ההליכים המתנהלים נגדו הכולל את הפסקת לימודיו והקושי שיעמוד בפניו עת יבקש לעסוק בעריכת דין</w:t>
      </w:r>
      <w:r>
        <w:rPr>
          <w:rtl w:val="true"/>
        </w:rPr>
        <w:t xml:space="preserve">. </w:t>
      </w:r>
      <w:r>
        <w:rPr>
          <w:rtl w:val="true"/>
        </w:rPr>
        <w:t>בעניין נטילת אחריות ושיתוף הפעולה עם רשויות החוק</w:t>
      </w:r>
      <w:r>
        <w:rPr>
          <w:rtl w:val="true"/>
        </w:rPr>
        <w:t xml:space="preserve">, </w:t>
      </w:r>
      <w:r>
        <w:rPr>
          <w:rtl w:val="true"/>
        </w:rPr>
        <w:t>ציין בית המשפט כי יש להניח שהמערער לא היה מורשע באירועים שבבסיס האישום השני לולא היה מודה בהם בעת שנחקר בנוגע לאישום הראשון</w:t>
      </w:r>
      <w:r>
        <w:rPr>
          <w:rtl w:val="true"/>
        </w:rPr>
        <w:t xml:space="preserve">; </w:t>
      </w:r>
      <w:r>
        <w:rPr>
          <w:rtl w:val="true"/>
        </w:rPr>
        <w:t>וכי המערער הודה בעבירות המיוחסות לו בשלבים מוקדמים של ההליך</w:t>
      </w:r>
      <w:r>
        <w:rPr>
          <w:rtl w:val="true"/>
        </w:rPr>
        <w:t xml:space="preserve">. </w:t>
      </w:r>
      <w:r>
        <w:rPr>
          <w:rtl w:val="true"/>
        </w:rPr>
        <w:t>עוד לזכות המערער נשקלו גם היעדרו של עבר פלילי והעובדה שטרם מאסרו חי חיים נורמטיביים ולקח חלק חיובי בחיי קהילתו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 בית המשפט כי מעשי המערער נבעו ממניע אידיאולוגי מסוכן</w:t>
      </w:r>
      <w:r>
        <w:rPr>
          <w:rtl w:val="true"/>
        </w:rPr>
        <w:t xml:space="preserve">, </w:t>
      </w:r>
      <w:r>
        <w:rPr>
          <w:rtl w:val="true"/>
        </w:rPr>
        <w:t>שבמסגרתו פעל באופן אלים ומבלי שהביא בחשבון את הפגיעה שעשויה הייתה להיגרם לאחרים</w:t>
      </w:r>
      <w:r>
        <w:rPr>
          <w:rtl w:val="true"/>
        </w:rPr>
        <w:t xml:space="preserve">. </w:t>
      </w:r>
      <w:r>
        <w:rPr>
          <w:rtl w:val="true"/>
        </w:rPr>
        <w:t xml:space="preserve">יוער </w:t>
      </w:r>
      <w:r>
        <w:rPr>
          <w:rtl w:val="true"/>
        </w:rPr>
        <w:t>–</w:t>
      </w:r>
      <w:r>
        <w:rPr>
          <w:rtl w:val="true"/>
        </w:rPr>
        <w:t xml:space="preserve"> אף כי בנסיבות העניין אין בכך כדי להשפיע על הכרעתנו להלן </w:t>
      </w:r>
      <w:r>
        <w:rPr>
          <w:rtl w:val="true"/>
        </w:rPr>
        <w:t>–</w:t>
      </w:r>
      <w:r>
        <w:rPr>
          <w:rtl w:val="true"/>
        </w:rPr>
        <w:t xml:space="preserve"> כי דומה שבית משפט קמא נתן משקל למניעים האידיאולוגיים של המערער בשלב 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הגם שמקומם של שיקולים אלה בקביעת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בהתבסס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עונש המאסר בפועל שאותו יישא המערער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בגין האישום הראשון</w:t>
      </w:r>
      <w:r>
        <w:rPr>
          <w:rtl w:val="true"/>
        </w:rPr>
        <w:t xml:space="preserve">; </w:t>
      </w:r>
      <w:r>
        <w:rPr>
          <w:rtl w:val="true"/>
        </w:rPr>
        <w:t xml:space="preserve">ועל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חודשים בגין האישום השני</w:t>
      </w:r>
      <w:r>
        <w:rPr>
          <w:rtl w:val="true"/>
        </w:rPr>
        <w:t xml:space="preserve">. </w:t>
      </w:r>
      <w:r>
        <w:rPr>
          <w:rtl w:val="true"/>
        </w:rPr>
        <w:t>בית המשפט קבע כי עונשי המאסר האמורים יופעלו במצטבר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שעונש המאסר הכולל הועמד על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לעונשי המאסר בפועל הוספו עונשי מאסר על תנאי</w:t>
      </w:r>
      <w:r>
        <w:rPr>
          <w:rtl w:val="true"/>
        </w:rPr>
        <w:t xml:space="preserve">, </w:t>
      </w:r>
      <w:r>
        <w:rPr>
          <w:rtl w:val="true"/>
        </w:rPr>
        <w:t>כפי שפורט בגזר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סבור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 יש להקל בעונשו אשר נקבע לדידו על הצד המחמיר</w:t>
      </w:r>
      <w:r>
        <w:rPr>
          <w:rtl w:val="true"/>
        </w:rPr>
        <w:t xml:space="preserve">, </w:t>
      </w:r>
      <w:r>
        <w:rPr>
          <w:rtl w:val="true"/>
        </w:rPr>
        <w:t>ותוך סטייה לחומרה ממתחם העונש ההולם הנהוג בעבירות דומות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לא נתן משקל מספיק לעובדה שלא היה מודע לאיסור שבנסיעתו ללבנון</w:t>
      </w:r>
      <w:r>
        <w:rPr>
          <w:rtl w:val="true"/>
        </w:rPr>
        <w:t xml:space="preserve">; </w:t>
      </w:r>
      <w:r>
        <w:rPr>
          <w:rtl w:val="true"/>
        </w:rPr>
        <w:t>לכך שלא ידע מראש על הנסיעה למוזיאון חיזבאללה ולא הייתה לו האפשרות לבחור את תכנית המחנה</w:t>
      </w:r>
      <w:r>
        <w:rPr>
          <w:rtl w:val="true"/>
        </w:rPr>
        <w:t xml:space="preserve">; </w:t>
      </w:r>
      <w:r>
        <w:rPr>
          <w:rtl w:val="true"/>
        </w:rPr>
        <w:t>ולכך שלא עבר במסגרת המחנה כל עבירה נוספת</w:t>
      </w:r>
      <w:r>
        <w:rPr>
          <w:rtl w:val="true"/>
        </w:rPr>
        <w:t xml:space="preserve">. </w:t>
      </w:r>
      <w:r>
        <w:rPr>
          <w:rtl w:val="true"/>
        </w:rPr>
        <w:t xml:space="preserve">אשר לאישום השני סבור המערער כי תפקידו באירועים </w:t>
      </w:r>
      <w:r>
        <w:rPr>
          <w:rtl w:val="true"/>
        </w:rPr>
        <w:t>–</w:t>
      </w:r>
      <w:r>
        <w:rPr>
          <w:rtl w:val="true"/>
        </w:rPr>
        <w:t xml:space="preserve"> שבהם לא נגרם לדבריו נזק רב </w:t>
      </w:r>
      <w:r>
        <w:rPr>
          <w:rtl w:val="true"/>
        </w:rPr>
        <w:t>–</w:t>
      </w:r>
      <w:r>
        <w:rPr>
          <w:rtl w:val="true"/>
        </w:rPr>
        <w:t xml:space="preserve"> היה שולי</w:t>
      </w:r>
      <w:r>
        <w:rPr>
          <w:rtl w:val="true"/>
        </w:rPr>
        <w:t xml:space="preserve">, </w:t>
      </w:r>
      <w:r>
        <w:rPr>
          <w:rtl w:val="true"/>
        </w:rPr>
        <w:t>וכי פעולותיו נעשו בתגובה לרצח מוחמד אבו חדיר</w:t>
      </w:r>
      <w:r>
        <w:rPr>
          <w:rtl w:val="true"/>
        </w:rPr>
        <w:t xml:space="preserve">, </w:t>
      </w:r>
      <w:r>
        <w:rPr>
          <w:rtl w:val="true"/>
        </w:rPr>
        <w:t>מתוך מצוקה וללא תכנון מוקדם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יש להקל בעונש המחמיר שהושת עליו נוכח הודאתו שהביאה לחיסכון בזמן שיפוטי</w:t>
      </w:r>
      <w:r>
        <w:rPr>
          <w:rtl w:val="true"/>
        </w:rPr>
        <w:t xml:space="preserve">, </w:t>
      </w:r>
      <w:r>
        <w:rPr>
          <w:rtl w:val="true"/>
        </w:rPr>
        <w:t>ונוכח האחריות שנטל על מעשיו והתנצלותו עליהם</w:t>
      </w:r>
      <w:r>
        <w:rPr>
          <w:rtl w:val="true"/>
        </w:rPr>
        <w:t xml:space="preserve">. </w:t>
      </w:r>
      <w:r>
        <w:rPr>
          <w:rtl w:val="true"/>
        </w:rPr>
        <w:t>המערער מטעים כי נגרם לו נזק בגין ההליכים שנוהלו בעניינו כמו למשל עקב הפסקת לימודיו</w:t>
      </w:r>
      <w:r>
        <w:rPr>
          <w:rtl w:val="true"/>
        </w:rPr>
        <w:t xml:space="preserve">. </w:t>
      </w:r>
      <w:r>
        <w:rPr>
          <w:rtl w:val="true"/>
        </w:rPr>
        <w:t>עוד טוען המערער כי בית המשפט לא התחשב די הצורך בתסקיר החיובי בענייננו</w:t>
      </w:r>
      <w:r>
        <w:rPr>
          <w:rtl w:val="true"/>
        </w:rPr>
        <w:t xml:space="preserve">, </w:t>
      </w:r>
      <w:r>
        <w:rPr>
          <w:rtl w:val="true"/>
        </w:rPr>
        <w:t>בהיעדר עבר פלילי ובהתנהגותו החיובית ובתרומתו לחברה עובר למעצרו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סומכת ידיה על פסק הדין של בית משפט קמא</w:t>
      </w:r>
      <w:r>
        <w:rPr>
          <w:rtl w:val="true"/>
        </w:rPr>
        <w:t xml:space="preserve">, </w:t>
      </w:r>
      <w:r>
        <w:rPr>
          <w:rtl w:val="true"/>
        </w:rPr>
        <w:t>מנימוקיו</w:t>
      </w:r>
      <w:r>
        <w:rPr>
          <w:rtl w:val="true"/>
        </w:rPr>
        <w:t xml:space="preserve">. </w:t>
      </w:r>
      <w:r>
        <w:rPr>
          <w:rtl w:val="true"/>
        </w:rPr>
        <w:t>על כך מוסיפה היא כי העונש שהוטל על המערער אינו סוטה ממדיניות הענישה הנוהגת במידה שתצדיק את התערבותו של בית משפט זה</w:t>
      </w:r>
      <w:r>
        <w:rPr>
          <w:rtl w:val="true"/>
        </w:rPr>
        <w:t xml:space="preserve">. </w:t>
      </w:r>
      <w:r>
        <w:rPr>
          <w:rtl w:val="true"/>
        </w:rPr>
        <w:t>לשיטתה של המשיבה</w:t>
      </w:r>
      <w:r>
        <w:rPr>
          <w:rtl w:val="true"/>
        </w:rPr>
        <w:t xml:space="preserve">, </w:t>
      </w:r>
      <w:r>
        <w:rPr>
          <w:rtl w:val="true"/>
        </w:rPr>
        <w:t>הגם שטרם הגשת כתב האישום היה עברו הפלילי של המערער נקי</w:t>
      </w:r>
      <w:r>
        <w:rPr>
          <w:rtl w:val="true"/>
        </w:rPr>
        <w:t xml:space="preserve">, </w:t>
      </w:r>
      <w:r>
        <w:rPr>
          <w:rtl w:val="true"/>
        </w:rPr>
        <w:t>משכתב האישום כולל מספר אירועים שונים</w:t>
      </w:r>
      <w:r>
        <w:rPr>
          <w:rtl w:val="true"/>
        </w:rPr>
        <w:t xml:space="preserve">, </w:t>
      </w:r>
      <w:r>
        <w:rPr>
          <w:rtl w:val="true"/>
        </w:rPr>
        <w:t>שוב לא ניתן לקבוע כי המערער נעדר עבר פלילי</w:t>
      </w:r>
      <w:r>
        <w:rPr>
          <w:rtl w:val="true"/>
        </w:rPr>
        <w:t xml:space="preserve">. </w:t>
      </w:r>
      <w:r>
        <w:rPr>
          <w:rtl w:val="true"/>
        </w:rPr>
        <w:t>על כך הוסף שהתסקיר בעניין המערער אינו חיובי</w:t>
      </w:r>
      <w:r>
        <w:rPr>
          <w:rtl w:val="true"/>
        </w:rPr>
        <w:t xml:space="preserve">, </w:t>
      </w:r>
      <w:r>
        <w:rPr>
          <w:rtl w:val="true"/>
        </w:rPr>
        <w:t>שכן שירות המבחן לא בא לבסוף בהמלצה על טיפול שיקומי במערער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שבחנו את מכלול החומר שעמד לפנינו ושמענו את טענות הצדדים בדיון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לקבל את הערעור כך שעונשי המאסר בפועל שהושתו על המערער בגין שני האישומים יופעלו בחופף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במוקד הרשעת המערער ניצבים מספר אירועים של יידוי אבנים ואירוע של השלכת בקבוקי תבערה</w:t>
      </w:r>
      <w:r>
        <w:rPr>
          <w:rtl w:val="true"/>
        </w:rPr>
        <w:t xml:space="preserve">. </w:t>
      </w:r>
      <w:r>
        <w:rPr>
          <w:rtl w:val="true"/>
        </w:rPr>
        <w:t>בית משפט זה עמד לא אחת על הסכנה הגלומה במעשים מעין אלה</w:t>
      </w:r>
      <w:r>
        <w:rPr>
          <w:rtl w:val="true"/>
        </w:rPr>
        <w:t xml:space="preserve">, </w:t>
      </w:r>
      <w:r>
        <w:rPr>
          <w:rtl w:val="true"/>
        </w:rPr>
        <w:t>העלולים לגרום לנזק רב ואף לגבות קורבנות בנפש</w:t>
      </w:r>
      <w:r>
        <w:rPr>
          <w:rtl w:val="true"/>
        </w:rPr>
        <w:t xml:space="preserve">. </w:t>
      </w:r>
      <w:r>
        <w:rPr>
          <w:rtl w:val="true"/>
        </w:rPr>
        <w:t xml:space="preserve">לפיכך נפסק כי יש להתייחס בחומרה גם למקרים שבהם לא נגרם נזק בפועל מעבירות אלו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30.11.2017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31.7.2016</w:t>
      </w:r>
      <w:r>
        <w:rPr>
          <w:rtl w:val="true"/>
        </w:rPr>
        <w:t xml:space="preserve">)). </w:t>
      </w:r>
      <w:r>
        <w:rPr>
          <w:rtl w:val="true"/>
        </w:rPr>
        <w:t>הדברים מקבלים משנה תוקף כאשר העבירות האמורות מבוצעות על רקע אידיאולוגי</w:t>
      </w:r>
      <w:r>
        <w:rPr>
          <w:rtl w:val="true"/>
        </w:rPr>
        <w:t xml:space="preserve">, </w:t>
      </w:r>
      <w:r>
        <w:rPr>
          <w:rtl w:val="true"/>
        </w:rPr>
        <w:t xml:space="preserve">תוך ניסיון לפגוע בכוחות הביטחון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15-14</w:t>
      </w:r>
      <w:r>
        <w:rPr>
          <w:rtl w:val="true"/>
        </w:rPr>
        <w:t xml:space="preserve"> (</w:t>
      </w:r>
      <w:r>
        <w:rPr/>
        <w:t>7.6.2017</w:t>
      </w:r>
      <w:r>
        <w:rPr>
          <w:rtl w:val="true"/>
        </w:rPr>
        <w:t xml:space="preserve">)). </w:t>
      </w:r>
      <w:r>
        <w:rPr>
          <w:rtl w:val="true"/>
        </w:rPr>
        <w:t>כפי שצוין בעבר בבית משפט זה</w:t>
      </w:r>
      <w:r>
        <w:rPr>
          <w:rtl w:val="true"/>
        </w:rPr>
        <w:t xml:space="preserve">, </w:t>
      </w:r>
      <w:r>
        <w:rPr>
          <w:rtl w:val="true"/>
        </w:rPr>
        <w:t>בעבירות מהסוג הנדון בהליך שלפנינו קיים מנעד רחב של עונשים</w:t>
      </w:r>
      <w:r>
        <w:rPr>
          <w:rtl w:val="true"/>
        </w:rPr>
        <w:t xml:space="preserve">, </w:t>
      </w:r>
      <w:r>
        <w:rPr>
          <w:rtl w:val="true"/>
        </w:rPr>
        <w:t>בהתאם לטיבו של המעשה ולנסיבותיו האישיות של העושה</w:t>
      </w:r>
      <w:r>
        <w:rPr>
          <w:rtl w:val="true"/>
        </w:rPr>
        <w:t xml:space="preserve">, </w:t>
      </w:r>
      <w:r>
        <w:rPr>
          <w:rtl w:val="true"/>
        </w:rPr>
        <w:t xml:space="preserve">כשהמגמה בשנים האחרונות היא לעבר החמרה בענישה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(</w:t>
      </w:r>
      <w:r>
        <w:rPr/>
        <w:t>8.1.2017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3572/16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3.1.2017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 xml:space="preserve">נדחה ערעורו של קטין שעליו נגזרו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 מאסר בפועל ומאסר על 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 שהורשע ביידוי אבנים ובקבוק תבערה שפגעו ברכב משטרתי וגרמו לו לנזק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Fonts w:cs="Century" w:ascii="Century" w:hAnsi="Century"/>
          <w:sz w:val="22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tl w:val="true"/>
        </w:rPr>
        <w:t>קבע בית משפט זה כי יש להחמיר בעונשו של מערער שהיה מעורב במספר אירועי הפרת סדר שבהם יידה בקבוקי תבערה ואבנים נגד כוחות הביטחון</w:t>
      </w:r>
      <w:r>
        <w:rPr>
          <w:rtl w:val="true"/>
        </w:rPr>
        <w:t xml:space="preserve">, </w:t>
      </w:r>
      <w:r>
        <w:rPr>
          <w:rtl w:val="true"/>
        </w:rPr>
        <w:t xml:space="preserve">כך שיעמוד על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 xml:space="preserve">חלף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שנקבעו בבית המשפט המחוזי</w:t>
      </w:r>
      <w:r>
        <w:rPr>
          <w:rtl w:val="true"/>
        </w:rPr>
        <w:t xml:space="preserve">), </w:t>
      </w:r>
      <w:r>
        <w:rPr>
          <w:rtl w:val="true"/>
        </w:rPr>
        <w:t>תוך שצוין כי ערכאת הערעור לא ממצה את מלוא חומרת הדין עם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26.10.2017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) </w:t>
      </w:r>
      <w:r>
        <w:rPr>
          <w:rtl w:val="true"/>
        </w:rPr>
        <w:t>דובר במערער שהשתתף במספר אירועים שבהם ייודו בקבוקי תבערה ואבנים לעבר כוחות הביטחון</w:t>
      </w:r>
      <w:r>
        <w:rPr>
          <w:rtl w:val="true"/>
        </w:rPr>
        <w:t xml:space="preserve">. </w:t>
      </w:r>
      <w:r>
        <w:rPr>
          <w:rtl w:val="true"/>
        </w:rPr>
        <w:t>בית משפט זה דחה את הערעור שהוגש על חומרת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שרכיב המאסר בפועל שבו עמד על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עוד יש לציין כי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6908/16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 </w:t>
      </w:r>
      <w:r>
        <w:rPr>
          <w:rtl w:val="true"/>
        </w:rPr>
        <w:t>הועמד עונשו של מערער שהיה מעורב בהתפרעויות שכללו יידוי בקבוקי תבערה ואבנים על כוחות הביטחון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הגם שהמערער באותו הליך היה קטין בעת ביצוע חלק מהעבירות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 נטלו המערערים חלק בייצור בקבוקי התבערה</w:t>
      </w:r>
      <w:r>
        <w:rPr>
          <w:rtl w:val="true"/>
        </w:rPr>
        <w:t xml:space="preserve">, </w:t>
      </w:r>
      <w:r>
        <w:rPr>
          <w:rtl w:val="true"/>
        </w:rPr>
        <w:t>ויידוי האבנים ובקבוקי התבערה לעבר כוחות הביטחון נעשו מטווח קרוב יותר מהמדובר במקרה דנא</w:t>
      </w:r>
      <w:r>
        <w:rPr>
          <w:rtl w:val="true"/>
        </w:rPr>
        <w:t xml:space="preserve">, </w:t>
      </w:r>
      <w:r>
        <w:rPr>
          <w:rtl w:val="true"/>
        </w:rPr>
        <w:t>אך לא מצאנו כי די בהבדלים אלה כדי לקבוע שבית המשפט המחוזי סטה ממדיניות הענישה הנוהגת במידה המצדיקה את התערבותנו</w:t>
      </w:r>
      <w:r>
        <w:rPr>
          <w:rtl w:val="true"/>
        </w:rPr>
        <w:t xml:space="preserve">. </w:t>
      </w:r>
      <w:r>
        <w:rPr>
          <w:rtl w:val="true"/>
        </w:rPr>
        <w:t>יש להעיר</w:t>
      </w:r>
      <w:r>
        <w:rPr>
          <w:rtl w:val="true"/>
        </w:rPr>
        <w:t xml:space="preserve">, </w:t>
      </w:r>
      <w:r>
        <w:rPr>
          <w:rtl w:val="true"/>
        </w:rPr>
        <w:t xml:space="preserve">כי אין בהחלטתנו זו כדי לטעת מסמרות בעניין האופן שבו סווגו האירועים לצורך קביעת מתמחי הענישה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לכך נוסיף כי גם עבירת היציאה שלא כדין שבה הורשע המערער</w:t>
      </w:r>
      <w:r>
        <w:rPr>
          <w:rtl w:val="true"/>
        </w:rPr>
        <w:t xml:space="preserve">, </w:t>
      </w:r>
      <w:r>
        <w:rPr>
          <w:rtl w:val="true"/>
        </w:rPr>
        <w:t>טומנת בחובה סיכון ביטחוני</w:t>
      </w:r>
      <w:r>
        <w:rPr>
          <w:rtl w:val="true"/>
        </w:rPr>
        <w:t xml:space="preserve">, </w:t>
      </w:r>
      <w:r>
        <w:rPr>
          <w:rtl w:val="true"/>
        </w:rPr>
        <w:t>בין היתר מחשש שהיוצא ייאלץ למסור מידע או שיגויס לפעילות עוינת לישראל</w:t>
      </w:r>
      <w:r>
        <w:rPr>
          <w:rtl w:val="true"/>
        </w:rPr>
        <w:t xml:space="preserve">. </w:t>
      </w:r>
      <w:r>
        <w:rPr>
          <w:rtl w:val="true"/>
        </w:rPr>
        <w:t>אף שלא נטען כי סיכון זה התממש במקרה דנא</w:t>
      </w:r>
      <w:r>
        <w:rPr>
          <w:rtl w:val="true"/>
        </w:rPr>
        <w:t xml:space="preserve">, </w:t>
      </w:r>
      <w:r>
        <w:rPr>
          <w:rtl w:val="true"/>
        </w:rPr>
        <w:t>יש לתת משקל לעצם יצירתו של הסיכון האמור ולביקורו של המערער במוזיאון המוקדש לארגון חיזבאללה</w:t>
      </w:r>
      <w:r>
        <w:rPr>
          <w:rtl w:val="true"/>
        </w:rPr>
        <w:t xml:space="preserve">, </w:t>
      </w:r>
      <w:r>
        <w:rPr>
          <w:rtl w:val="true"/>
        </w:rPr>
        <w:t xml:space="preserve">לאחר ביצוען של מספר עבירות מתוך מניע אידיאולוגי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25.11.2014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Israel Law Center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הכנסת</w:t>
      </w:r>
      <w:r>
        <w:rPr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16.9.2007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יש לזקוף לזכותו של המערער את שיתוף הפעולה עם רשויות אכיפת החוק בדמות הודאתו בעבירות</w:t>
      </w:r>
      <w:r>
        <w:rPr>
          <w:rtl w:val="true"/>
        </w:rPr>
        <w:t xml:space="preserve">, </w:t>
      </w:r>
      <w:r>
        <w:rPr>
          <w:rtl w:val="true"/>
        </w:rPr>
        <w:t xml:space="preserve">את האחריות שנטל על מעשיו ואת התנהגותו הנורמטיבית ותרומתו לחברה עובר למעצרו </w:t>
      </w:r>
      <w:r>
        <w:rPr>
          <w:rtl w:val="true"/>
        </w:rPr>
        <w:t>–</w:t>
      </w:r>
      <w:r>
        <w:rPr>
          <w:rtl w:val="true"/>
        </w:rPr>
        <w:t xml:space="preserve"> שיקולים שבאו לידי ביטוי בתסקיר שנערך למערער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ומבלי להקל ראש בחומרת העבירות שביצע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ראינו להפחית במידה מה את עונשו כדי לעודדו להמשיך בדרך החיובית שבה הלך לפני מעצרו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אנו מורים כי עונש המאסר בפועל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החודשים שהושת על המערער בגין יציאתו מישראל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יופעל בחופף לעונש המאסר בפועל בן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החודשים בגין העבירות האחרות בהן הורשע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 xml:space="preserve">הערעור מתקבל באופן שרכיב עונש המאסר בפועל שהושת על המערער יעמוד על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יתר רכיבי העונש</w:t>
      </w:r>
      <w:r>
        <w:rPr>
          <w:rtl w:val="true"/>
        </w:rPr>
        <w:t xml:space="preserve">, </w:t>
      </w:r>
      <w:r>
        <w:rPr>
          <w:rtl w:val="true"/>
        </w:rPr>
        <w:t>כפי שפורטו על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יוותרו על כנם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28.12.2017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17023900</w:t>
      </w:r>
      <w:r>
        <w:rPr>
          <w:sz w:val="16"/>
          <w:rtl w:val="true"/>
        </w:rPr>
        <w:t>_</w:t>
      </w:r>
      <w:r>
        <w:rPr>
          <w:sz w:val="16"/>
        </w:rPr>
        <w:t>M03.doc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ע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פוגלמן </w:t>
      </w:r>
      <w:r>
        <w:rPr>
          <w:rFonts w:cs="David;David" w:ascii="David;David" w:hAnsi="David;David"/>
          <w:color w:val="000000"/>
          <w:szCs w:val="22"/>
        </w:rPr>
        <w:t>54678313-2390/17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2390/17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וחיד מרזיק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99464" TargetMode="External"/><Relationship Id="rId3" Type="http://schemas.openxmlformats.org/officeDocument/2006/relationships/hyperlink" Target="http://www.nevo.co.il/law/72510" TargetMode="External"/><Relationship Id="rId4" Type="http://schemas.openxmlformats.org/officeDocument/2006/relationships/hyperlink" Target="http://www.nevo.co.il/law/72510/2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274.1." TargetMode="External"/><Relationship Id="rId11" Type="http://schemas.openxmlformats.org/officeDocument/2006/relationships/hyperlink" Target="http://www.nevo.co.il/law/70301/274.2" TargetMode="External"/><Relationship Id="rId12" Type="http://schemas.openxmlformats.org/officeDocument/2006/relationships/hyperlink" Target="http://www.nevo.co.il/law/70301/274.3." TargetMode="External"/><Relationship Id="rId13" Type="http://schemas.openxmlformats.org/officeDocument/2006/relationships/hyperlink" Target="http://www.nevo.co.il/law/70301/338.a.3" TargetMode="External"/><Relationship Id="rId14" Type="http://schemas.openxmlformats.org/officeDocument/2006/relationships/hyperlink" Target="http://www.nevo.co.il/law/70301/383.a" TargetMode="External"/><Relationship Id="rId15" Type="http://schemas.openxmlformats.org/officeDocument/2006/relationships/hyperlink" Target="http://www.nevo.co.il/law/70301/40jc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2510/2a" TargetMode="External"/><Relationship Id="rId18" Type="http://schemas.openxmlformats.org/officeDocument/2006/relationships/hyperlink" Target="http://www.nevo.co.il/law/72510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274.1.;274.3.;274.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338.a.3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52" TargetMode="External"/><Relationship Id="rId29" Type="http://schemas.openxmlformats.org/officeDocument/2006/relationships/hyperlink" Target="http://www.nevo.co.il/law/70301/383.a" TargetMode="External"/><Relationship Id="rId30" Type="http://schemas.openxmlformats.org/officeDocument/2006/relationships/hyperlink" Target="http://www.nevo.co.il/case/23506710" TargetMode="External"/><Relationship Id="rId31" Type="http://schemas.openxmlformats.org/officeDocument/2006/relationships/hyperlink" Target="http://www.nevo.co.il/case/21474812" TargetMode="External"/><Relationship Id="rId32" Type="http://schemas.openxmlformats.org/officeDocument/2006/relationships/hyperlink" Target="http://www.nevo.co.il/case/22189170" TargetMode="External"/><Relationship Id="rId33" Type="http://schemas.openxmlformats.org/officeDocument/2006/relationships/hyperlink" Target="http://www.nevo.co.il/case/21476010" TargetMode="External"/><Relationship Id="rId34" Type="http://schemas.openxmlformats.org/officeDocument/2006/relationships/hyperlink" Target="http://www.nevo.co.il/case/21709944" TargetMode="External"/><Relationship Id="rId35" Type="http://schemas.openxmlformats.org/officeDocument/2006/relationships/hyperlink" Target="http://www.nevo.co.il/case/21771420" TargetMode="External"/><Relationship Id="rId36" Type="http://schemas.openxmlformats.org/officeDocument/2006/relationships/hyperlink" Target="http://www.nevo.co.il/case/21479495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case/17948115" TargetMode="External"/><Relationship Id="rId39" Type="http://schemas.openxmlformats.org/officeDocument/2006/relationships/hyperlink" Target="http://www.nevo.co.il/case/5866021" TargetMode="External"/><Relationship Id="rId40" Type="http://schemas.openxmlformats.org/officeDocument/2006/relationships/hyperlink" Target="http://www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2018-01-01T19:26:00Z</dcterms:created>
  <dc:creator> </dc:creator>
  <dc:description/>
  <cp:keywords/>
  <dc:language>en-IL</dc:language>
  <cp:lastModifiedBy>orly</cp:lastModifiedBy>
  <cp:lastPrinted>2017-12-31T14:53:00Z</cp:lastPrinted>
  <dcterms:modified xsi:type="dcterms:W3CDTF">2018-01-01T19:26:00Z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וחיד מרזיק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20599464;23506710;21474812;22189170;21476010;21709944;21771420;21479495;17948115;5866021</vt:lpwstr>
  </property>
  <property fmtid="{D5CDD505-2E9C-101B-9397-08002B2CF9AE}" pid="9" name="CITY">
    <vt:lpwstr/>
  </property>
  <property fmtid="{D5CDD505-2E9C-101B-9397-08002B2CF9AE}" pid="10" name="DATE">
    <vt:lpwstr>20171228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ארז;י' אלרון</vt:lpwstr>
  </property>
  <property fmtid="{D5CDD505-2E9C-101B-9397-08002B2CF9AE}" pid="14" name="LAWLISTTMP1">
    <vt:lpwstr>72510/002a</vt:lpwstr>
  </property>
  <property fmtid="{D5CDD505-2E9C-101B-9397-08002B2CF9AE}" pid="15" name="LAWLISTTMP2">
    <vt:lpwstr>70301/448.a;025;029:3;144.a;274.1;274.3;274.2;338.a.3;152;383.a;40jc</vt:lpwstr>
  </property>
  <property fmtid="{D5CDD505-2E9C-101B-9397-08002B2CF9AE}" pid="16" name="LAWYER">
    <vt:lpwstr>אריה פטר;לאה צמל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יידוי אבנים</vt:lpwstr>
  </property>
  <property fmtid="{D5CDD505-2E9C-101B-9397-08002B2CF9AE}" pid="50" name="NOSE310">
    <vt:lpwstr/>
  </property>
  <property fmtid="{D5CDD505-2E9C-101B-9397-08002B2CF9AE}" pid="51" name="NOSE32">
    <vt:lpwstr>מדיניות ענישה: יידוי בקבוקי תבערה</vt:lpwstr>
  </property>
  <property fmtid="{D5CDD505-2E9C-101B-9397-08002B2CF9AE}" pid="52" name="NOSE33">
    <vt:lpwstr>מדיניות ענישה: עבירות ביטחון</vt:lpwstr>
  </property>
  <property fmtid="{D5CDD505-2E9C-101B-9397-08002B2CF9AE}" pid="53" name="NOSE34">
    <vt:lpwstr>שיקולי ענישה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16102;15301;8985;15506</vt:lpwstr>
  </property>
  <property fmtid="{D5CDD505-2E9C-101B-9397-08002B2CF9AE}" pid="60" name="PADIDATE">
    <vt:lpwstr>20180102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2390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410120171228</vt:lpwstr>
  </property>
  <property fmtid="{D5CDD505-2E9C-101B-9397-08002B2CF9AE}" pid="70" name="TYPE_N_DATE">
    <vt:lpwstr>41020171228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