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2403/20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065237-12-15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12.03.2020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  <w:r>
              <w:rPr>
                <w:sz w:val="24"/>
                <w:szCs w:val="24"/>
                <w:rtl w:val="true"/>
              </w:rPr>
              <w:t>;</w:t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בקשה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מטעם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המשיבים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2-1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למחיקת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הסף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28.10.2020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שווייצר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הרצל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סמילה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גלבוע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0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מעצרים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1996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52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8" w:name="ABSTRACT_START"/>
      <w:bookmarkEnd w:id="8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המערערת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רשאית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להגיש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בקשה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בהחלטה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גילוי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ראיה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חסויה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הראוי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להגיש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בקשות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חשיפת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המידע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בתשלומים</w:t>
      </w:r>
      <w:r>
        <w:rPr>
          <w:spacing w:val="0"/>
          <w:sz w:val="24"/>
          <w:szCs w:val="26"/>
          <w:rtl w:val="true"/>
        </w:rPr>
        <w:t xml:space="preserve">", </w:t>
      </w:r>
      <w:r>
        <w:rPr>
          <w:spacing w:val="0"/>
          <w:sz w:val="24"/>
          <w:sz w:val="24"/>
          <w:szCs w:val="26"/>
          <w:rtl w:val="true"/>
        </w:rPr>
        <w:t>בניסיון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להתגבר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החלטה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החיסיון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מהמידע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החוסה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תעודת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החיסיון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בהתנהלות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לגבור</w:t>
      </w:r>
      <w:r>
        <w:rPr>
          <w:spacing w:val="0"/>
          <w:sz w:val="24"/>
          <w:szCs w:val="26"/>
          <w:rtl w:val="true"/>
        </w:rPr>
        <w:t xml:space="preserve">"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המיוחסים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למשיבים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לקשירת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פשע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ולהותיר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החלטה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לזכותם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נוכח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חזרת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נוכח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החיסיון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לפיכך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תבוטל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ההחלטה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החיסיון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ויבוטל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זיכוי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המשיבים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חיסיון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לטובת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הציבור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דיון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פלילי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בית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המשפט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דיון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פלילי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שינוי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נסיבות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דיון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פלילי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זכות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התביעה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 המשיבים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כתב אישום הכולל שני אישומים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האישום הראשון גולל מסכת קשה של עבירות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ואיומים שביצע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באישום זה טרם ניתנה הכרעת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האישום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המשיבים קשרו קשר לביצוע פשע וניסו לשדל שניים אחרים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 התביעה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לרצוח את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ערעור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נסב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פסק דינו של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החלטות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קבל את עתירת המשיבים להסרת חיסיון מכוח תעודת חיסיון שהוצאה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פקודת 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הודיעה המערערת כי היא חוזרת בה מהאישום השני בכתב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שהוביל לזיכוי המשיבים מהעבירות שיוחסו להם באישום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יצוין כי מדובר על זיכוי בפעם השנייה של המשיבים מאישום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עמית ובהסכמת השופטים ברון ואלרון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נדרש תחילה לטענת המשיבים 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המדינה לא הייתה רשאית להגיש בקשה לעיון חוזר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בהחלטת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על הסרת החיסיון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להסיר את החיסיון או לחזור בה מכתב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בציינו כי בידי המדינה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קיימת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אפשרות לפנות לערכאה הדיונית בבקשה לעיון חוזר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 בו ניתן להצביע על שינוי 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הבהיר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ברגיל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מוצאת תעודת חיסיון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נקודת המוצא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חזקת ההגינות שבה מעמיד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את התביעה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שכל מה שניתן לחשוף בפני ההגנה נחשף מלכתחילה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והמידע החסוי תחת תעודת החיסיון הוא כזה שאכן לא ניתן לחשוף אותו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לקבל מצב שבו תעודת החיסיון היא בבחינת חומה ראשונה שמעמידה התביעה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שניתן לסגת ממנה אם וכאשר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מורה על הסרת החיסיון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ואז לחשוף חלק מהחומר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בבחינת נסיגה טקטית אל החומה השנייה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מקרה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הוא חריג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בהיבט זה שהמדינה נכונה כעת לחשוף חלק מהחומר שהיה חסוי תחת תעודת החיסיון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ככל שבעתיד יתברר כי כך נוהגת המדינה תדיר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ייתכן שבי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יראה בכך טקטיקה פסולה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לגופו של 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לפקודת 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עניינו חי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סיון לטובת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ומטרתו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למנוע פגיעה במערך המודיעין באמצעות צמצום החומר המודיעיני שנמסר לנאשם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שהדבר יפגע בהגנת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לנאשם אין זכות עיון בחומר מודיעיני שנאסף או נרשם על ידי רשות מודיעין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אם כן הוא נכלל באחת מארבע הקטגוריות המפורטות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74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ובהן 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ומר שמתייחס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מהימנות של עד מרכזי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זגורי נקבע כי אין לפרש את המונח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מהימנות של עד מרכזי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ככולל חומר שהשלכתו על מהימנות העד היא כללית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מידע שמצביע על מעורבות העד במעשים פליליים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על היותו עבריין מסוכן או אדם לא ישר ובלתי אמין באופן כללי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הכוונה היא לחומר מודיעין שקשור קשר קונקרטי לתוכן העדות שהעד עתיד למסור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מסר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למניעיו הקונקרטיים להעליל על הנאשם העומד לדין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חומר שיש לו השלכה קונקרטית על תוכן העדות שהעד מסר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עתיד למסור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במשפטו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להבדיל מחומר אשר נוגע לעניין צדדי והשלכתו על מהימנותו של העד היא כללית גרידא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ההגנה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מבקשת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התביעה</w:t>
      </w:r>
      <w:r>
        <w:rPr>
          <w:spacing w:val="0"/>
          <w:sz w:val="24"/>
          <w:szCs w:val="26"/>
          <w:rtl w:val="true"/>
        </w:rPr>
        <w:t>,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מבקשת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להסיר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החיסיון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לשיטת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ההגנה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העובדה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שעד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תביעה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תמורה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בפרשה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דנן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מעידה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שהייתה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ציפ</w:t>
      </w:r>
      <w:r>
        <w:rPr>
          <w:spacing w:val="0"/>
          <w:sz w:val="24"/>
          <w:sz w:val="24"/>
          <w:szCs w:val="26"/>
          <w:rtl w:val="true"/>
        </w:rPr>
        <w:t>י</w:t>
      </w:r>
      <w:r>
        <w:rPr>
          <w:spacing w:val="0"/>
          <w:sz w:val="24"/>
          <w:sz w:val="24"/>
          <w:szCs w:val="26"/>
          <w:rtl w:val="true"/>
        </w:rPr>
        <w:t>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תמורה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שעשוי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להשליך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הערכת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מהימנותו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מידע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קונקרטי</w:t>
      </w:r>
      <w:r>
        <w:rPr>
          <w:spacing w:val="0"/>
          <w:sz w:val="24"/>
          <w:szCs w:val="26"/>
          <w:rtl w:val="true"/>
        </w:rPr>
        <w:t xml:space="preserve">" </w:t>
      </w:r>
      <w:r>
        <w:rPr>
          <w:spacing w:val="0"/>
          <w:sz w:val="24"/>
          <w:sz w:val="24"/>
          <w:szCs w:val="26"/>
          <w:rtl w:val="true"/>
        </w:rPr>
        <w:t>דיו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לסייע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להגנה</w:t>
      </w:r>
      <w:r>
        <w:rPr>
          <w:spacing w:val="0"/>
          <w:sz w:val="24"/>
          <w:szCs w:val="26"/>
          <w:rtl w:val="true"/>
        </w:rPr>
        <w:t xml:space="preserve">? </w:t>
      </w: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דנן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בניגוד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הרגיל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משטרתי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חסויה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זהות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התביעה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ידועה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היטב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למשיבים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שהרי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שפנה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אליהם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להזמין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הרצח</w:t>
      </w:r>
      <w:r>
        <w:rPr>
          <w:spacing w:val="0"/>
          <w:sz w:val="24"/>
          <w:szCs w:val="26"/>
          <w:rtl w:val="true"/>
        </w:rPr>
        <w:t>.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spacing w:val="0"/>
          <w:sz w:val="24"/>
          <w:sz w:val="24"/>
          <w:szCs w:val="26"/>
          <w:rtl w:val="true"/>
        </w:rPr>
        <w:t>ככל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שבי</w:t>
      </w:r>
      <w:r>
        <w:rPr>
          <w:spacing w:val="0"/>
          <w:sz w:val="24"/>
          <w:sz w:val="24"/>
          <w:szCs w:val="26"/>
          <w:rtl w:val="true"/>
        </w:rPr>
        <w:t>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יתיר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להגנה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לשאול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קודמים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התביעה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המשטרה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שלעצם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ההיתר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לשאול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מהסוג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עלולות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השלכות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רוחב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עבודת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המשטרה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וכפועל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יוצא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הציבור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וביטחונו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הסיבה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שבגינה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תעודת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החיסיון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הצטמצמה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לשאלת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קיומם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קודמים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בכלל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התביעה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למשטרה</w:t>
      </w:r>
      <w:r>
        <w:rPr>
          <w:spacing w:val="0"/>
          <w:sz w:val="24"/>
          <w:szCs w:val="26"/>
          <w:rtl w:val="true"/>
        </w:rPr>
        <w:t>.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נוכח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סיבה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החלטת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</w:t>
      </w:r>
      <w:r>
        <w:rPr>
          <w:spacing w:val="0"/>
          <w:sz w:val="24"/>
          <w:sz w:val="24"/>
          <w:szCs w:val="26"/>
          <w:rtl w:val="true"/>
        </w:rPr>
        <w:t>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החיסיון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לקשרים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קודמים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התביעה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בכלל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המשטרה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מבוטלת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rFonts w:eastAsia="Calibri"/>
          <w:spacing w:val="0"/>
          <w:sz w:val="24"/>
          <w:sz w:val="24"/>
          <w:szCs w:val="26"/>
          <w:rtl w:val="true"/>
        </w:rPr>
        <w:t>לפיכך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הורה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בימ</w:t>
      </w:r>
      <w:r>
        <w:rPr>
          <w:rFonts w:eastAsia="Calibri"/>
          <w:spacing w:val="0"/>
          <w:sz w:val="24"/>
          <w:szCs w:val="26"/>
          <w:rtl w:val="true"/>
        </w:rPr>
        <w:t>"</w:t>
      </w:r>
      <w:r>
        <w:rPr>
          <w:rFonts w:eastAsia="Calibri"/>
          <w:spacing w:val="0"/>
          <w:sz w:val="24"/>
          <w:sz w:val="24"/>
          <w:szCs w:val="26"/>
          <w:rtl w:val="true"/>
        </w:rPr>
        <w:t>ש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כי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יבוטל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זיכויים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של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המשיבים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מן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האישום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השני</w:t>
      </w:r>
      <w:r>
        <w:rPr>
          <w:rFonts w:eastAsia="Calibri"/>
          <w:spacing w:val="0"/>
          <w:sz w:val="24"/>
          <w:szCs w:val="26"/>
          <w:rtl w:val="true"/>
        </w:rPr>
        <w:t>,</w:t>
      </w:r>
      <w:r>
        <w:rPr>
          <w:rFonts w:eastAsia="Calibri"/>
          <w:spacing w:val="0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והתיק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ימשיך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להידון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לגופו</w:t>
      </w:r>
      <w:r>
        <w:rPr>
          <w:rFonts w:eastAsia="Calibri"/>
          <w:spacing w:val="0"/>
          <w:sz w:val="24"/>
          <w:szCs w:val="26"/>
          <w:rtl w:val="true"/>
        </w:rPr>
        <w:t>.</w:t>
      </w:r>
      <w:r>
        <w:rPr>
          <w:rFonts w:eastAsia="Calibri"/>
          <w:spacing w:val="0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וזאת</w:t>
      </w:r>
      <w:r>
        <w:rPr>
          <w:rFonts w:eastAsia="Calibri"/>
          <w:spacing w:val="0"/>
          <w:sz w:val="24"/>
          <w:szCs w:val="26"/>
          <w:rtl w:val="true"/>
        </w:rPr>
        <w:t xml:space="preserve">, </w:t>
      </w:r>
      <w:r>
        <w:rPr>
          <w:rFonts w:eastAsia="Calibri"/>
          <w:spacing w:val="0"/>
          <w:sz w:val="24"/>
          <w:sz w:val="24"/>
          <w:szCs w:val="26"/>
          <w:rtl w:val="true"/>
        </w:rPr>
        <w:t>חרף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הביקורת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התנהלות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התביעה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בקשר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להסרת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החיסיון</w:t>
      </w:r>
      <w:r>
        <w:rPr>
          <w:rFonts w:eastAsia="Calibri"/>
          <w:spacing w:val="0"/>
          <w:sz w:val="24"/>
          <w:szCs w:val="26"/>
          <w:rtl w:val="true"/>
        </w:rPr>
        <w:t>,</w:t>
      </w:r>
      <w:r>
        <w:rPr>
          <w:rFonts w:eastAsia="Calibri"/>
          <w:spacing w:val="0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ש</w:t>
      </w:r>
      <w:r>
        <w:rPr>
          <w:rFonts w:eastAsia="Calibri"/>
          <w:spacing w:val="0"/>
          <w:sz w:val="24"/>
          <w:sz w:val="24"/>
          <w:szCs w:val="26"/>
          <w:rtl w:val="true"/>
        </w:rPr>
        <w:t>אין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ב</w:t>
      </w:r>
      <w:r>
        <w:rPr>
          <w:rFonts w:eastAsia="Calibri"/>
          <w:spacing w:val="0"/>
          <w:sz w:val="24"/>
          <w:sz w:val="24"/>
          <w:szCs w:val="26"/>
          <w:rtl w:val="true"/>
        </w:rPr>
        <w:t>ה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כדי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Cs w:val="26"/>
          <w:rtl w:val="true"/>
        </w:rPr>
        <w:t>"</w:t>
      </w:r>
      <w:r>
        <w:rPr>
          <w:rFonts w:eastAsia="Calibri"/>
          <w:spacing w:val="0"/>
          <w:sz w:val="24"/>
          <w:sz w:val="24"/>
          <w:szCs w:val="26"/>
          <w:rtl w:val="true"/>
        </w:rPr>
        <w:t>לגבור</w:t>
      </w:r>
      <w:r>
        <w:rPr>
          <w:rFonts w:eastAsia="Calibri"/>
          <w:spacing w:val="0"/>
          <w:sz w:val="24"/>
          <w:szCs w:val="26"/>
          <w:rtl w:val="true"/>
        </w:rPr>
        <w:t xml:space="preserve">" </w:t>
      </w:r>
      <w:r>
        <w:rPr>
          <w:rFonts w:eastAsia="Calibri"/>
          <w:spacing w:val="0"/>
          <w:sz w:val="24"/>
          <w:sz w:val="24"/>
          <w:szCs w:val="26"/>
          <w:rtl w:val="true"/>
        </w:rPr>
        <w:t>על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חומרת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המעשים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והעבירות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המיוחסים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למשיבים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עד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כדי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הותרת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הכרעת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הדין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המזכה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רק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משום</w:t>
      </w:r>
      <w:r>
        <w:rPr>
          <w:rFonts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eastAsia="Calibri"/>
          <w:spacing w:val="0"/>
          <w:sz w:val="24"/>
          <w:sz w:val="24"/>
          <w:szCs w:val="26"/>
          <w:rtl w:val="true"/>
        </w:rPr>
        <w:t>כך</w:t>
      </w:r>
      <w:r>
        <w:rPr>
          <w:rFonts w:eastAsia="Calibri"/>
          <w:spacing w:val="0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ערעור על פסק דינו של בית המשפט המחוזי בבאר שבע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ואגו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אינפלד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12.3.2020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65237-12-15</w:t>
        </w:r>
      </w:hyperlink>
      <w:r>
        <w:rPr>
          <w:rFonts w:cs="Century" w:ascii="Century" w:hAnsi="Century"/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הערעור מכוון להחלטות בית משפט קמא שקיבל את עתירת המשיבים להסרת חיסיון מכוח תעודת חיסיון שהוצאה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הודיעה המערערת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כי היא חוזרת בה מהאישום השני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שהוביל לזיכוי המשיבים מהעבירות שיוחסו להם באישום זה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זו הפעם השנייה שהמשיבים זוכו מהאישום השני וזו הפעם השנייה שהנושא מגיע לפתחו של בית משפט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שיפורט להלן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30.12.2015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האישום הראשון גולל מסכת קשה של עבירות 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אלימות ואיומים שביצע המשיב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בבת זוגו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באישום זה טרם ניתנה הכרעת 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נכון למועד כתיבת שורות אלה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לפי האישום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המשיבים קשרו קשר לביצוע פשע וניסו לשדל שניים אחרים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עדי התביעה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לרצוח את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לכתב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פנה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לחברו לעבודה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ושאל אותו אם הוא מכיר אנשים שיכולים לרצוח מישהי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בפגישה שנערכה ביום </w:t>
      </w:r>
      <w:r>
        <w:rPr>
          <w:rFonts w:cs="Century" w:ascii="Century" w:hAnsi="Century"/>
        </w:rPr>
        <w:t>19.11.2015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בקריית גת בין המשיב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וחברו של א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אמר המשיב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 הקורבן המיועד היא אישה המתגוררת באשדוד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העלה אותה לארץ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ובזבז עליה הרבה כסף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בגדה בו והלכה עם מישהו אחר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למחרת שוחח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עם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שאמר כי ידבר עם המשיב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לשם תשלום מקדמה על סך </w:t>
      </w:r>
      <w:r>
        <w:rPr>
          <w:rFonts w:cs="Century" w:ascii="Century" w:hAnsi="Century"/>
        </w:rPr>
        <w:t>3,000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התשלום המלא יעמוד על </w:t>
      </w:r>
      <w:r>
        <w:rPr>
          <w:rFonts w:cs="Century" w:ascii="Century" w:hAnsi="Century"/>
        </w:rPr>
        <w:t>30,000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כשהבינו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כי המשיבים נחושים להשלים את התוכנית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פנו למשטרה ודיווחו על כך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בטרם החלה שמיעת הראיות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הגיש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כח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"</w:t>
      </w:r>
      <w:r>
        <w:rPr>
          <w:rFonts w:ascii="Century" w:hAnsi="Century" w:cs="Century"/>
          <w:rtl w:val="true"/>
        </w:rPr>
        <w:t xml:space="preserve">בקשה לגילוי חומר חקירה לפי </w:t>
      </w:r>
      <w:hyperlink r:id="rId1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העתירה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במסגרתה עתר לקבל חומר חקירה שלא הועבר לידי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בנוגע לתיעוד שיחות שהתקיימו בין גורמי משטרה לבין עדי התביעה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להלן ביחד גם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בטרם נגבו במשטרה הודעותיהם הגלויות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הבהירה כי החומר המבוקש חסוי מכוח תעודת חיסיון שהוצאה בתיק זה ונחתמה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שר הפנים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וחוסה בין היתר 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 הקשרים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השיטות ודרכי הפעילות של משטרת ישראל עם כל המעורבים ו</w:t>
      </w:r>
      <w:r>
        <w:rPr>
          <w:rFonts w:cs="Century" w:ascii="Century" w:hAnsi="Century"/>
          <w:rtl w:val="true"/>
        </w:rPr>
        <w:t>/</w:t>
      </w:r>
      <w:r>
        <w:rPr>
          <w:rFonts w:ascii="Century" w:hAnsi="Century" w:cs="Century"/>
          <w:rtl w:val="true"/>
        </w:rPr>
        <w:t>או הנחקרים בתיק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אם היו קיימים ובין אם לאו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בית המשפט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טהה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קבע שיש להתייחס לבקשה כאל עתירה לגילוי ראיה חסויה לפי </w:t>
      </w:r>
      <w:hyperlink r:id="rId1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והורה על העברת הדיון בעתירה להרכב שדן בתיק העיקרי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בהחלטתו מיום </w:t>
      </w:r>
      <w:r>
        <w:rPr>
          <w:rFonts w:cs="Century" w:ascii="Century" w:hAnsi="Century"/>
        </w:rPr>
        <w:t>18.1.2017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הורה ההרכב על דחיית העתירה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החומר הרלוונטי חוסה תחת תעודת החיסיון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לנוכח קו ההגנה המסתמן מהמענה לכתב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בחומר החסוי דבר החיוני להגנת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5.6.2018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הגיש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כח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עתירה נוספת לגילוי ראיה חסויה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העתירה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במסגרתה נטען כי ישנה אינדיקציה לכך שהעדים קיבלו טובות הנאה תמורת מסירת המידע ועדותם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יש לראותם כעדי מדינה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דיון בעתירה שהתקיים במעמד צד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הסכימה המדינה למסור להגנה פרפרזה מהחומר החסוי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העד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קיבל תמורה כספית בהמשך למסירת הודעתו במשטרה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15.11.2018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הגישו המשיבים עתירה שלישית לגילוי ראיה חסויה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העתירה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במסגרתה ביקשו להסיר את החיסיון מכל הראיות הנוגעות לעדים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ולקבל תיעוד של כל פעולות המודיעין ותוצריהן שהתקבלו מהם בפרשה הנדונה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המשיבים טענו כי מהפרפרזה עולה שיש לראות את העדים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כעדי מדינה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לנוכח היעדר המידע הרלוונטי במועד עדותם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נפגעה היכולת לחוקרם כדבעי על אודות קשריהם עם המשטרה ונסיבות קבלת טובת ההנאה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יש לזמנם בשנית למתן עדות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המדינה גרסה שיש לדחות את העתירה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העד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קיבל תמורה כספית זמן רב לאחר שמסר את הודעתו במשטרה וללא התניה ביחס אליה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לנוכח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אינם שותפים לדבר עבירה ולכן אינם עדי מדינה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בטרם ניתנה החלטה בעתירה השלישית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הורה בית משפט קמא על החזרת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לדוכן העדים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7.4.2019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העיד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בשנית ונחקר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נשאל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אודות קשריו הקודמים של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עם משטרת 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התנגדה לשאלות אלו בטענה כי הן מפרות את תעודת החיסיון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וביקשה מבית המשפט למחוק מהפרוטוקול את השאלות ואת התשובות שניתנו ביחס לחלקן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 שיש להתיר את חקירת העדים בסוגיית קשריהם עם המשטרה מעבר לגבולות הפרשה הנדונה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הודיעה המדינה כי היא נאלצת לחזור בה מהאישום השני כדי שלא להפר את החיסיון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המשפט זיכה את המשיבים מהעבירות שיוחסו להם באישום זה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המדינה הגישה ערעור לבית משפט זה על זיכוי המשיבים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בטענה שכל עוד לא ניתנה החלטה שמקבלת את העתירה לגילוי 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מקום להורות לעד לענות לשאלות המפרות את תעודת החיסיון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בפסק דינו מיום </w:t>
      </w:r>
      <w:r>
        <w:rPr>
          <w:rFonts w:cs="Century" w:ascii="Century" w:hAnsi="Century"/>
        </w:rPr>
        <w:t>21.11.2019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קיבל בית משפט זה את הערעור </w:t>
      </w:r>
      <w:r>
        <w:rPr>
          <w:rFonts w:cs="Century" w:ascii="Century" w:hAnsi="Century"/>
          <w:rtl w:val="true"/>
        </w:rPr>
        <w:t>(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3427/19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נקבע כי עתירה לגילוי ראיה צריכה להיות מוכרעת בהחלטה מנומקת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בעקיפין או במשתמע כבדרך אגב במהלך דיון הוכחות בהליך העיקרי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התיק הוחזר אפוא לבית המשפט המחוזי למתן החלטה בעתירה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 xml:space="preserve">בהחלטתו מיום </w:t>
      </w:r>
      <w:r>
        <w:rPr>
          <w:rFonts w:cs="Century" w:ascii="Century" w:hAnsi="Century"/>
        </w:rPr>
        <w:t>3.12.2019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הורה בית משפט קמא על הסרת החיסיון מהסיפא של התעודה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שעניינה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 הקשרים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השיטות ודרכי הפעילות של משטרת ישראל עם כל המעורבים ו</w:t>
      </w:r>
      <w:r>
        <w:rPr>
          <w:rFonts w:cs="Century" w:ascii="Century" w:hAnsi="Century"/>
          <w:rtl w:val="true"/>
        </w:rPr>
        <w:t>/</w:t>
      </w:r>
      <w:r>
        <w:rPr>
          <w:rFonts w:ascii="Century" w:hAnsi="Century" w:cs="Century"/>
          <w:rtl w:val="true"/>
        </w:rPr>
        <w:t>או הנחקרים בתיק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אם היו קיימים ובין אם לאו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נקבע שהסרת החיסיון עשויה להיות משמעותית וחיונית להגנת המשיבים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שגובר על האינטרס הציבורי שבבסיס חיסוי הפרטים הרלוונטיים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נציין כי החלטת בית המשפט ניתנה בשני נוסחים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שהאחד מהם חסוי מפני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עמד על כך שהאישום השני מבוסס על עדותם של 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לגבי תוכנה של פגישה מסוימת מיום </w:t>
      </w:r>
      <w:r>
        <w:rPr>
          <w:rFonts w:cs="Century" w:ascii="Century" w:hAnsi="Century"/>
        </w:rPr>
        <w:t>19.11.2015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ששאלת מהימנות גרסתם חיונית לביסוס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בשים לב לסוגיית הגמול שקיבל 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עבור הודעתו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לאפשר להגנה לברר את סוגיית מהימנות העדים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לשם כך נחוץ לבחון את קשרי העדים עם המשטרה בהקשר רחב יותר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המדינה הגישה לבית משפט קמא בקשה לעיון חוזר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בטענה כי לאחר שניתנה ההחלטה בעתירה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התקבל מהמשטרה מסמך שנותן תשובה לשאלה עובדתית שהייתה טעונה בירור במסגרת העתירה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שעיין במסמך במעמד צד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הורה בית משפט קמא בהחלטתו מיום </w:t>
      </w:r>
      <w:r>
        <w:rPr>
          <w:rFonts w:cs="Century" w:ascii="Century" w:hAnsi="Century"/>
        </w:rPr>
        <w:t>22.1.2020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דחיית הבקשה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החלטה זו ניתנה בשני נוסחים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שהאחד מהם חסוי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5.2.2020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הגישה המדינה שוב בקשה לעיון חוזר בהחלטות מיום </w:t>
      </w:r>
      <w:r>
        <w:rPr>
          <w:rFonts w:cs="Century" w:ascii="Century" w:hAnsi="Century"/>
        </w:rPr>
        <w:t>3.12.2019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ומיום </w:t>
      </w:r>
      <w:r>
        <w:rPr>
          <w:rFonts w:cs="Century" w:ascii="Century" w:hAnsi="Century"/>
        </w:rPr>
        <w:t>22.1.2020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ציינה כי זו הפעם היא נכונה להעביר לידי ההגנה מזכרים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פרפרזה רחבה של המזכרים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שהיו חסויים עד 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אודות מפגשים מקדימים עם העדים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נכתבו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אנשי המשטרה שנכחו במפגשים 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הוסיפה כי במידה שההגנה תחפוץ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יהיה לזמן את אנשי המשטרה לחקירה נגדית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והמדינה לא תתנגד לשאלות הנוגעות למפגשים 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הודגש כי המדינה עומדת על הותרת החיסיון על כנו בכל הנוגע לקשרים קודמים בין העדים למשטרה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שהיו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18.2.2020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דחה בית המשפט את הבקשה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וקבע כי לנוכח הנימוקים שהוצגו בהחלטה החסויה מיום </w:t>
      </w:r>
      <w:r>
        <w:rPr>
          <w:rFonts w:cs="Century" w:ascii="Century" w:hAnsi="Century"/>
        </w:rPr>
        <w:t>22.1.2020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די בחשיפת החומרים הנוגעים לפגישות עם העדים בתיק זה בלבד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המדינה הודיעה כי היא עומדת על הותרת החיסיון על כנו בכל הנוגע לקשרים קודמים של העדים עם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וככל שהיו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אין לה אלא לחזור בה מהאישום השני פעם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12.3.2020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הורה בית המשפט על זיכוי המשיבים מאישום זה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שתוקף כאמור את החלטות בית משפט קמא בעניין הסרת החיסיון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לטענת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מידע על אודות קשרים קודמים של עד עם המשטרה הוא חומר חסוי באופן מובהק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במידה שבית משפט קמא ימצא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בסוף ההליך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ללא מידע על אודות קשריהם הקודמים של עדי התביעה עם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בכלל היו כאלה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כדי לפגוע במהימנותם של העדים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שבית המשפט רשאי כמובן לקבוע שאין לסמוך על עדויותיהם ושיש לזכות את הנאשמים לגופו של 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להקדים הכרעה זו ואין להורות על גילוי החומר החסוי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רק לנוכח האפשרות הספקולטיבית שמא בית המשפט יתקשה בסופו של דבר לקבוע את מהימנות העדים ללא החומר החסוי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עודנו באים לבחון את טענת המדינה לגופה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נקדים ונסלק מעל דרכנו טענות סף שהעלו המשיבים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לטענת המשיבים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 הדין הראשון כלל לא ביטל את זיכוי המשיבים מהעבירות של האישום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רק החזיר את התיק לבית משפט קמא למתן החלטה בעתירה השלישית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המועד להגשת ערעור חלף בטרם הוגש הערעור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מרוץ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להגשתו החל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לכל המאוחר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עת ניתנה החלטת בית משפט קמא ביום </w:t>
      </w:r>
      <w:r>
        <w:rPr>
          <w:rFonts w:cs="Century" w:ascii="Century" w:hAnsi="Century"/>
        </w:rPr>
        <w:t>3.12.2019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בעתירה השלישית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המדינה לא הייתה רשאית להגיש את הבקשה לעיון חוזר אלא לנקוט אחת משתיים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להסיר את החיסיון או לחזור בה מכתב האישום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דין טענות הסף להידחות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עיון בפסק הדין הראשון מעלה כי בית המשפט ביטל את החלטת בית משפט קמא להורות על הסרת החיסיון וקיבל את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כך נכתב במפורש בסיפא של 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שאליו הצטרפו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ascii="Century" w:hAnsi="Century" w:cs="Century"/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lang w:eastAsia="he-IL"/>
        </w:rPr>
      </w:pPr>
      <w:r>
        <w:rPr>
          <w:rtl w:val="true"/>
          <w:lang w:eastAsia="he-IL"/>
        </w:rPr>
        <w:t>סוף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אציע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לחבריי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ולהחזיר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לשם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ההרכב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יקבע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וישמע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משלימים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tl w:val="true"/>
          <w:lang w:eastAsia="he-IL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lang w:eastAsia="he-IL"/>
        </w:rPr>
      </w:pPr>
      <w:r>
        <w:rPr>
          <w:rFonts w:cs="Century" w:ascii="Century" w:hAnsi="Century"/>
          <w:rtl w:val="true"/>
          <w:lang w:eastAsia="he-IL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המשמעות של פסק הדין הראשון היא אפוא ביטול הזיכוי והחזרת הדיון לבית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פסק הדין ביטל למעשה את הודעת המדינה מיום </w:t>
      </w:r>
      <w:r>
        <w:rPr>
          <w:rFonts w:cs="Century" w:ascii="Century" w:hAnsi="Century"/>
        </w:rPr>
        <w:t>7.4.2019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 חזרתה מהאישום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זיכוי המשיבים בעקבות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התקופה להגשת הערעור היא 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יום החל מיום </w:t>
      </w:r>
      <w:r>
        <w:rPr>
          <w:rFonts w:cs="Century" w:ascii="Century" w:hAnsi="Century"/>
        </w:rPr>
        <w:t>12.3.2020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עת ניתן פסק הדין שזיכה את המשיבים מהאישום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שהערעור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שהוגש ביום </w:t>
      </w:r>
      <w:r>
        <w:rPr>
          <w:rFonts w:cs="Century" w:ascii="Century" w:hAnsi="Century"/>
        </w:rPr>
        <w:t>5.4.2020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הוגש במועדו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בית המשפט נעתר לעתירה לגילוי ראיה</w:t>
      </w:r>
      <w:r>
        <w:rPr>
          <w:rFonts w:ascii="Century" w:hAnsi="Century" w:cs="Century"/>
          <w:rtl w:val="true"/>
        </w:rPr>
        <w:t xml:space="preserve"> לפי </w:t>
      </w:r>
      <w:hyperlink r:id="rId2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ומורה על גילויה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שבהיעדר זכות ערעור על החלטה 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 שהיא בגדר החלטת ביניים</w:t>
      </w:r>
      <w:r>
        <w:rPr>
          <w:rFonts w:ascii="Century" w:hAnsi="Century" w:cs="Century"/>
          <w:rtl w:val="true"/>
        </w:rPr>
        <w:t xml:space="preserve"> שאין עליה זכות ערעור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יחול העיקרון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האשמת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גילית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כלשונו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ascii="Century" w:hAnsi="Century" w:cs="Century"/>
          <w:rtl w:val="true"/>
        </w:rPr>
        <w:t xml:space="preserve"> ב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1378/20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זגורי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7.4.2020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זגורי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6185/20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גופשטיין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19.10.2020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במילים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עומדת בפני המדינה הברירה</w:t>
      </w:r>
      <w:r>
        <w:rPr>
          <w:rFonts w:ascii="Century" w:hAnsi="Century" w:cs="Century"/>
          <w:rtl w:val="true"/>
        </w:rPr>
        <w:t xml:space="preserve"> לעשות אחת משתיים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לגלות את הראיה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לחזור בה מכתב האישום כדי להימנע מחשיפת הראיה הכרוכה בפגיעה באינטרס חיוני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5114/97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סלימאני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נה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721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723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 xml:space="preserve">);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621/01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דרויש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נה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823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828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120/10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24.2.2010</w:t>
      </w:r>
      <w:r>
        <w:rPr>
          <w:rFonts w:cs="Century" w:ascii="Century" w:hAnsi="Century"/>
          <w:rtl w:val="true"/>
        </w:rPr>
        <w:t xml:space="preserve">);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8585/12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23.1.2014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אם חזרה בה המדינה מכתב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הדבר מביא </w:t>
      </w:r>
      <w:r>
        <w:rPr>
          <w:rFonts w:ascii="Century" w:hAnsi="Century" w:cs="Century"/>
          <w:rtl w:val="true"/>
        </w:rPr>
        <w:t>לזיכויו של הנאש</w:t>
      </w:r>
      <w:r>
        <w:rPr>
          <w:rFonts w:ascii="Century" w:hAnsi="Century" w:cs="Century"/>
          <w:rtl w:val="true"/>
        </w:rPr>
        <w:t xml:space="preserve">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4288/13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23.10.2013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4873/17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הביטחון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6.7.2017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שתי אפשרויות אלה קיימת גם אפשרות 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לפנות לערכאה הדיונית בבקשה לעיון חוזר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מקום בו ניתן להצביע על שינוי נסיבות </w:t>
      </w:r>
      <w:r>
        <w:rPr>
          <w:rFonts w:cs="Century" w:ascii="Century" w:hAnsi="Century"/>
          <w:rtl w:val="true"/>
        </w:rPr>
        <w:t>(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462/07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פס</w:t>
      </w:r>
      <w:r>
        <w:rPr>
          <w:rFonts w:ascii="Century" w:hAnsi="Century" w:cs="Century"/>
          <w:rtl w:val="true"/>
        </w:rPr>
        <w:t>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20.2.2007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חמאד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טרם זיכוי עקב חזרה מכתב 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שצפוי להביא את הנושא לפתחה של ערכאת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רשאית התביעה למצות את טענותיה ולעתור לעיון חוזר בהחלטה על הסרת החיסיון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בשל טעמים נוספים שנשמטו מעיני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בשל שינוי נסיבות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 החלטת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בחנה התביעה פעם נוספת את החומרים שתחת תעודת החיסיון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התייעצות עם גורמי המודיעין הרלוונטיים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הגיעה למסקנה כי היא נכונה לחשוף בדרך של פרפרזה מפורטת את שנאמר במפגשים בין עדי התביעה למשטרה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קודם למסירת הודעותיהם במשטרה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לאור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 כי התביעה רשאית הייתה לחזור ולפנות לבית משפט קמא בבקשה לעיון חוזר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ארשום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הערת אזהרה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בפני התביעה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מוצאת תעודת חיסיון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נקודת המוצא נוכח חזקת ההגינות שבה מעמיד בית המשפט את התביעה היא שכל מה שניתן לחשוף בפני ההגנה נחשף מלכתחילה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והמידע החסוי תחת תעודת החיסיון הוא כזה שאכן לא ניתן לחשוף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לקבל מצב שבו תעודת החיסיון היא בבחינת חומה ראשונה שמעמידה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שניתן לסגת ממנה אם וכאשר בית המשפט מורה על הסרת החיסיון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ואז לחשוף חלק מהחומר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בבחינת נסיגה טקטית אל החומה השנייה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המקרה שלפנינו הוא חריג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בהיבט זה שהמדינה נכונה כעת לחשוף חלק מהחומר שהיה חסוי תחת תעודת החיסיון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ככל שבעתיד יתברר כי כך נוהגת המדינה תדיר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ייתכן שבית המשפט יראה בכך טקטיקה פסולה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ומכאן לגופו של ערעור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המסגרת הנורמטיבית הצריכה לענייננו היא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שהתקבל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</w:p>
    <w:p>
      <w:pPr>
        <w:pStyle w:val="Ruller51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 w:ascii="Century" w:hAnsi="Century"/>
          <w:sz w:val="22"/>
          <w:szCs w:val="28"/>
        </w:rPr>
        <w:t>45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 xml:space="preserve">. </w:t>
      </w:r>
      <w:r>
        <w:rPr>
          <w:rStyle w:val="default"/>
          <w:rFonts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אין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אדם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חייב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למסור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ובית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המשפט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יקבל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ראיה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שר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הביע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דעתו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בתעודה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חתומה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בידו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מסירתה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עלולה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לפגוע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בענין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ציבורי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חשוב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אלא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מצא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המשפט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הדן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בדבר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/>
          <w:sz w:val="22"/>
          <w:szCs w:val="28"/>
          <w:rtl w:val="true"/>
        </w:rPr>
        <w:t>-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עתירת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בעל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המבקש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גילוי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הראיה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הצורך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לגלותה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לשם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עשיית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צדק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עדיף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הענין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שיש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לגלותה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ובהליך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פלילי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הראיה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עשויה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להועיל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להגנת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הנאשם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ומידת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התועלת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שבה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להגנה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עולה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העניין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שיש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לגלותה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שהיא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חיונית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להגנת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הנאשם</w:t>
      </w:r>
      <w:r>
        <w:rPr>
          <w:rStyle w:val="default"/>
          <w:rFonts w:ascii="Century" w:hAnsi="Century"/>
          <w:sz w:val="22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</w:t>
      </w:r>
      <w:r>
        <w:rPr>
          <w:rStyle w:val="default"/>
          <w:rFonts w:ascii="Century" w:hAnsi="Century"/>
          <w:sz w:val="22"/>
          <w:szCs w:val="28"/>
          <w:rtl w:val="true"/>
        </w:rPr>
        <w:t>)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אין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בבירור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עתירה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כאמור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בסעיף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קטן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כדי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לעכב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הדיון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בהליך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העיקרי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למעט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במקרים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שבהם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הכרעה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בעתירה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נחוצה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להמשך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הדיון</w:t>
      </w:r>
      <w:r>
        <w:rPr>
          <w:rStyle w:val="default"/>
          <w:rFonts w:ascii="Century" w:hAnsi="Century"/>
          <w:sz w:val="22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ג</w:t>
      </w:r>
      <w:r>
        <w:rPr>
          <w:rStyle w:val="default"/>
          <w:rFonts w:ascii="Century" w:hAnsi="Century"/>
          <w:sz w:val="22"/>
          <w:szCs w:val="28"/>
          <w:rtl w:val="true"/>
        </w:rPr>
        <w:t>)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המשפט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רשאי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להעביר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הדיון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בעתירה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לשופט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יחיד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שאינו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בתיק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,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ואם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היה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בית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המשפט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הרכב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לשופט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יחיד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שהוא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אחד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משופטי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ההרכב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או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שאינו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בתיק</w:t>
      </w:r>
      <w:r>
        <w:rPr>
          <w:rStyle w:val="default"/>
          <w:rFonts w:ascii="Century" w:hAnsi="Century"/>
          <w:sz w:val="22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</w:t>
      </w:r>
      <w:r>
        <w:rPr>
          <w:rStyle w:val="default"/>
          <w:rFonts w:ascii="Century" w:hAnsi="Century"/>
          <w:sz w:val="22"/>
          <w:szCs w:val="28"/>
          <w:rtl w:val="true"/>
        </w:rPr>
        <w:t>)</w:t>
        <w:tab/>
        <w:t>(</w:t>
      </w:r>
      <w:r>
        <w:rPr>
          <w:rStyle w:val="default"/>
          <w:rFonts w:ascii="Century" w:hAnsi="Century"/>
          <w:sz w:val="22"/>
          <w:szCs w:val="28"/>
        </w:rPr>
        <w:t>1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השר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לביטחון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הפנים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רשאי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לאצול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את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סמכותו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סעיף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זה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לאחד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מאלה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בסעיף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קטן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זה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–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ממונה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חסיונות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): [...] </w:t>
      </w:r>
    </w:p>
    <w:p>
      <w:pPr>
        <w:pStyle w:val="Ruller51"/>
        <w:ind w:end="1282"/>
        <w:jc w:val="both"/>
        <w:rPr/>
      </w:pPr>
      <w:r>
        <w:rPr>
          <w:rStyle w:val="default"/>
          <w:rFonts w:eastAsia="Century" w:ascii="Century" w:hAnsi="Century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Cs w:val="28"/>
        </w:rPr>
        <w:t>2</w:t>
      </w:r>
      <w:r>
        <w:rPr>
          <w:rStyle w:val="default"/>
          <w:rFonts w:ascii="Century" w:hAnsi="Century"/>
          <w:sz w:val="22"/>
          <w:szCs w:val="28"/>
          <w:rtl w:val="true"/>
        </w:rPr>
        <w:t>)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אצילה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לפי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פסקה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Cs w:val="28"/>
          <w:rtl w:val="true"/>
        </w:rPr>
        <w:t>(</w:t>
      </w:r>
      <w:r>
        <w:rPr>
          <w:rStyle w:val="default"/>
          <w:rFonts w:ascii="Century" w:hAnsi="Century"/>
          <w:sz w:val="22"/>
          <w:szCs w:val="28"/>
        </w:rPr>
        <w:t>1</w:t>
      </w:r>
      <w:r>
        <w:rPr>
          <w:rStyle w:val="default"/>
          <w:rFonts w:ascii="Century" w:hAnsi="Century"/>
          <w:sz w:val="22"/>
          <w:szCs w:val="28"/>
          <w:rtl w:val="true"/>
        </w:rPr>
        <w:t xml:space="preserve">)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יכול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שתהיה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לכמה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ממונים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חסיונות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;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>(</w:t>
      </w:r>
      <w:r>
        <w:rPr>
          <w:rStyle w:val="default"/>
          <w:rFonts w:cs="FrankRuehl" w:ascii="Century" w:hAnsi="Century"/>
          <w:sz w:val="22"/>
          <w:szCs w:val="28"/>
        </w:rPr>
        <w:t>3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)</w:t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דין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ממונה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על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חסיונות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כדין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עובד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המדינה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לעניין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חיקוקים</w:t>
      </w:r>
      <w:r>
        <w:rPr>
          <w:rStyle w:val="default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אלה</w:t>
      </w:r>
      <w:r>
        <w:rPr>
          <w:rStyle w:val="default"/>
          <w:rFonts w:cs="FrankRuehl" w:ascii="Century" w:hAnsi="Century"/>
          <w:sz w:val="22"/>
          <w:szCs w:val="28"/>
          <w:rtl w:val="true"/>
        </w:rPr>
        <w:t>: [...]</w:t>
      </w:r>
    </w:p>
    <w:p>
      <w:pPr>
        <w:pStyle w:val="Ruller51"/>
        <w:ind w:end="1282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ascii="Century" w:hAnsi="Century"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Style w:val="default"/>
          <w:rFonts w:cs="FrankRuehl" w:ascii="Century" w:hAnsi="Century"/>
          <w:sz w:val="22"/>
          <w:szCs w:val="28"/>
          <w:rtl w:val="true"/>
        </w:rPr>
        <w:tab/>
      </w:r>
      <w:r>
        <w:rPr>
          <w:rStyle w:val="default"/>
          <w:rFonts w:ascii="Century" w:hAnsi="Century"/>
          <w:sz w:val="22"/>
          <w:sz w:val="22"/>
          <w:szCs w:val="28"/>
          <w:rtl w:val="true"/>
        </w:rPr>
        <w:t>תכ</w:t>
      </w:r>
      <w:r>
        <w:rPr>
          <w:rFonts w:ascii="Century" w:hAnsi="Century" w:cs="Century"/>
          <w:rtl w:val="true"/>
        </w:rPr>
        <w:t>ליתו המרכזית של 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שהביא במקביל לתיקון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hyperlink r:id="rId3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היא למנוע פגיעה במערך המודיעין באמצעות צמצום החומר המודיעיני שנמסר לנאשם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מבלי שהדבר יפגע בהגנתו של הנאשם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r>
        <w:rPr>
          <w:rFonts w:ascii="Century" w:hAnsi="Century" w:cs="Century"/>
          <w:rtl w:val="true"/>
        </w:rPr>
        <w:t xml:space="preserve">גיל שפירא וישי שרון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צריך עיון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הערות ראשוניות בעקבות 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סדר הדין הפלילי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253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לנאשם אין זכות עיון בחומר מודיעיני שנאסף או נרשם על ידי רשות מודיעין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אם כן הוא נכלל באחת מארבע הקטגוריות המפורטות </w:t>
      </w:r>
      <w:hyperlink r:id="rId36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לאחר 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75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קרי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חומר שמתייחס לעובדות המתוארות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לתוכן עדות שאמורה להישמע בשלב בירור האשמה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לראיה שאמורה להיות מוגשת כאמור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מרכזי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זגורי</w:t>
      </w:r>
      <w:r>
        <w:rPr>
          <w:rFonts w:ascii="Century" w:hAnsi="Century" w:cs="Century"/>
          <w:rtl w:val="true"/>
        </w:rPr>
        <w:t xml:space="preserve"> דן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ascii="Century" w:hAnsi="Century" w:cs="Century"/>
          <w:rtl w:val="true"/>
        </w:rPr>
        <w:t xml:space="preserve"> בהרחבה במונח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מהימנות של עד מרכזי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שלגביו יש לנאשם זכות עיון גם בחומר מודיעין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נקבע כי </w:t>
      </w:r>
      <w:r>
        <w:rPr>
          <w:rFonts w:ascii="Century" w:hAnsi="Century" w:cs="Century"/>
          <w:rtl w:val="true"/>
        </w:rPr>
        <w:t>אין לפרש את המונח ככולל חומר שהשלכתו על מהימנות העד היא כללית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מידע שמצביע על מעורבות העד במעשים פליליים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על היותו עבריין מסוכן או אדם לא ישר ובלתי אמין באופן כללי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אלא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הכוונה היא לחומר מודיעין אשר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קשור קשר קונקרטי לתוכן העדות שהעד עתיד למסור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מסר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למניעיו הקונקרטיים להעליל על הנאשם העומד לדין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וכיוצא באלה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חומר שיש לו השלכה קונקרטית על תוכן העדות שהעד מסר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עתיד למסור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במשפטו של הנאשם 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מחומר אשר נוגע לעניין צדדי והשלכתו על מהימנותו של העד היא כללית גרידא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הטעם לכך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מידע מודיעיני ש</w:t>
      </w:r>
      <w:r>
        <w:rPr>
          <w:rFonts w:ascii="Century" w:hAnsi="Century" w:cs="Century"/>
          <w:rtl w:val="true"/>
        </w:rPr>
        <w:t xml:space="preserve">נועד אך ורק </w:t>
      </w:r>
      <w:r>
        <w:rPr>
          <w:rFonts w:ascii="Century" w:hAnsi="Century" w:cs="Century"/>
          <w:rtl w:val="true"/>
        </w:rPr>
        <w:t xml:space="preserve">להציג עד </w:t>
      </w:r>
      <w:r>
        <w:rPr>
          <w:rFonts w:ascii="Century" w:hAnsi="Century" w:cs="Century"/>
          <w:rtl w:val="true"/>
        </w:rPr>
        <w:t xml:space="preserve">תביעה </w:t>
      </w:r>
      <w:r>
        <w:rPr>
          <w:rFonts w:ascii="Century" w:hAnsi="Century" w:cs="Century"/>
          <w:rtl w:val="true"/>
        </w:rPr>
        <w:t>מרכזי באור שלילי כדי להטיל ספק כללי באמינותו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מביא תועלת ממשית להגנה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להבדיל </w:t>
      </w:r>
      <w:r>
        <w:rPr>
          <w:rFonts w:ascii="Century" w:hAnsi="Century" w:cs="Century"/>
          <w:rtl w:val="true"/>
        </w:rPr>
        <w:t>ממידע ש</w:t>
      </w:r>
      <w:r>
        <w:rPr>
          <w:rFonts w:ascii="Century" w:hAnsi="Century" w:cs="Century"/>
          <w:rtl w:val="true"/>
        </w:rPr>
        <w:t xml:space="preserve">יכול לשמש את ההגנה כדי </w:t>
      </w:r>
      <w:r>
        <w:rPr>
          <w:rFonts w:ascii="Century" w:hAnsi="Century" w:cs="Century"/>
          <w:rtl w:val="true"/>
        </w:rPr>
        <w:t>להטיל ספק קונקרטי מוגדר בעדותו של העד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ההגנה דנן מבקשת לעמוד על קנקנם של עדי התביעה ולערער את מהימנותם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ולשם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מבקשת להסיר את החיסיון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ההגנה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העובדה שעד התביעה קיבל תמורה עבור עדותו בפרשה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מעידה על כך שהייתה לו ציפיה לקבל תמורה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שעשוי להשליך על הערכת מהימנותו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מידע קונקרטי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דיו שיש בו כדי לסייע להגנה במלאכתה זו</w:t>
      </w:r>
      <w:r>
        <w:rPr>
          <w:rFonts w:cs="Century" w:ascii="Century" w:hAnsi="Century"/>
          <w:rtl w:val="true"/>
        </w:rPr>
        <w:t xml:space="preserve">?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מן המפורסמות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שאין לחשוף </w:t>
      </w:r>
      <w:r>
        <w:rPr>
          <w:rFonts w:ascii="Century" w:hAnsi="Century" w:cs="Century"/>
          <w:rtl w:val="true"/>
        </w:rPr>
        <w:t>מקורות מידע מודיעיניים של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שהרי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חשיפת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מודיע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לגרום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לפגיעה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ולעתים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קשה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בעבודת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כרוכה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בסכנה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מוחשית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לחייו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המודיע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להניח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מעטים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יהיו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מוכנים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לחשוף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עצמם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סכנה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וראו בדומה 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383/71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יהודאי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267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273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1972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1335/91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אבו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פאדה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120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64/91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חילף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משטרת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מז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653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657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למקרה בו ביטל בית משפט זה זיכוי בעקבות חזרת המדינה מהאישום לאחר שהערכאה הדיונית הורתה לחשוף את שמו של המקור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ראו פסק דינו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ascii="Century" w:hAnsi="Century" w:cs="Century"/>
          <w:rtl w:val="true"/>
        </w:rPr>
        <w:t xml:space="preserve"> ב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5033/19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חדיר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19.8.2019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לעיתים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רק חשיפת שמו של המקור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</w:t>
      </w:r>
      <w:r>
        <w:rPr>
          <w:rFonts w:ascii="Century" w:hAnsi="Century" w:cs="Century"/>
          <w:rtl w:val="true"/>
        </w:rPr>
        <w:t xml:space="preserve">אפילו </w:t>
      </w:r>
      <w:r>
        <w:rPr>
          <w:rFonts w:ascii="Century" w:hAnsi="Century" w:cs="Century"/>
          <w:rtl w:val="true"/>
        </w:rPr>
        <w:t>מועד מסירת המידע עלול לסכן את שלומו של המקור ולפגוע באינטרס הציבורי הגלום בשיתוף פעולה עם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החלטת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מרגלית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2145-08-19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מיוסט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15.2.2020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אלא שבמקרה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למקרה הרגיל שבו זהותו של מקור משטרתי היא חסויה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זהותם של עדי התביעה ידועה היטב למשיבים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שהרי על פי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 שפנה אליהם על מנת להזמין את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תהינו מה עומד מאחורי תעודת החיסיון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פי סמכותנו לפי </w:t>
      </w:r>
      <w:hyperlink r:id="rId4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46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ניהלנו דיון במעמד צד אחד עם באי כוח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להבין מדוע המשטרה עומדת בתוקף על הטלת חיסיון על קשרים קודמים של עדי התביעה עם המשטרה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תשובתה של המדינה הפיסה את דעתנו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עצם הידיעה אם אדם מסוים הוא מקור או היה בעבר מקור אם לאו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כשלעצמה חסויה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מקורות יידעו שהם עלולים להיחשף כמקורות משטרתיים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לא ישתפו פעולה עם המשטרה והאינטרס הציבורי יימצא נפגע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ככל שבית המשפט יתיר להגנה לשאול על קשרים קודמים של עדי התביעה עם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נפקה מינה אם היו להם קשרים קודמים אם לאו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שלעצם ההיתר לשאול שאלות מהסוג האמור עלולות להיות השלכות רוחב קשות על עבודת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וכפועל יוצא על שלום הציבור וביטחונו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זו הסיבה שבגינה המדינה אינה נכונה לאשר או להכחיש אם עדי התביעה שימשו בעבר כמקורות משטרתיים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ותעודת החיסיון הצטמצמה אפוא אך ורק לשאלת קיומם של קשרים קודמים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עדי התביעה למשטרה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בנושא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הוגש לנו מסמך חסוי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שעינה של הערכאה הדיונית טרם שזפה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שעיינו במסמך החסוי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הגענו למסקנה כי אין בו ראייה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חיונית</w:t>
      </w:r>
      <w:r>
        <w:rPr>
          <w:rFonts w:ascii="Century" w:hAnsi="Century" w:cs="Century"/>
          <w:rtl w:val="true"/>
        </w:rPr>
        <w:t xml:space="preserve"> להגנת המשיבים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אף לא ראייה שעשויה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להועיל</w:t>
      </w:r>
      <w:r>
        <w:rPr>
          <w:rFonts w:ascii="Century" w:hAnsi="Century" w:cs="Century"/>
          <w:rtl w:val="true"/>
        </w:rPr>
        <w:t xml:space="preserve"> להגנתם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ההבחנה של המחוקק בין חומר </w:t>
      </w:r>
      <w:r>
        <w:rPr>
          <w:rStyle w:val="default"/>
          <w:rFonts w:ascii="Century" w:hAnsi="Century" w:cs="Century"/>
          <w:rtl w:val="true"/>
        </w:rPr>
        <w:t>ש</w:t>
      </w:r>
      <w:r>
        <w:rPr>
          <w:rStyle w:val="default"/>
          <w:rFonts w:ascii="Century" w:hAnsi="Century" w:cs="Century"/>
          <w:rtl w:val="true"/>
        </w:rPr>
        <w:t xml:space="preserve">הוא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חיוני</w:t>
      </w:r>
      <w:r>
        <w:rPr>
          <w:rStyle w:val="default"/>
          <w:rFonts w:ascii="Century" w:hAnsi="Century" w:cs="Century"/>
          <w:rtl w:val="true"/>
        </w:rPr>
        <w:t xml:space="preserve"> להגנתו של הנאשם לבין חומר שיש בו </w:t>
      </w:r>
      <w:r>
        <w:rPr>
          <w:rFonts w:ascii="Century" w:hAnsi="Century" w:cs="Century"/>
          <w:rtl w:val="true"/>
        </w:rPr>
        <w:t xml:space="preserve">אך כדי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להועיל</w:t>
      </w:r>
      <w:r>
        <w:rPr>
          <w:rFonts w:ascii="Century" w:hAnsi="Century" w:cs="Century"/>
          <w:rtl w:val="true"/>
        </w:rPr>
        <w:t xml:space="preserve"> להגנת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שמובילה לשתי רמות איזון 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יסודה בפסק הדין של השופט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 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cs="Century"/>
          <w:rtl w:val="true"/>
        </w:rPr>
        <w:t xml:space="preserve"> ב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838/84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ליבני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לח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729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739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1984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וראו לדוגמה החלטותיו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ascii="Century" w:hAnsi="Century" w:cs="Century"/>
          <w:rtl w:val="true"/>
        </w:rPr>
        <w:t xml:space="preserve"> ב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3921/19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4.7.2019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</w:t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3584/18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24.6.2018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אנו מורים כלהלן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פסק דינו של בית משפט קמא יבוטל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ולמען הסר ספק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אנו מורים על ביטול הזיכוי של המשיבים מהאישום השני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המאשימה להעביר לעיון ההגנה פרפרזה מפורטת של שתי הידיעות בדבר המפגש של אנשי המשטרה עם עדי התביעה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ידיעה שהספרות הראשונות שלה הם </w:t>
      </w:r>
      <w:r>
        <w:rPr>
          <w:rFonts w:cs="Century" w:ascii="Century" w:hAnsi="Century"/>
        </w:rPr>
        <w:t>15-05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וידיעה שהספרות הראשונות שלה </w:t>
      </w:r>
      <w:r>
        <w:rPr>
          <w:rFonts w:cs="Century" w:ascii="Century" w:hAnsi="Century"/>
        </w:rPr>
        <w:t>16-00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וכן להביא לעיונו של בית המשפט את החומר החסוי שהוגש לנו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שבית המשפט יהיה מודע לתוכנו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במסמך אחד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שרק עליו חל כיום החיסיון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המסמך בחתימת רמ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איסוף יומינט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נדגיש כי בית משפט קמא אינו כבול להערכתנו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שלנו את משקלו של החומר החסוי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האפשרות שההגנה תקעקע את מהימנות עדי התביעה לנוכח תשובותיהם בחקירה נגדית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איננה מצדיקה לטעמנו את הסרת החיסיון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כמי שבקעת המחלוקת מוכרת לו היטב כערכאה הדיונית הבקיאה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רשאי בית משפט קמא להגיע למסקנה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וככל שימצא בהמשך כי יש בחיסיון החומר כדי לפגוע בהגנתם של המשיבים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הוא רשאי לפעול כחוכמתו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בשולי הדברים אציין כי לא בנקל הגעתי לתוצאה שאליה הגעתי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חלפו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מאז האירועים המתוארים באישום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והמשיבים כבר זוכו פעמיים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יש בכך משום עינוי דין מבחינת המשיבים ובמיוחד לגבי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שהאישום של קשירת קשר לביצוע פשע וניסיון לשידול לרצח הוא האישום היחיד המיוחס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דומה כי טוב יעשו הצדדים אם יבחנו האפשרות לסיים את התיק שלא בדרך של המשך שמיעת ראיות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lang w:eastAsia="he-IL"/>
        </w:rPr>
        <w:t>21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סוף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אציע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לחבריי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לבטל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זיכויים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.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חסויה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החסויה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לגלותהּ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החסויה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נתגלתה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Arial TUR" w:cs="Arial TUR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462/07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חמאד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20.2.2007</w:t>
      </w:r>
      <w:r>
        <w:rPr>
          <w:rtl w:val="true"/>
        </w:rPr>
        <w:t xml:space="preserve">);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חמאד</w:t>
      </w:r>
      <w:r>
        <w:rPr>
          <w:rtl w:val="true"/>
        </w:rPr>
        <w:t xml:space="preserve">).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החסויות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והצגתה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יתירה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המתחייבים</w:t>
      </w:r>
      <w:r>
        <w:rPr>
          <w:rtl w:val="true"/>
        </w:rPr>
        <w:t xml:space="preserve">,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סמכויות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אכיפה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מעצרים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1523/18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22.2.2018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המוגבלים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נוחות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שיפורים</w:t>
      </w:r>
      <w:r>
        <w:rPr>
          <w:rtl w:val="true"/>
        </w:rPr>
        <w:t xml:space="preserve">".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החסוי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חיסיון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מחווה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" </w:t>
      </w:r>
      <w:r>
        <w:rPr>
          <w:rtl w:val="true"/>
        </w:rPr>
        <w:t>מצידה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החסוי</w:t>
      </w:r>
      <w:r>
        <w:rPr>
          <w:rtl w:val="true"/>
        </w:rPr>
        <w:t xml:space="preserve">.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חסוי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חסוי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האינהרנטיים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חסויות</w:t>
      </w:r>
      <w:r>
        <w:rPr>
          <w:rtl w:val="true"/>
        </w:rPr>
        <w:t xml:space="preserve">.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מהתובע</w:t>
      </w:r>
      <w:r>
        <w:rPr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שיאמוד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חיוניותו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החסויות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לחסותו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), </w:t>
      </w:r>
      <w:r>
        <w:rPr>
          <w:rtl w:val="true"/>
        </w:rPr>
        <w:t>ובעמדתה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החיסיון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לוּ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המתחייבת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חסויה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חמאד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לסירוגין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חותר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ביניים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החיסיון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וקבילותן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;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לבטל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  <w:u w:val="single"/>
        </w:rPr>
      </w:pPr>
      <w:r>
        <w:rPr>
          <w:rFonts w:cs="Miriam" w:ascii="Century" w:hAnsi="Century"/>
          <w:b/>
          <w:sz w:val="22"/>
          <w:u w:val="single"/>
        </w:rPr>
      </w:r>
    </w:p>
    <w:p>
      <w:pPr>
        <w:pStyle w:val="Ruller41"/>
        <w:bidi w:val="0"/>
        <w:rPr>
          <w:rFonts w:ascii="Century" w:hAnsi="Century" w:cs="Miriam"/>
          <w:b/>
          <w:sz w:val="22"/>
          <w:u w:val="single"/>
        </w:rPr>
      </w:pPr>
      <w:r>
        <w:rPr>
          <w:rFonts w:cs="Miriam" w:ascii="Century" w:hAnsi="Century"/>
          <w:b/>
          <w:sz w:val="22"/>
          <w:u w:val="singl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שותפה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הערת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האזהרה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שהציב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הטקטיקה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הוצאת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חיסיון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רחבה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התביעה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נסיגה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בחלקה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מורה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הסרת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החיסיון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ומסכימה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הזרקור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שהאיר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י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אלרון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המידתיות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והאיפוק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לנהוג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בנקיטת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גילוי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חסויה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1"/>
        <w:ind w:end="0"/>
        <w:jc w:val="both"/>
        <w:rPr>
          <w:rFonts w:ascii="Century" w:hAnsi="Century" w:eastAsia="Calibri" w:cs="Century"/>
        </w:rPr>
      </w:pPr>
      <w:r>
        <w:rPr>
          <w:rFonts w:eastAsia="Calibri" w:cs="Century" w:ascii="Century" w:hAnsi="Century"/>
          <w:rtl w:val="true"/>
        </w:rPr>
        <w:tab/>
      </w:r>
      <w:r>
        <w:rPr>
          <w:rFonts w:ascii="Century" w:hAnsi="Century" w:eastAsia="Calibri" w:cs="Century"/>
          <w:rtl w:val="true"/>
        </w:rPr>
        <w:t xml:space="preserve">הגשת בקשות לעיון חוזר ובתוך כך חשיפת המידע </w:t>
      </w:r>
      <w:r>
        <w:rPr>
          <w:rFonts w:eastAsia="Calibri" w:cs="Century" w:ascii="Century" w:hAnsi="Century"/>
          <w:rtl w:val="true"/>
        </w:rPr>
        <w:t>"</w:t>
      </w:r>
      <w:r>
        <w:rPr>
          <w:rFonts w:ascii="Century" w:hAnsi="Century" w:eastAsia="Calibri" w:cs="Century"/>
          <w:rtl w:val="true"/>
        </w:rPr>
        <w:t>בתשלומים</w:t>
      </w:r>
      <w:r>
        <w:rPr>
          <w:rFonts w:eastAsia="Calibri" w:cs="Century" w:ascii="Century" w:hAnsi="Century"/>
          <w:rtl w:val="true"/>
        </w:rPr>
        <w:t xml:space="preserve">" </w:t>
      </w:r>
      <w:r>
        <w:rPr>
          <w:rFonts w:ascii="Century" w:hAnsi="Century" w:eastAsia="Calibri" w:cs="Century"/>
          <w:rtl w:val="true"/>
        </w:rPr>
        <w:t>על ידי התביעה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כפי שאירע בענייננו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בניסיון להתגבר באופן זה על החלטת בית המשפט בדבר הסרת החיסיון מהמידע החוסה תחת תעודת החיסיון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אינה פרקטיקה ראויה</w:t>
      </w:r>
      <w:r>
        <w:rPr>
          <w:rFonts w:eastAsia="Calibri" w:cs="Century" w:ascii="Century" w:hAnsi="Century"/>
          <w:rtl w:val="true"/>
        </w:rPr>
        <w:t xml:space="preserve">. </w:t>
      </w:r>
      <w:r>
        <w:rPr>
          <w:rFonts w:ascii="Century" w:hAnsi="Century" w:eastAsia="Calibri" w:cs="Century"/>
          <w:rtl w:val="true"/>
        </w:rPr>
        <w:t>יש בה למעשה גם להאריך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במידה רבה באופן מלאכותי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את מרוץ הזמנים להגשת ערעור על הכרעת דין מזכה </w:t>
      </w:r>
      <w:r>
        <w:rPr>
          <w:rFonts w:ascii="Century" w:hAnsi="Century" w:eastAsia="Calibri" w:cs="Century"/>
          <w:rtl w:val="true"/>
        </w:rPr>
        <w:t>–</w:t>
      </w:r>
      <w:r>
        <w:rPr>
          <w:rFonts w:ascii="Century" w:hAnsi="Century" w:eastAsia="Calibri" w:cs="Century"/>
          <w:rtl w:val="true"/>
        </w:rPr>
        <w:t xml:space="preserve"> שהיא פועל יוצא של החלטה בדבר הסרת חיסיון מצד אחד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ועמידת המדינה על הותרת החיסיון מצד שני</w:t>
      </w:r>
      <w:r>
        <w:rPr>
          <w:rFonts w:eastAsia="Calibri" w:cs="Century" w:ascii="Century" w:hAnsi="Century"/>
          <w:rtl w:val="true"/>
        </w:rPr>
        <w:t xml:space="preserve">. </w:t>
      </w:r>
      <w:r>
        <w:rPr>
          <w:rFonts w:ascii="Century" w:hAnsi="Century" w:eastAsia="Calibri" w:cs="Century"/>
          <w:rtl w:val="true"/>
        </w:rPr>
        <w:t>ואולם חרף הביקורת על התנהלות התביעה במקרה דנן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דעתי כדעת חבריי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שאין בכך כדי 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לגבור</w:t>
      </w:r>
      <w:r>
        <w:rPr>
          <w:rFonts w:eastAsia="Calibri" w:cs="Miriam" w:ascii="Century" w:hAnsi="Century"/>
          <w:b/>
          <w:spacing w:val="0"/>
          <w:szCs w:val="24"/>
          <w:rtl w:val="true"/>
        </w:rPr>
        <w:t>"</w:t>
      </w:r>
      <w:r>
        <w:rPr>
          <w:rFonts w:eastAsia="Calibri" w:cs="Century" w:ascii="Century" w:hAnsi="Century"/>
          <w:rtl w:val="true"/>
        </w:rPr>
        <w:t xml:space="preserve"> </w:t>
      </w:r>
      <w:r>
        <w:rPr>
          <w:rFonts w:ascii="Century" w:hAnsi="Century" w:eastAsia="Calibri" w:cs="Century"/>
          <w:rtl w:val="t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i"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alibri" w:cs="Century"/>
        </w:rPr>
      </w:pPr>
      <w:r>
        <w:rPr>
          <w:rFonts w:eastAsia="Calibri"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 w:cs="Century" w:ascii="Century" w:hAnsi="Century"/>
          <w:rtl w:val="true"/>
        </w:rPr>
        <w:tab/>
      </w:r>
      <w:r>
        <w:rPr>
          <w:rFonts w:ascii="Century" w:hAnsi="Century" w:eastAsia="Calibri" w:cs="Century"/>
          <w:rtl w:val="true"/>
        </w:rPr>
        <w:t>א</w:t>
      </w:r>
      <w:r>
        <w:rPr>
          <w:rFonts w:eastAsia="Calibri"/>
          <w:rtl w:val="true"/>
        </w:rPr>
        <w:t>ני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מצרפת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הסכמתי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Cs w:val="24"/>
          <w:rtl w:val="true"/>
        </w:rPr>
        <w:t>עמית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להתקבל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ומשמע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שתבוטל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הסרת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החיסיון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הסיפא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לתעודת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החיסיון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לקשרים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קודמים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המשטרה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יבוטל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זיכויים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השני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והתיק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ימשיך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להידון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לגופו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המחוזי</w:t>
      </w:r>
      <w:r>
        <w:rPr>
          <w:rFonts w:eastAsia="Calibri"/>
          <w:rtl w:val="true"/>
        </w:rPr>
        <w:t>.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6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9.11.2020</w:t>
      </w:r>
      <w:r>
        <w:rPr>
          <w:rFonts w:cs="Century" w:ascii="Century" w:hAnsi="Century"/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20024030</w:t>
      </w:r>
      <w:r>
        <w:rPr>
          <w:sz w:val="16"/>
          <w:rtl w:val="true"/>
        </w:rPr>
        <w:t>_</w:t>
      </w:r>
      <w:r>
        <w:rPr>
          <w:sz w:val="16"/>
        </w:rPr>
        <w:t>E05.docx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54678313-2403/20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2403/20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Style14">
    <w:name w:val="גוף פסק דין תו"/>
    <w:qFormat/>
    <w:rPr>
      <w:rFonts w:cs="FrankRuehl"/>
      <w:spacing w:val="10"/>
      <w:sz w:val="24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0"/>
      <w:szCs w:val="26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5">
    <w:name w:val="גוף פסק דין"/>
    <w:basedOn w:val="Normal"/>
    <w:qFormat/>
    <w:pPr>
      <w:spacing w:lineRule="auto" w:line="360"/>
      <w:ind w:firstLine="720" w:start="0" w:end="0"/>
      <w:jc w:val="both"/>
      <w:textAlignment w:val="auto"/>
    </w:pPr>
    <w:rPr>
      <w:rFonts w:cs="FrankRuehl"/>
      <w:spacing w:val="10"/>
      <w:sz w:val="24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38472" TargetMode="External"/><Relationship Id="rId3" Type="http://schemas.openxmlformats.org/officeDocument/2006/relationships/hyperlink" Target="http://www.nevo.co.il/law/98569" TargetMode="External"/><Relationship Id="rId4" Type="http://schemas.openxmlformats.org/officeDocument/2006/relationships/hyperlink" Target="http://www.nevo.co.il/law/98569/45" TargetMode="External"/><Relationship Id="rId5" Type="http://schemas.openxmlformats.org/officeDocument/2006/relationships/hyperlink" Target="http://www.nevo.co.il/law/98569/45.a" TargetMode="External"/><Relationship Id="rId6" Type="http://schemas.openxmlformats.org/officeDocument/2006/relationships/hyperlink" Target="http://www.nevo.co.il/law/98569/46.a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74.a" TargetMode="External"/><Relationship Id="rId9" Type="http://schemas.openxmlformats.org/officeDocument/2006/relationships/hyperlink" Target="http://www.nevo.co.il/law/74903/74.a.2" TargetMode="External"/><Relationship Id="rId10" Type="http://schemas.openxmlformats.org/officeDocument/2006/relationships/hyperlink" Target="http://www.nevo.co.il/law/98568" TargetMode="External"/><Relationship Id="rId11" Type="http://schemas.openxmlformats.org/officeDocument/2006/relationships/hyperlink" Target="http://www.nevo.co.il/law/98568/52" TargetMode="External"/><Relationship Id="rId12" Type="http://schemas.openxmlformats.org/officeDocument/2006/relationships/hyperlink" Target="http://www.nevo.co.il/case/20838472" TargetMode="External"/><Relationship Id="rId13" Type="http://schemas.openxmlformats.org/officeDocument/2006/relationships/hyperlink" Target="http://www.nevo.co.il/law/98569/45.a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law/74903/74.a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98569/45" TargetMode="External"/><Relationship Id="rId18" Type="http://schemas.openxmlformats.org/officeDocument/2006/relationships/hyperlink" Target="http://www.nevo.co.il/law/98569" TargetMode="External"/><Relationship Id="rId19" Type="http://schemas.openxmlformats.org/officeDocument/2006/relationships/hyperlink" Target="http://www.nevo.co.il/case/25712286" TargetMode="External"/><Relationship Id="rId20" Type="http://schemas.openxmlformats.org/officeDocument/2006/relationships/hyperlink" Target="http://www.nevo.co.il/law/98569/45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case/26480296" TargetMode="External"/><Relationship Id="rId23" Type="http://schemas.openxmlformats.org/officeDocument/2006/relationships/hyperlink" Target="http://www.nevo.co.il/case/26978033" TargetMode="External"/><Relationship Id="rId24" Type="http://schemas.openxmlformats.org/officeDocument/2006/relationships/hyperlink" Target="http://www.nevo.co.il/case/5994870" TargetMode="External"/><Relationship Id="rId25" Type="http://schemas.openxmlformats.org/officeDocument/2006/relationships/hyperlink" Target="http://www.nevo.co.il/case/5714399" TargetMode="External"/><Relationship Id="rId26" Type="http://schemas.openxmlformats.org/officeDocument/2006/relationships/hyperlink" Target="http://www.nevo.co.il/case/6243438" TargetMode="External"/><Relationship Id="rId27" Type="http://schemas.openxmlformats.org/officeDocument/2006/relationships/hyperlink" Target="http://www.nevo.co.il/case/6248519" TargetMode="External"/><Relationship Id="rId28" Type="http://schemas.openxmlformats.org/officeDocument/2006/relationships/hyperlink" Target="http://www.nevo.co.il/case/7680386" TargetMode="External"/><Relationship Id="rId29" Type="http://schemas.openxmlformats.org/officeDocument/2006/relationships/hyperlink" Target="http://www.nevo.co.il/case/22790811" TargetMode="External"/><Relationship Id="rId30" Type="http://schemas.openxmlformats.org/officeDocument/2006/relationships/hyperlink" Target="http://www.nevo.co.il/case/5703931" TargetMode="External"/><Relationship Id="rId31" Type="http://schemas.openxmlformats.org/officeDocument/2006/relationships/hyperlink" Target="http://www.nevo.co.il/law/98569/45.a" TargetMode="External"/><Relationship Id="rId32" Type="http://schemas.openxmlformats.org/officeDocument/2006/relationships/hyperlink" Target="http://www.nevo.co.il/law/98569" TargetMode="External"/><Relationship Id="rId33" Type="http://schemas.openxmlformats.org/officeDocument/2006/relationships/hyperlink" Target="http://www.nevo.co.il/law/98569" TargetMode="External"/><Relationship Id="rId34" Type="http://schemas.openxmlformats.org/officeDocument/2006/relationships/hyperlink" Target="http://www.nevo.co.il/law/74903" TargetMode="External"/><Relationship Id="rId35" Type="http://schemas.openxmlformats.org/officeDocument/2006/relationships/hyperlink" Target="http://www.nevo.co.il/law/74903" TargetMode="External"/><Relationship Id="rId36" Type="http://schemas.openxmlformats.org/officeDocument/2006/relationships/hyperlink" Target="http://www.nevo.co.il/law/74903/74.a.2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case/17921141" TargetMode="External"/><Relationship Id="rId39" Type="http://schemas.openxmlformats.org/officeDocument/2006/relationships/hyperlink" Target="http://www.nevo.co.il/case/17911520" TargetMode="External"/><Relationship Id="rId40" Type="http://schemas.openxmlformats.org/officeDocument/2006/relationships/hyperlink" Target="http://www.nevo.co.il/case/17929512" TargetMode="External"/><Relationship Id="rId41" Type="http://schemas.openxmlformats.org/officeDocument/2006/relationships/hyperlink" Target="http://www.nevo.co.il/case/25896356" TargetMode="External"/><Relationship Id="rId42" Type="http://schemas.openxmlformats.org/officeDocument/2006/relationships/hyperlink" Target="http://www.nevo.co.il/case/25919424" TargetMode="External"/><Relationship Id="rId43" Type="http://schemas.openxmlformats.org/officeDocument/2006/relationships/hyperlink" Target="http://www.nevo.co.il/law/98569/46.a" TargetMode="External"/><Relationship Id="rId44" Type="http://schemas.openxmlformats.org/officeDocument/2006/relationships/hyperlink" Target="http://www.nevo.co.il/law/98569" TargetMode="External"/><Relationship Id="rId45" Type="http://schemas.openxmlformats.org/officeDocument/2006/relationships/hyperlink" Target="http://www.nevo.co.il/case/17932073" TargetMode="External"/><Relationship Id="rId46" Type="http://schemas.openxmlformats.org/officeDocument/2006/relationships/hyperlink" Target="http://www.nevo.co.il/case/25768770" TargetMode="External"/><Relationship Id="rId47" Type="http://schemas.openxmlformats.org/officeDocument/2006/relationships/hyperlink" Target="http://www.nevo.co.il/case/24156603" TargetMode="External"/><Relationship Id="rId48" Type="http://schemas.openxmlformats.org/officeDocument/2006/relationships/hyperlink" Target="http://www.nevo.co.il/case/5703931" TargetMode="External"/><Relationship Id="rId49" Type="http://schemas.openxmlformats.org/officeDocument/2006/relationships/hyperlink" Target="http://www.nevo.co.il/law/98568/52" TargetMode="External"/><Relationship Id="rId50" Type="http://schemas.openxmlformats.org/officeDocument/2006/relationships/hyperlink" Target="http://www.nevo.co.il/law/98568" TargetMode="External"/><Relationship Id="rId51" Type="http://schemas.openxmlformats.org/officeDocument/2006/relationships/hyperlink" Target="http://www.nevo.co.il/case/23750931" TargetMode="External"/><Relationship Id="rId52" Type="http://schemas.openxmlformats.org/officeDocument/2006/relationships/hyperlink" Target="http://www.nevo.co.il/law/98569/45.a" TargetMode="External"/><Relationship Id="rId53" Type="http://schemas.openxmlformats.org/officeDocument/2006/relationships/hyperlink" Target="http://www.nevo.co.il/law/98569" TargetMode="External"/><Relationship Id="rId54" Type="http://schemas.openxmlformats.org/officeDocument/2006/relationships/hyperlink" Target="http://www.nevo.co.il/law/98569/45" TargetMode="External"/><Relationship Id="rId55" Type="http://schemas.openxmlformats.org/officeDocument/2006/relationships/hyperlink" Target="http://www.nevo.co.il/law/98569" TargetMode="External"/><Relationship Id="rId56" Type="http://schemas.openxmlformats.org/officeDocument/2006/relationships/hyperlink" Target="http://supreme.court.gov.il/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2020-11-10T12:33:00Z</dcterms:created>
  <dc:creator>h4</dc:creator>
  <dc:description/>
  <cp:keywords/>
  <dc:language>en-IL</dc:language>
  <cp:lastModifiedBy>hofit</cp:lastModifiedBy>
  <cp:lastPrinted>2020-11-09T18:06:00Z</cp:lastPrinted>
  <dcterms:modified xsi:type="dcterms:W3CDTF">2020-11-10T12:33:00Z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20838472:2;25712286;26480296;26978033;5994870;5714399;6243438;6248519;7680386;22790811;5703931:2;17921141;17911520;17929512;25896356;25919424;17932073;25768770;24156603;23750931</vt:lpwstr>
  </property>
  <property fmtid="{D5CDD505-2E9C-101B-9397-08002B2CF9AE}" pid="9" name="CITY">
    <vt:lpwstr/>
  </property>
  <property fmtid="{D5CDD505-2E9C-101B-9397-08002B2CF9AE}" pid="10" name="DATE">
    <vt:lpwstr>20201109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ברון;י' אלרון</vt:lpwstr>
  </property>
  <property fmtid="{D5CDD505-2E9C-101B-9397-08002B2CF9AE}" pid="14" name="LAWLISTTMP1">
    <vt:lpwstr>98569/045.a:3;045:3;046.a</vt:lpwstr>
  </property>
  <property fmtid="{D5CDD505-2E9C-101B-9397-08002B2CF9AE}" pid="15" name="LAWLISTTMP2">
    <vt:lpwstr>74903/074.a;074.a.2</vt:lpwstr>
  </property>
  <property fmtid="{D5CDD505-2E9C-101B-9397-08002B2CF9AE}" pid="16" name="LAWLISTTMP3">
    <vt:lpwstr>98568/052</vt:lpwstr>
  </property>
  <property fmtid="{D5CDD505-2E9C-101B-9397-08002B2CF9AE}" pid="17" name="LAWYER">
    <vt:lpwstr>הרצל סמילה;רובי גלבוע;חיים שווייצר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ראיות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>דיון פלילי</vt:lpwstr>
  </property>
  <property fmtid="{D5CDD505-2E9C-101B-9397-08002B2CF9AE}" pid="32" name="NOSE14">
    <vt:lpwstr>דיון פלילי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89;18;18;18</vt:lpwstr>
  </property>
  <property fmtid="{D5CDD505-2E9C-101B-9397-08002B2CF9AE}" pid="39" name="NOSE21">
    <vt:lpwstr>חיסיון</vt:lpwstr>
  </property>
  <property fmtid="{D5CDD505-2E9C-101B-9397-08002B2CF9AE}" pid="40" name="NOSE210">
    <vt:lpwstr/>
  </property>
  <property fmtid="{D5CDD505-2E9C-101B-9397-08002B2CF9AE}" pid="41" name="NOSE22">
    <vt:lpwstr>עיון חוזר</vt:lpwstr>
  </property>
  <property fmtid="{D5CDD505-2E9C-101B-9397-08002B2CF9AE}" pid="42" name="NOSE23">
    <vt:lpwstr>עיון חוזר</vt:lpwstr>
  </property>
  <property fmtid="{D5CDD505-2E9C-101B-9397-08002B2CF9AE}" pid="43" name="NOSE24">
    <vt:lpwstr>זכות העיון בראיות התביעה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1629;500;500;18228</vt:lpwstr>
  </property>
  <property fmtid="{D5CDD505-2E9C-101B-9397-08002B2CF9AE}" pid="50" name="NOSE31">
    <vt:lpwstr>לטובת הציבור</vt:lpwstr>
  </property>
  <property fmtid="{D5CDD505-2E9C-101B-9397-08002B2CF9AE}" pid="51" name="NOSE310">
    <vt:lpwstr/>
  </property>
  <property fmtid="{D5CDD505-2E9C-101B-9397-08002B2CF9AE}" pid="52" name="NOSE32">
    <vt:lpwstr>שיקולי בית-המשפט</vt:lpwstr>
  </property>
  <property fmtid="{D5CDD505-2E9C-101B-9397-08002B2CF9AE}" pid="53" name="NOSE33">
    <vt:lpwstr>שינוי נסיבות</vt:lpwstr>
  </property>
  <property fmtid="{D5CDD505-2E9C-101B-9397-08002B2CF9AE}" pid="54" name="NOSE34">
    <vt:lpwstr>ערעור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10164;3834;3833;3647</vt:lpwstr>
  </property>
  <property fmtid="{D5CDD505-2E9C-101B-9397-08002B2CF9AE}" pid="61" name="PADIDATE">
    <vt:lpwstr>20201110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2403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410120201109</vt:lpwstr>
  </property>
  <property fmtid="{D5CDD505-2E9C-101B-9397-08002B2CF9AE}" pid="71" name="TYPE_N_DATE">
    <vt:lpwstr>41020201109</vt:lpwstr>
  </property>
  <property fmtid="{D5CDD505-2E9C-101B-9397-08002B2CF9AE}" pid="72" name="VOLUME">
    <vt:lpwstr/>
  </property>
  <property fmtid="{D5CDD505-2E9C-101B-9397-08002B2CF9AE}" pid="73" name="WORDNUMPAGES">
    <vt:lpwstr>16</vt:lpwstr>
  </property>
</Properties>
</file>