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30.11.2016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14633-09-15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שפירא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rFonts w:cs="FrankRuehl;Tahoma" w:ascii="Century" w:hAnsi="Century"/>
                <w:spacing w:val="10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b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נאות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06.05.2019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גיימן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דמיטרי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z w:val="24"/>
        </w:rPr>
      </w:pPr>
      <w:r>
        <w:rPr>
          <w:rFonts w:cs="FrankRuehl;Tahoma" w:ascii="FrankRuehl;Tahoma" w:hAnsi="FrankRuehl;Tahoma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z w:val="24"/>
        </w:rPr>
      </w:pPr>
      <w:r>
        <w:rPr>
          <w:rFonts w:ascii="FrankRuehl;Tahoma" w:hAnsi="FrankRuehl;Tahoma" w:cs="FrankRuehl;Tahoma"/>
          <w:sz w:val="24"/>
          <w:sz w:val="24"/>
          <w:rtl w:val="true"/>
        </w:rPr>
        <w:t>חקיקה שאוזכרה</w:t>
      </w:r>
      <w:r>
        <w:rPr>
          <w:rFonts w:cs="FrankRuehl;Tahoma" w:ascii="FrankRuehl;Tahoma" w:hAnsi="FrankRuehl;Tahoma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z w:val="24"/>
        </w:rPr>
      </w:pPr>
      <w:hyperlink r:id="rId3">
        <w:r>
          <w:rPr>
            <w:rStyle w:val="Hyperlink"/>
            <w:rFonts w:ascii="FrankRuehl;Tahoma" w:hAnsi="FrankRuehl;Tahoma" w:cs="FrankRuehl;Tahoma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ahoma" w:hAnsi="FrankRuehl;Tahoma" w:cs="FrankRuehl;Tahoma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ahoma" w:hAnsi="FrankRuehl;Tahoma" w:cs="FrankRuehl;Tahoma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1977</w:t>
        </w:r>
      </w:hyperlink>
      <w:r>
        <w:rPr>
          <w:rFonts w:cs="FrankRuehl;Tahoma" w:ascii="FrankRuehl;Tahoma" w:hAnsi="FrankRuehl;Tahoma"/>
          <w:sz w:val="24"/>
          <w:rtl w:val="true"/>
        </w:rPr>
        <w:t xml:space="preserve">: </w:t>
      </w:r>
      <w:r>
        <w:rPr>
          <w:rFonts w:ascii="FrankRuehl;Tahoma" w:hAnsi="FrankRuehl;Tahoma" w:cs="FrankRuehl;Tahoma"/>
          <w:sz w:val="24"/>
          <w:sz w:val="24"/>
          <w:rtl w:val="true"/>
        </w:rPr>
        <w:t>סע</w:t>
      </w:r>
      <w:r>
        <w:rPr>
          <w:rFonts w:cs="FrankRuehl;Tahoma" w:ascii="FrankRuehl;Tahoma" w:hAnsi="FrankRuehl;Tahoma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;Tahoma" w:hAnsi="FrankRuehl;Tahoma" w:cs="FrankRuehl;Tahoma"/>
            <w:color w:val="0000FF"/>
            <w:sz w:val="24"/>
            <w:sz w:val="24"/>
            <w:u w:val="single"/>
            <w:rtl w:val="true"/>
          </w:rPr>
          <w:t>ט</w:t>
        </w:r>
      </w:hyperlink>
      <w:r>
        <w:rPr>
          <w:rFonts w:cs="FrankRuehl;Tahoma" w:ascii="FrankRuehl;Tahoma" w:hAnsi="FrankRuehl;Tahoma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305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1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ahoma" w:ascii="FrankRuehl;Tahoma" w:hAnsi="FrankRuehl;Tahoma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380</w:t>
        </w:r>
      </w:hyperlink>
      <w:r>
        <w:rPr>
          <w:rFonts w:cs="FrankRuehl;Tahoma" w:ascii="FrankRuehl;Tahoma" w:hAnsi="FrankRuehl;Tahoma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</w:rPr>
          <w:t>382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ahoma" w:hAnsi="FrankRuehl;Tahoma" w:cs="FrankRuehl;Tahoma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;Tahoma" w:ascii="FrankRuehl;Tahoma" w:hAnsi="FrankRuehl;Tahoma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z w:val="24"/>
        </w:rPr>
      </w:pPr>
      <w:r>
        <w:rPr>
          <w:rFonts w:cs="FrankRuehl;Tahoma" w:ascii="FrankRuehl;Tahoma" w:hAnsi="FrankRuehl;Tahoma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ahoma"/>
          <w:sz w:val="24"/>
          <w:sz w:val="24"/>
          <w:szCs w:val="26"/>
          <w:rtl w:val="true"/>
        </w:rPr>
        <w:t>מיני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רציו</w:t>
      </w:r>
      <w:r>
        <w:rPr>
          <w:rFonts w:cs="FrankRuehl;Tahoma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אגרסיבית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מעידה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כוונתו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באמירותיו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הסינרגיה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העברייני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המוחית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להיעשות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שנעשה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מחשבות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ורגשות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למיניהם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שמחוץ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סינרגיה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מורידים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מחייבים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מתפשרת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המעניקה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כאחד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בממצאים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התמזגות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יסודות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 xml:space="preserve">* </w:t>
      </w:r>
      <w:r>
        <w:rPr>
          <w:rFonts w:cs="FrankRuehl;Tahoma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המחוזי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הרשיע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מחמירות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</w:rPr>
        <w:t>15</w:t>
      </w:r>
      <w:r>
        <w:rPr>
          <w:rFonts w:cs="FrankRuehl;Tahoma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נוספים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הדין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בק</w:t>
      </w:r>
      <w:r>
        <w:rPr>
          <w:rFonts w:cs="FrankRuehl;Tahoma"/>
          <w:sz w:val="24"/>
          <w:szCs w:val="26"/>
        </w:rPr>
        <w:t>3</w:t>
      </w:r>
      <w:r>
        <w:rPr>
          <w:rFonts w:cs="FrankRuehl;Tahoma"/>
          <w:sz w:val="24"/>
          <w:sz w:val="24"/>
          <w:szCs w:val="26"/>
          <w:rtl w:val="true"/>
        </w:rPr>
        <w:t>בעו</w:t>
      </w:r>
      <w:r>
        <w:rPr>
          <w:rFonts w:cs="FrankRuehl;Tahoma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עמנו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ביושבו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לערעורים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פליליים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בממצאי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ומהימנות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בהתבסס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התרשמותה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הישירה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שהעידו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בפניה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ניתוח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הראיות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מבקש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יסטה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יסודית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בבואו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להכריע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ההרשעה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ברם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חריג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עשוי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כאמור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ממצאי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והמהימנות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להרשעת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הקשור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התקיפה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שיסוף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דקירות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מרובות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בפלג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העליון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בד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בבד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האליבי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בגרסה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שקרית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החלטות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מבוססות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ניתוח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קפדני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ומפורט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הראיות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ובניתוח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פגם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פשוט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למדי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הותקפה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באכזריות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אדם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והשאלה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העובדתית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היחידה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התיזה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מספרת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הסיפור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הבא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נפגש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בפארק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עזב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ששוחח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עמה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לפארק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זדונית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האוחזת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בסכין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תקף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שיסף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גרונה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דקירות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מרובות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בפלג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ועזב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המקום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צירוף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המופלאות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שפורצות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גבולות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הדמיון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ודומה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לדחותו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בשתי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ידיים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ראשית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ההודאה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שקשרה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התקיפה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נראית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למסור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למשטרה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ולביהמ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לזהות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אותה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קפיצות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מאליבי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מהאמור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עולה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ספק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שבקלים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מסרה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גרסתה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שהאשימה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אמת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קובעת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בר</w:t>
      </w:r>
      <w:r>
        <w:rPr>
          <w:rFonts w:cs="FrankRuehl;Tahoma"/>
          <w:sz w:val="24"/>
          <w:szCs w:val="26"/>
          <w:rtl w:val="true"/>
        </w:rPr>
        <w:t>-</w:t>
      </w:r>
      <w:r>
        <w:rPr>
          <w:rFonts w:cs="FrankRuehl;Tahoma"/>
          <w:sz w:val="24"/>
          <w:sz w:val="24"/>
          <w:szCs w:val="26"/>
          <w:rtl w:val="true"/>
        </w:rPr>
        <w:t>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מרצון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מתכוון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הטבעיות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מעשהו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דפליג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אגרסיבית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שכללה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דקירות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מרובות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וחתכים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במקומות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רגישים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צוואר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חזה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גב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ובטן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מעידה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כמאה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כוונתו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התקיפה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הפקרת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פצועה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קשה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מצביעה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מודעותו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להתרחשות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הקטלנית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לטענת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נסתרה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אמירותיו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בתחנת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המשטרה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כוונתו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תלויה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בלימה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אמירות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עמומות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ונתונות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פרשנויות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בכוחן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שנאמרו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לכוונותיו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באכזריות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רבה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אמירותיו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עשויות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היותר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להוביל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התעוררו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בליבו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רגשי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חרטה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הסימולטניות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בצורתו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הבסיסית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העובדתי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נדרשים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להתהוותה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צריכים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ובעונה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הכרחי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להתהוות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העבירה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מספיק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כוונה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הסינרגיה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העברייני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הפעילות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המוחית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להיעשות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שנעשה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מחשבות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ורגשות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למיניהם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שמחוץ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סינרגיה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מורידים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למעלה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ממילא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האמין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ולהסבריו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החלטי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להתערב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לאישום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הגורמת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מחמירות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מלין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אימץ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כרעיה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קרבה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למרות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אחיזה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הראיות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טוב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נטענה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ממצאי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המהימנות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ולעדותה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ומשכנע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גרסת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רצופה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סתירות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תאמה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המסמכים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הרפואיים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שהוגשו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לבטל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שהגישה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ומכתבי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ההתנצלות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ששלחה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לו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ביהמ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קיבל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הסבר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מהעצב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שחשה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עקב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זוגה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שבדתה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התלונה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מליבה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נמצאה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הישר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ahoma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כן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יסודות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איתנים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הדין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הנדון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נרחבת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זוג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מצערת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הממשיכה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להעסיק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קבע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כשמעשי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הולכים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ומתרבים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ואכזריותם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מדרגה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מדרגה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בגינוי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ובהוקעה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מבצעי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די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הגינוי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וההוקעה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לגבות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הולמים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ומרתיעים</w:t>
      </w:r>
      <w:r>
        <w:rPr>
          <w:rFonts w:cs="FrankRuehl;Tahoma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ahoma"/>
          <w:sz w:val="24"/>
          <w:szCs w:val="26"/>
        </w:rPr>
      </w:pPr>
      <w:r>
        <w:rPr>
          <w:rFonts w:cs="FrankRuehl;Tahoma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ככזה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ברשימת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החמורות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חוקינו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להכביר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המירבי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בצדה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עשרים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מאסר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בימ</w:t>
      </w:r>
      <w:r>
        <w:rPr>
          <w:rFonts w:cs="FrankRuehl;Tahoma"/>
          <w:sz w:val="24"/>
          <w:szCs w:val="26"/>
          <w:rtl w:val="true"/>
        </w:rPr>
        <w:t>"</w:t>
      </w:r>
      <w:r>
        <w:rPr>
          <w:rFonts w:cs="FrankRuehl;Tahoma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לנהוג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מבצעי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שקורבן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זוגו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מבצעה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ahoma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מנומק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ומפורט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היטב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וכולל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התייחסות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ומאוזנת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הצריכים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לקולא</w:t>
      </w:r>
      <w:r>
        <w:rPr>
          <w:rFonts w:cs="FrankRuehl;Tahoma"/>
          <w:sz w:val="24"/>
          <w:szCs w:val="26"/>
          <w:rtl w:val="true"/>
        </w:rPr>
        <w:t xml:space="preserve">: </w:t>
      </w:r>
      <w:r>
        <w:rPr>
          <w:rFonts w:cs="FrankRuehl;Tahoma"/>
          <w:sz w:val="24"/>
          <w:sz w:val="24"/>
          <w:szCs w:val="26"/>
          <w:rtl w:val="true"/>
        </w:rPr>
        <w:t>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הצעיר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נטול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פלילי</w:t>
      </w:r>
      <w:r>
        <w:rPr>
          <w:rFonts w:cs="FrankRuehl;Tahoma"/>
          <w:sz w:val="24"/>
          <w:szCs w:val="26"/>
          <w:rtl w:val="true"/>
        </w:rPr>
        <w:t xml:space="preserve">; </w:t>
      </w:r>
      <w:r>
        <w:rPr>
          <w:rFonts w:cs="FrankRuehl;Tahoma"/>
          <w:sz w:val="24"/>
          <w:sz w:val="24"/>
          <w:szCs w:val="26"/>
          <w:rtl w:val="true"/>
        </w:rPr>
        <w:t>ותרומתו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שירותו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הצבאי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בשיקולים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אלה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חשיבותם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המחייבים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מתפשרת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המעניקה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כאחד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לדברים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במזל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נגדעו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המתלוננת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ומזל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לטובת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המערער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מנע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ברצח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שעונשה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הרגיל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עולם</w:t>
      </w:r>
      <w:r>
        <w:rPr>
          <w:rFonts w:cs="FrankRuehl;Tahoma"/>
          <w:sz w:val="24"/>
          <w:szCs w:val="26"/>
          <w:rtl w:val="true"/>
        </w:rPr>
        <w:t xml:space="preserve">. </w:t>
      </w:r>
      <w:r>
        <w:rPr>
          <w:rFonts w:cs="FrankRuehl;Tahoma"/>
          <w:sz w:val="24"/>
          <w:sz w:val="24"/>
          <w:szCs w:val="26"/>
          <w:rtl w:val="true"/>
        </w:rPr>
        <w:t>משכך</w:t>
      </w:r>
      <w:r>
        <w:rPr>
          <w:rFonts w:cs="FrankRuehl;Tahoma"/>
          <w:sz w:val="24"/>
          <w:szCs w:val="26"/>
          <w:rtl w:val="true"/>
        </w:rPr>
        <w:t xml:space="preserve">, </w:t>
      </w:r>
      <w:r>
        <w:rPr>
          <w:rFonts w:cs="FrankRuehl;Tahoma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Cs w:val="26"/>
        </w:rPr>
        <w:t>15</w:t>
      </w:r>
      <w:r>
        <w:rPr>
          <w:rFonts w:cs="FrankRuehl;Tahoma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מרמת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ahoma"/>
          <w:sz w:val="24"/>
          <w:sz w:val="24"/>
          <w:szCs w:val="26"/>
          <w:rtl w:val="true"/>
        </w:rPr>
        <w:t>דומות</w:t>
      </w:r>
      <w:r>
        <w:rPr>
          <w:rFonts w:cs="FrankRuehl;Tahoma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ahoma" w:hAnsi="FrankRuehl;Tahoma" w:cs="FrankRuehl;Tahoma"/>
          <w:sz w:val="24"/>
          <w:szCs w:val="26"/>
        </w:rPr>
      </w:pPr>
      <w:r>
        <w:rPr>
          <w:rFonts w:cs="FrankRuehl;Tahoma" w:ascii="FrankRuehl;Tahoma" w:hAnsi="FrankRuehl;Tahoma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ahoma" w:hAnsi="FrankRuehl;Tahoma" w:cs="FrankRuehl;Tahoma"/>
          <w:sz w:val="24"/>
        </w:rPr>
      </w:pPr>
      <w:r>
        <w:rPr>
          <w:rFonts w:cs="FrankRuehl;Tahoma" w:ascii="FrankRuehl;Tahoma" w:hAnsi="FrankRuehl;Tahoma"/>
          <w:sz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לפנינו ערעור על פסק דינו של בית המשפט המחוזי חיפה בתפ</w:t>
      </w:r>
      <w:r>
        <w:rPr>
          <w:rtl w:val="true"/>
        </w:rPr>
        <w:t>"</w:t>
      </w:r>
      <w:r>
        <w:rPr>
          <w:rtl w:val="true"/>
        </w:rPr>
        <w:t xml:space="preserve">ח                   </w:t>
      </w:r>
      <w:r>
        <w:rPr/>
        <w:t>14633-09-15</w:t>
      </w:r>
      <w:r>
        <w:rPr>
          <w:rtl w:val="true"/>
        </w:rPr>
        <w:t xml:space="preserve"> (</w:t>
      </w:r>
      <w:r>
        <w:rPr>
          <w:rtl w:val="true"/>
        </w:rPr>
        <w:t xml:space="preserve">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Fonts w:cs="Arial TUR;Arial" w:ascii="Arial TUR;Arial" w:hAnsi="Arial TUR;Arial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אשר הרשיע את המערער בניסיון לרצח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</w:t>
      </w:r>
      <w:r>
        <w:rPr>
          <w:rtl w:val="true"/>
        </w:rPr>
        <w:t>תקיפה הגורמת חבלה ממשית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וגזר עליו את העונשים הבאים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אלימות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מבית הכלא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עבירות אלימות מסוג עוון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מבית הכלא</w:t>
      </w:r>
      <w:r>
        <w:rPr>
          <w:rtl w:val="true"/>
        </w:rPr>
        <w:t xml:space="preserve">. </w:t>
      </w:r>
      <w:r>
        <w:rPr>
          <w:rtl w:val="true"/>
        </w:rPr>
        <w:t xml:space="preserve">כמו כן חייב בית משפט קמא את המערער לשלם לנפגעת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פיצוי כספי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הערעור מופנה אל הכרעת הדין ואל גזר הדין</w:t>
      </w:r>
      <w:r>
        <w:rPr>
          <w:rtl w:val="true"/>
        </w:rPr>
        <w:t xml:space="preserve">. </w:t>
      </w:r>
      <w:r>
        <w:rPr>
          <w:rtl w:val="true"/>
        </w:rPr>
        <w:t>המערער טוען כי מן הדין לזכותו מן העבירות בהן הורשע זיכוי מלא או חלקי</w:t>
      </w:r>
      <w:r>
        <w:rPr>
          <w:rtl w:val="true"/>
        </w:rPr>
        <w:t xml:space="preserve">;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מבקש הוא כי נקל בעונש המאסר שהוטל עליו לריצוי בפועל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החמיר עמו יתר על המידה בקבעו כי עליו לרצות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מאחורי סורג ובריח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8.9.2015</w:t>
      </w:r>
      <w:r>
        <w:rPr>
          <w:rtl w:val="true"/>
        </w:rPr>
        <w:t xml:space="preserve"> </w:t>
      </w:r>
      <w:r>
        <w:rPr>
          <w:rtl w:val="true"/>
        </w:rPr>
        <w:t>הגישה המדינה נגד המערער כתב אישום המכיל שני אישומים</w:t>
      </w:r>
      <w:r>
        <w:rPr>
          <w:rtl w:val="true"/>
        </w:rPr>
        <w:t xml:space="preserve">. </w:t>
      </w:r>
      <w:r>
        <w:rPr>
          <w:rtl w:val="true"/>
        </w:rPr>
        <w:t>האישום הראשון ייחס למערער ניסיון לרצח</w:t>
      </w:r>
      <w:r>
        <w:rPr>
          <w:rtl w:val="true"/>
        </w:rPr>
        <w:t xml:space="preserve">, </w:t>
      </w:r>
      <w:r>
        <w:rPr>
          <w:rtl w:val="true"/>
        </w:rPr>
        <w:t>ואילו האישום השני האשימו בתקיפה הגורמת חבלה ממשית בנסיבות מחמירות</w:t>
      </w:r>
      <w:r>
        <w:rPr>
          <w:rtl w:val="true"/>
        </w:rPr>
        <w:t xml:space="preserve">. </w:t>
      </w:r>
      <w:r>
        <w:rPr>
          <w:rtl w:val="true"/>
        </w:rPr>
        <w:t>המעשים המיוחסים למערער באישום השני קדמו לניסיון לרצח בו הוא הואשם באישום הראשון</w:t>
      </w:r>
      <w:r>
        <w:rPr>
          <w:rtl w:val="true"/>
        </w:rPr>
        <w:t xml:space="preserve">. </w:t>
      </w:r>
      <w:r>
        <w:rPr>
          <w:rtl w:val="true"/>
        </w:rPr>
        <w:t>כדי להבין את השתלשלות העניינים כדבעי</w:t>
      </w:r>
      <w:r>
        <w:rPr>
          <w:rtl w:val="true"/>
        </w:rPr>
        <w:t xml:space="preserve">, </w:t>
      </w:r>
      <w:r>
        <w:rPr>
          <w:rtl w:val="true"/>
        </w:rPr>
        <w:t>ראוי לתארם בסדר כרונולוגי</w:t>
      </w:r>
      <w:r>
        <w:rPr>
          <w:rtl w:val="true"/>
        </w:rPr>
        <w:t xml:space="preserve">; </w:t>
      </w:r>
      <w:r>
        <w:rPr>
          <w:rtl w:val="true"/>
        </w:rPr>
        <w:t>ועל כן אדבר תחילה על האישום השני</w:t>
      </w:r>
      <w:r>
        <w:rPr>
          <w:rtl w:val="true"/>
        </w:rPr>
        <w:t xml:space="preserve">, </w:t>
      </w:r>
      <w:r>
        <w:rPr>
          <w:rtl w:val="true"/>
        </w:rPr>
        <w:t>הפחות חמור</w:t>
      </w:r>
      <w:r>
        <w:rPr>
          <w:rtl w:val="true"/>
        </w:rPr>
        <w:t xml:space="preserve">, </w:t>
      </w:r>
      <w:r>
        <w:rPr>
          <w:rtl w:val="true"/>
        </w:rPr>
        <w:t>כפי שעשה גם בית משפט קמא בפסק דינו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קיימו המתלוננת והמערער קשר זוגי והתגוררו יחדיו בעיר נהריה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14.2.2014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, </w:t>
      </w:r>
      <w:r>
        <w:rPr>
          <w:rtl w:val="true"/>
        </w:rPr>
        <w:t>המתלוננת שהתה בבית ידידה ואילו המערער המתין לה מחוץ לאותו בית</w:t>
      </w:r>
      <w:r>
        <w:rPr>
          <w:rtl w:val="true"/>
        </w:rPr>
        <w:t xml:space="preserve">. </w:t>
      </w:r>
      <w:r>
        <w:rPr>
          <w:rtl w:val="true"/>
        </w:rPr>
        <w:t>משם התקשר המערער אל המתלוננת באמצעות טלפון נייד וביקש ממנה לצאת החוצה ולהתלוות אליו לדירתם</w:t>
      </w:r>
      <w:r>
        <w:rPr>
          <w:rtl w:val="true"/>
        </w:rPr>
        <w:t xml:space="preserve">. </w:t>
      </w:r>
      <w:r>
        <w:rPr>
          <w:rtl w:val="true"/>
        </w:rPr>
        <w:t>המתלוננת עשתה כדברו</w:t>
      </w:r>
      <w:r>
        <w:rPr>
          <w:rtl w:val="true"/>
        </w:rPr>
        <w:t xml:space="preserve">. </w:t>
      </w:r>
      <w:r>
        <w:rPr>
          <w:rtl w:val="true"/>
        </w:rPr>
        <w:t>לאחר שהגיעו השניים לדירתם</w:t>
      </w:r>
      <w:r>
        <w:rPr>
          <w:rtl w:val="true"/>
        </w:rPr>
        <w:t xml:space="preserve">, </w:t>
      </w:r>
      <w:r>
        <w:rPr>
          <w:rtl w:val="true"/>
        </w:rPr>
        <w:t>פרץ ביניהם ויכוח שהתפתח למאבק אלים</w:t>
      </w:r>
      <w:r>
        <w:rPr>
          <w:rtl w:val="true"/>
        </w:rPr>
        <w:t xml:space="preserve">. </w:t>
      </w:r>
      <w:r>
        <w:rPr>
          <w:rtl w:val="true"/>
        </w:rPr>
        <w:t>במהלכו</w:t>
      </w:r>
      <w:r>
        <w:rPr>
          <w:rtl w:val="true"/>
        </w:rPr>
        <w:t xml:space="preserve">, </w:t>
      </w:r>
      <w:r>
        <w:rPr>
          <w:rtl w:val="true"/>
        </w:rPr>
        <w:t>הפיל המערער את המתלוננת אל הרצפה</w:t>
      </w:r>
      <w:r>
        <w:rPr>
          <w:rtl w:val="true"/>
        </w:rPr>
        <w:t xml:space="preserve">, </w:t>
      </w:r>
      <w:r>
        <w:rPr>
          <w:rtl w:val="true"/>
        </w:rPr>
        <w:t>חנק אותה באמצעות ידו</w:t>
      </w:r>
      <w:r>
        <w:rPr>
          <w:rtl w:val="true"/>
        </w:rPr>
        <w:t xml:space="preserve">, </w:t>
      </w:r>
      <w:r>
        <w:rPr>
          <w:rtl w:val="true"/>
        </w:rPr>
        <w:t>הטיח את ראשה על הרצפה</w:t>
      </w:r>
      <w:r>
        <w:rPr>
          <w:rtl w:val="true"/>
        </w:rPr>
        <w:t xml:space="preserve">, </w:t>
      </w:r>
      <w:r>
        <w:rPr>
          <w:rtl w:val="true"/>
        </w:rPr>
        <w:t>ונשך אותה</w:t>
      </w:r>
      <w:r>
        <w:rPr>
          <w:rtl w:val="true"/>
        </w:rPr>
        <w:t xml:space="preserve">. </w:t>
      </w:r>
      <w:r>
        <w:rPr>
          <w:rtl w:val="true"/>
        </w:rPr>
        <w:t>כתוצאיו ממעשים אלו נחבלה המתלוננת במצחה</w:t>
      </w:r>
      <w:r>
        <w:rPr>
          <w:rtl w:val="true"/>
        </w:rPr>
        <w:t xml:space="preserve">, </w:t>
      </w:r>
      <w:r>
        <w:rPr>
          <w:rtl w:val="true"/>
        </w:rPr>
        <w:t>בגבה</w:t>
      </w:r>
      <w:r>
        <w:rPr>
          <w:rtl w:val="true"/>
        </w:rPr>
        <w:t xml:space="preserve">, </w:t>
      </w:r>
      <w:r>
        <w:rPr>
          <w:rtl w:val="true"/>
        </w:rPr>
        <w:t>בכתפה ובמרפק ידה השמאלית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ומכאן לניסיון לרצח</w:t>
      </w:r>
      <w:r>
        <w:rPr>
          <w:rtl w:val="true"/>
        </w:rPr>
        <w:t xml:space="preserve">. </w:t>
      </w:r>
      <w:r>
        <w:rPr>
          <w:rtl w:val="true"/>
        </w:rPr>
        <w:t>לפי האמור בכתב האישום</w:t>
      </w:r>
      <w:r>
        <w:rPr>
          <w:rtl w:val="true"/>
        </w:rPr>
        <w:t xml:space="preserve">, </w:t>
      </w:r>
      <w:r>
        <w:rPr>
          <w:rtl w:val="true"/>
        </w:rPr>
        <w:t>אירוע זה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 xml:space="preserve">התרחש ביום </w:t>
      </w:r>
      <w:r>
        <w:rPr/>
        <w:t>15.8.2015</w:t>
      </w:r>
      <w:r>
        <w:rPr>
          <w:rtl w:val="true"/>
        </w:rPr>
        <w:t xml:space="preserve">, </w:t>
      </w:r>
      <w:r>
        <w:rPr>
          <w:rtl w:val="true"/>
        </w:rPr>
        <w:t>למעלה משנה לאחר פרידת בני הזוג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19:07</w:t>
      </w:r>
      <w:r>
        <w:rPr>
          <w:rtl w:val="true"/>
        </w:rPr>
        <w:t xml:space="preserve"> </w:t>
      </w:r>
      <w:r>
        <w:rPr>
          <w:rtl w:val="true"/>
        </w:rPr>
        <w:t>של אותו היום</w:t>
      </w:r>
      <w:r>
        <w:rPr>
          <w:rtl w:val="true"/>
        </w:rPr>
        <w:t xml:space="preserve">, </w:t>
      </w:r>
      <w:r>
        <w:rPr>
          <w:rtl w:val="true"/>
        </w:rPr>
        <w:t>התקשר המערער אל המתלוננת וקבע עמה פגישה בגן ציבורי בנהריה</w:t>
      </w:r>
      <w:r>
        <w:rPr>
          <w:rtl w:val="true"/>
        </w:rPr>
        <w:t xml:space="preserve">. </w:t>
      </w:r>
      <w:r>
        <w:rPr>
          <w:rtl w:val="true"/>
        </w:rPr>
        <w:t>השניים נפגשו זמן קצר לאחר מכן</w:t>
      </w:r>
      <w:r>
        <w:rPr>
          <w:rtl w:val="true"/>
        </w:rPr>
        <w:t xml:space="preserve">. </w:t>
      </w:r>
      <w:r>
        <w:rPr>
          <w:rtl w:val="true"/>
        </w:rPr>
        <w:t>המערער ערך חיפוש על גופה של המתלוננת</w:t>
      </w:r>
      <w:r>
        <w:rPr>
          <w:rtl w:val="true"/>
        </w:rPr>
        <w:t xml:space="preserve">, </w:t>
      </w:r>
      <w:r>
        <w:rPr>
          <w:rtl w:val="true"/>
        </w:rPr>
        <w:t>לקח ממנה את מכשיר הטלפון הנייד שלה ואת תיקה</w:t>
      </w:r>
      <w:r>
        <w:rPr>
          <w:rtl w:val="true"/>
        </w:rPr>
        <w:t xml:space="preserve">, </w:t>
      </w:r>
      <w:r>
        <w:rPr>
          <w:rtl w:val="true"/>
        </w:rPr>
        <w:t>והניחם במרחק מה מן המקום</w:t>
      </w:r>
      <w:r>
        <w:rPr>
          <w:rtl w:val="true"/>
        </w:rPr>
        <w:t xml:space="preserve">. </w:t>
      </w:r>
      <w:r>
        <w:rPr>
          <w:rtl w:val="true"/>
        </w:rPr>
        <w:t xml:space="preserve">לאחר שיחה קצרה ביקש המערער מהמתלוננת להמתין לו בגן הציבורי ועזב את המקום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בסביבות השעה </w:t>
      </w:r>
      <w:r>
        <w:rPr>
          <w:rFonts w:cs="Century" w:ascii="Century" w:hAnsi="Century"/>
        </w:rPr>
        <w:t>20:07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המערער למקום כשהוא לבוש בבגדים ארוכים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ידיו עטויות כפפות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וברשותו סכין יפנית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הוביל את המתלוננת לפינה חשוכה ומבודדת בגן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החלה המתלוננת לחשוד בכוונותיו ועל כן שאלה אותו האם בכוונתו לפגוע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השיב למתלוננת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להרוג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אמר לה כי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יכול לקבור אותה פה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ואז ניגש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כרך את ידו סביב צווארה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את הסכין שבה הצטייד מבעוד מועד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דקר את המתלוננת בבטנה ושיסף את גרונה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שהמתלוננת נפלה ארצה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דקר אותה המערער דקירות מרובות בפלג גופה העליון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בבטנה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במותניה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בחזה שלה ובגבה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הוסיף לחתוך את צווארה ולסתה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כל זאת בניסיון לגרום למותה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 אמר המערער למתלוננת שלא תספר לאיש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ועזב את המקום מבלי להזעיק עזרה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המתלוננת גררה את עצמה לכיוון הכביש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אותרה על ידי עובר אורח שהזעיק עבורה כוחות הצלה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ממעשיו של המערער סבלה המתלוננת מקריסת שני צדי הריאות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מדימום בחלל הבטן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מקרעים בכבד ומחתכים רבים במקומות שונים בגוף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כן היא אושפזה ונותחה בבית החולים במשך כשבוע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כפר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במענה לאישום השני</w:t>
      </w:r>
      <w:r>
        <w:rPr>
          <w:rtl w:val="true"/>
        </w:rPr>
        <w:t xml:space="preserve">, </w:t>
      </w:r>
      <w:r>
        <w:rPr>
          <w:rtl w:val="true"/>
        </w:rPr>
        <w:t>המערער אמנם הודה כי ביום האירוע ביקרה המתלוננת בבית הידיד</w:t>
      </w:r>
      <w:r>
        <w:rPr>
          <w:rtl w:val="true"/>
        </w:rPr>
        <w:t xml:space="preserve">, </w:t>
      </w:r>
      <w:r>
        <w:rPr>
          <w:rtl w:val="true"/>
        </w:rPr>
        <w:t>אך טען כי הוא לא המתין לה שם</w:t>
      </w:r>
      <w:r>
        <w:rPr>
          <w:rtl w:val="true"/>
        </w:rPr>
        <w:t xml:space="preserve">, </w:t>
      </w:r>
      <w:r>
        <w:rPr>
          <w:rtl w:val="true"/>
        </w:rPr>
        <w:t>אלא פגש אותה רק כשהגיעה לביתם</w:t>
      </w:r>
      <w:r>
        <w:rPr>
          <w:rtl w:val="true"/>
        </w:rPr>
        <w:t xml:space="preserve">, </w:t>
      </w:r>
      <w:r>
        <w:rPr>
          <w:rtl w:val="true"/>
        </w:rPr>
        <w:t>נסערת ומסוממת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החבלות מהן סבלה המתלוננת באותו יום נגרמו לה עקב ניסיונו למנוע ממנה להתאבד בקפיצה מחלון חדר השינה שלהם </w:t>
      </w:r>
      <w:r>
        <w:rPr>
          <w:rtl w:val="true"/>
        </w:rPr>
        <w:t>–</w:t>
      </w:r>
      <w:r>
        <w:rPr>
          <w:rtl w:val="true"/>
        </w:rPr>
        <w:t xml:space="preserve"> ניסיון שהוביל לנפילת שניהם לאחור</w:t>
      </w:r>
      <w:r>
        <w:rPr>
          <w:rtl w:val="true"/>
        </w:rPr>
        <w:t xml:space="preserve">; </w:t>
      </w:r>
      <w:r>
        <w:rPr>
          <w:rtl w:val="true"/>
        </w:rPr>
        <w:t>ועקב השתוללותה לאחר מכן</w:t>
      </w:r>
      <w:r>
        <w:rPr>
          <w:rtl w:val="true"/>
        </w:rPr>
        <w:t xml:space="preserve">. </w:t>
      </w:r>
      <w:r>
        <w:rPr>
          <w:rtl w:val="true"/>
        </w:rPr>
        <w:t>במענה לאישום הראשון</w:t>
      </w:r>
      <w:r>
        <w:rPr>
          <w:rtl w:val="true"/>
        </w:rPr>
        <w:t xml:space="preserve">, </w:t>
      </w:r>
      <w:r>
        <w:rPr>
          <w:rtl w:val="true"/>
        </w:rPr>
        <w:t>הכחיש המערער מפגש כלשהו עם המתלוננת ביום האירוע</w:t>
      </w:r>
      <w:r>
        <w:rPr>
          <w:rtl w:val="true"/>
        </w:rPr>
        <w:t xml:space="preserve">, </w:t>
      </w:r>
      <w:r>
        <w:rPr>
          <w:rtl w:val="true"/>
        </w:rPr>
        <w:t>טען כי כלל לא שוחח עמה בטלפון באותו יום</w:t>
      </w:r>
      <w:r>
        <w:rPr>
          <w:rtl w:val="true"/>
        </w:rPr>
        <w:t xml:space="preserve">, </w:t>
      </w:r>
      <w:r>
        <w:rPr>
          <w:rtl w:val="true"/>
        </w:rPr>
        <w:t>והעלה טענת אליבי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/>
        <w:t>15.8.2015</w:t>
      </w:r>
      <w:r>
        <w:rPr>
          <w:rtl w:val="true"/>
        </w:rPr>
        <w:t xml:space="preserve">, </w:t>
      </w:r>
      <w:r>
        <w:rPr>
          <w:rtl w:val="true"/>
        </w:rPr>
        <w:t>הוא שהה בדירת אמו ויצא משם לפרק זמן קצר בלבד בנוכחותם של שלושה עדים לפחות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לאחר ששמע את מכלול ראיות התביעה</w:t>
      </w:r>
      <w:r>
        <w:rPr>
          <w:rtl w:val="true"/>
        </w:rPr>
        <w:t xml:space="preserve">, </w:t>
      </w:r>
      <w:r>
        <w:rPr>
          <w:rtl w:val="true"/>
        </w:rPr>
        <w:t>שינה המערער את גרסתו והודה בחלקו הראשון של האירוע</w:t>
      </w:r>
      <w:r>
        <w:rPr>
          <w:rtl w:val="true"/>
        </w:rPr>
        <w:t xml:space="preserve">, </w:t>
      </w:r>
      <w:r>
        <w:rPr>
          <w:rtl w:val="true"/>
        </w:rPr>
        <w:t>תוך שהוא מכחיש את חלקו השני</w:t>
      </w:r>
      <w:r>
        <w:rPr>
          <w:rtl w:val="true"/>
        </w:rPr>
        <w:t xml:space="preserve">. </w:t>
      </w:r>
      <w:r>
        <w:rPr>
          <w:rtl w:val="true"/>
        </w:rPr>
        <w:t>ביחס לחלק השני של האירוע העלה המערער בעדותו טענת אליבי צרה יותר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בזמן התרחשות התקיפה ומעשי הדקירה </w:t>
      </w:r>
      <w:r>
        <w:rPr>
          <w:rtl w:val="true"/>
        </w:rPr>
        <w:t>–</w:t>
      </w:r>
      <w:r>
        <w:rPr>
          <w:rtl w:val="true"/>
        </w:rPr>
        <w:t xml:space="preserve"> בסביבות השעה </w:t>
      </w:r>
      <w:r>
        <w:rPr/>
        <w:t>20:07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 ליווה את חברת משפחתו למונית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שמיעת ראיות הרשיע בית משפט קמא את המערער בכל אחד משני האישומים</w:t>
      </w:r>
      <w:r>
        <w:rPr>
          <w:rtl w:val="true"/>
        </w:rPr>
        <w:t xml:space="preserve">. </w:t>
      </w:r>
      <w:r>
        <w:rPr>
          <w:rtl w:val="true"/>
        </w:rPr>
        <w:t>התשתית הראייתית עליה ביסס בית המשפט את הרשעת המערער באישום השני כללה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את עדות המתלוננת</w:t>
      </w:r>
      <w:r>
        <w:rPr>
          <w:rtl w:val="true"/>
        </w:rPr>
        <w:t xml:space="preserve">, </w:t>
      </w:r>
      <w:r>
        <w:rPr>
          <w:rtl w:val="true"/>
        </w:rPr>
        <w:t>אשר נמצאה מהימנה</w:t>
      </w:r>
      <w:r>
        <w:rPr>
          <w:rtl w:val="true"/>
        </w:rPr>
        <w:t xml:space="preserve">, </w:t>
      </w:r>
      <w:r>
        <w:rPr>
          <w:rtl w:val="true"/>
        </w:rPr>
        <w:t>סדורה וקוהרנטית</w:t>
      </w:r>
      <w:r>
        <w:rPr>
          <w:rtl w:val="true"/>
        </w:rPr>
        <w:t xml:space="preserve">. </w:t>
      </w:r>
      <w:r>
        <w:rPr>
          <w:rtl w:val="true"/>
        </w:rPr>
        <w:t>אל עדות זו התווספו הראיות הבאות</w:t>
      </w:r>
      <w:r>
        <w:rPr>
          <w:rtl w:val="true"/>
        </w:rPr>
        <w:t xml:space="preserve">, </w:t>
      </w:r>
      <w:r>
        <w:rPr>
          <w:rtl w:val="true"/>
        </w:rPr>
        <w:t>שחיזקוה</w:t>
      </w:r>
      <w:r>
        <w:rPr>
          <w:rtl w:val="true"/>
        </w:rPr>
        <w:t xml:space="preserve">: </w:t>
      </w:r>
      <w:r>
        <w:rPr>
          <w:rtl w:val="true"/>
        </w:rPr>
        <w:t>עדויותיהם של אמה של המתלוננת ושל שני חבריה</w:t>
      </w:r>
      <w:r>
        <w:rPr>
          <w:rtl w:val="true"/>
        </w:rPr>
        <w:t xml:space="preserve">, </w:t>
      </w:r>
      <w:r>
        <w:rPr>
          <w:rtl w:val="true"/>
        </w:rPr>
        <w:t>שבאוזניהם התלוננה המתלוננת על מעשה התקיפה בסמוך להתרחשותה</w:t>
      </w:r>
      <w:r>
        <w:rPr>
          <w:rtl w:val="true"/>
        </w:rPr>
        <w:t xml:space="preserve">; </w:t>
      </w:r>
      <w:r>
        <w:rPr>
          <w:rtl w:val="true"/>
        </w:rPr>
        <w:t>תלונה שהגישה המתלוננת במשטרת ישראל לגבי אירוע התקיפה</w:t>
      </w:r>
      <w:r>
        <w:rPr>
          <w:rtl w:val="true"/>
        </w:rPr>
        <w:t xml:space="preserve">; </w:t>
      </w:r>
      <w:r>
        <w:rPr>
          <w:rtl w:val="true"/>
        </w:rPr>
        <w:t>ומצבה הפיזי של המתלוננת</w:t>
      </w:r>
      <w:r>
        <w:rPr>
          <w:rtl w:val="true"/>
        </w:rPr>
        <w:t xml:space="preserve">, </w:t>
      </w:r>
      <w:r>
        <w:rPr>
          <w:rtl w:val="true"/>
        </w:rPr>
        <w:t>שעלה בקנה אחד עם הדברים שמסרה בתלונתה ובעדות</w:t>
      </w:r>
      <w:r>
        <w:rPr>
          <w:rtl w:val="true"/>
        </w:rPr>
        <w:t xml:space="preserve">. </w:t>
      </w:r>
      <w:r>
        <w:rPr>
          <w:rtl w:val="true"/>
        </w:rPr>
        <w:t>בית המשפט שמע את עדות המערער ואת הסבריו ביחס לאירוע התקיפה</w:t>
      </w:r>
      <w:r>
        <w:rPr>
          <w:rtl w:val="true"/>
        </w:rPr>
        <w:t xml:space="preserve">, </w:t>
      </w:r>
      <w:r>
        <w:rPr>
          <w:rtl w:val="true"/>
        </w:rPr>
        <w:t>אך מצאם בלתי אמינים לנוכח הסתירות ודו</w:t>
      </w:r>
      <w:r>
        <w:rPr>
          <w:rtl w:val="true"/>
        </w:rPr>
        <w:t>-</w:t>
      </w:r>
      <w:r>
        <w:rPr>
          <w:rtl w:val="true"/>
        </w:rPr>
        <w:t>משמעות שנתגלו בהם וכן בשל אי</w:t>
      </w:r>
      <w:r>
        <w:rPr>
          <w:rtl w:val="true"/>
        </w:rPr>
        <w:t>-</w:t>
      </w:r>
      <w:r>
        <w:rPr>
          <w:rtl w:val="true"/>
        </w:rPr>
        <w:t>ההתאמה שבינם לבין פציעותיה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כמו כן בחן בית המשפט שני מכתבי התנצלות שהמתלוננת שלחה למערער לאחר הגשת התלונה נגדו ואת ניסיונה לבטל את התלונה שהגישה </w:t>
      </w:r>
      <w:r>
        <w:rPr>
          <w:rtl w:val="true"/>
        </w:rPr>
        <w:t>–</w:t>
      </w:r>
      <w:r>
        <w:rPr>
          <w:rtl w:val="true"/>
        </w:rPr>
        <w:t xml:space="preserve"> ראיות שהוגשו כחלק מפרשת ההגנה</w:t>
      </w:r>
      <w:r>
        <w:rPr>
          <w:rtl w:val="true"/>
        </w:rPr>
        <w:t xml:space="preserve">. </w:t>
      </w:r>
      <w:r>
        <w:rPr>
          <w:rtl w:val="true"/>
        </w:rPr>
        <w:t>בית המשפט מצא כי ראיות אלו יכולות להצביע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על כך שהמתלוננת ריחמה על המערער ולא רצתה שיעונה לו רע</w:t>
      </w:r>
      <w:r>
        <w:rPr>
          <w:rtl w:val="true"/>
        </w:rPr>
        <w:t xml:space="preserve">, </w:t>
      </w:r>
      <w:r>
        <w:rPr>
          <w:rtl w:val="true"/>
        </w:rPr>
        <w:t>אך אין בהן כדי להטיל ספק ממשי בהתרחשותו של מעשה התקיפה כפי שהמתלוננת תיארה אותו</w:t>
      </w:r>
      <w:r>
        <w:rPr>
          <w:rtl w:val="true"/>
        </w:rPr>
        <w:t xml:space="preserve">. </w:t>
      </w:r>
      <w:r>
        <w:rPr>
          <w:rtl w:val="true"/>
        </w:rPr>
        <w:t>בית המשפט קבע ממצא זהה לגבי עדותה של שכנה שהתגוררה בבניין בו גרו המתלוננת והמערער בתקופה הרלבנטית</w:t>
      </w:r>
      <w:r>
        <w:rPr>
          <w:rtl w:val="true"/>
        </w:rPr>
        <w:t xml:space="preserve">, </w:t>
      </w:r>
      <w:r>
        <w:rPr>
          <w:rtl w:val="true"/>
        </w:rPr>
        <w:t xml:space="preserve">לפיה המתלוננת אמרה לה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מהחלון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בית המשפט קבע כי אמרה זו של המתלוננת משתמעת לשתי פנים וכי אין בה כדי להוות חיזוק משמעותי לגרסת המערער</w:t>
      </w:r>
      <w:r>
        <w:rPr>
          <w:rtl w:val="true"/>
        </w:rPr>
        <w:t xml:space="preserve">, </w:t>
      </w:r>
      <w:r>
        <w:rPr>
          <w:rtl w:val="true"/>
        </w:rPr>
        <w:t>שכאמור היתה רוויה בסתירות ונמצאה בלתי אמינה</w:t>
      </w:r>
      <w:r>
        <w:rPr>
          <w:rtl w:val="true"/>
        </w:rPr>
        <w:t xml:space="preserve">. </w:t>
      </w:r>
      <w:r>
        <w:rPr>
          <w:rtl w:val="true"/>
        </w:rPr>
        <w:t>על יסוד כל אלו</w:t>
      </w:r>
      <w:r>
        <w:rPr>
          <w:rtl w:val="true"/>
        </w:rPr>
        <w:t xml:space="preserve">, </w:t>
      </w:r>
      <w:r>
        <w:rPr>
          <w:rtl w:val="true"/>
        </w:rPr>
        <w:t>קבע בית משפט קמא כי התביעה הוכיחה מעבר לכל ספק סביר כי המערער תקף את המתלוננת עת שהייתה בת זוגו וגרם לה חבלה ממשית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הרשיע בית המשפט את המערער בעבירה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בהתייחסו לאישום הראשון שעניינו ניסיון לרצח</w:t>
      </w:r>
      <w:r>
        <w:rPr>
          <w:rtl w:val="true"/>
        </w:rPr>
        <w:t xml:space="preserve">, </w:t>
      </w:r>
      <w:r>
        <w:rPr>
          <w:rtl w:val="true"/>
        </w:rPr>
        <w:t>בית משפט קמא דן באריכות בעדות המתלוננת והחליט ליתן בה אמון מלא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המתלוננת הסבירה בצורה בהירה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חילופי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והחתכים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מדגימה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כיווני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הצוואר</w:t>
      </w:r>
      <w:r>
        <w:rPr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כאן המקום לציין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בשתי חקירותיה הראשונות במשטרה נמנעה המתלוננת מלהצביע על המערער כמי שתקף ודקר אותה ודיברה על ה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דמות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 דבריה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יכלה לזהות בגלל החושך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המתלוננת זיהתה את המערער כמי שתקף ודקר אותה רק בחקירתה 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שהבינה כי אם לא תספר את האמת תתחרט על כך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סיפרה המתלוננת באותה חקירה כי היא פוחדת שהמערער יפגע בה וכי פחד זה מנע ממנה לספר את כל האמת בחקירותיה הראשונות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התייחס להודעות אלה בפסק דינו וקיבל את הסברה של המתלוננת כאמין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כמו כן קבע בית המשפט כי גרסת המתלוננת מקבלת חיזוק מראיות נוספות אשר כללו</w:t>
      </w:r>
      <w:r>
        <w:rPr>
          <w:rtl w:val="true"/>
        </w:rPr>
        <w:t xml:space="preserve">, </w:t>
      </w:r>
      <w:r>
        <w:rPr>
          <w:rtl w:val="true"/>
        </w:rPr>
        <w:t>עימות בין המתלוננת למערער</w:t>
      </w:r>
      <w:r>
        <w:rPr>
          <w:rtl w:val="true"/>
        </w:rPr>
        <w:t xml:space="preserve">, </w:t>
      </w:r>
      <w:r>
        <w:rPr>
          <w:rtl w:val="true"/>
        </w:rPr>
        <w:t>שבמהלכו דבקה המתלוננת בגרסה שהפלילה את המערער עליה חזרה במשפט</w:t>
      </w:r>
      <w:r>
        <w:rPr>
          <w:rtl w:val="true"/>
        </w:rPr>
        <w:t>; "</w:t>
      </w:r>
      <w:r>
        <w:rPr>
          <w:rtl w:val="true"/>
        </w:rPr>
        <w:t>הובלה והצבעה</w:t>
      </w:r>
      <w:r>
        <w:rPr>
          <w:rtl w:val="true"/>
        </w:rPr>
        <w:t xml:space="preserve">", </w:t>
      </w:r>
      <w:r>
        <w:rPr>
          <w:rtl w:val="true"/>
        </w:rPr>
        <w:t xml:space="preserve">שבמהלכן שחזרה המתלוננת את </w:t>
      </w:r>
      <w:r>
        <w:rPr>
          <w:rFonts w:ascii="Century" w:hAnsi="Century" w:cs="Century"/>
          <w:sz w:val="22"/>
          <w:sz w:val="22"/>
          <w:rtl w:val="true"/>
        </w:rPr>
        <w:t>האופן בו הותקפה על ידי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>פלטי שיחות הטלפון בין המתלוננת למערער</w:t>
      </w:r>
      <w:r>
        <w:rPr>
          <w:rtl w:val="true"/>
        </w:rPr>
        <w:t xml:space="preserve">, </w:t>
      </w:r>
      <w:r>
        <w:rPr>
          <w:rtl w:val="true"/>
        </w:rPr>
        <w:t>אשר הצביעו על כך שהשניים שוחחו בזמנים שצוינו על ידי המתלוננת</w:t>
      </w:r>
      <w:r>
        <w:rPr>
          <w:rtl w:val="true"/>
        </w:rPr>
        <w:t xml:space="preserve">; </w:t>
      </w:r>
      <w:r>
        <w:rPr>
          <w:rtl w:val="true"/>
        </w:rPr>
        <w:t>צילומי מצלמות האבטחה אשר תיעדו גבר השוהה בפארק בקרבת המתלוננת</w:t>
      </w:r>
      <w:r>
        <w:rPr>
          <w:rtl w:val="true"/>
        </w:rPr>
        <w:t xml:space="preserve">, </w:t>
      </w:r>
      <w:r>
        <w:rPr>
          <w:rtl w:val="true"/>
        </w:rPr>
        <w:t>שפרטי לבושו זהים לאלו שלבש המערער בחלקו הראשון של האירוע</w:t>
      </w:r>
      <w:r>
        <w:rPr>
          <w:rtl w:val="true"/>
        </w:rPr>
        <w:t xml:space="preserve">; </w:t>
      </w:r>
      <w:r>
        <w:rPr>
          <w:rtl w:val="true"/>
        </w:rPr>
        <w:t>דברים שאמרה המתלוננת לאמה</w:t>
      </w:r>
      <w:r>
        <w:rPr>
          <w:rFonts w:ascii="Century" w:hAnsi="Century" w:cs="Century"/>
          <w:sz w:val="22"/>
          <w:sz w:val="22"/>
          <w:rtl w:val="true"/>
        </w:rPr>
        <w:t xml:space="preserve"> בהיותה מאושפזת בבית החולים בעקבות התקיפה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tl w:val="true"/>
        </w:rPr>
        <w:t>התיעוד הרפואי בנוגע למצב המתלוננת לאחר ביצוע העבירה</w:t>
      </w:r>
      <w:r>
        <w:rPr>
          <w:rtl w:val="true"/>
        </w:rPr>
        <w:t xml:space="preserve">; </w:t>
      </w:r>
      <w:r>
        <w:rPr>
          <w:rtl w:val="true"/>
        </w:rPr>
        <w:t>ופרטי לבושו של המערער שנמצאו מכובסים בדירת אמו בסמוך למועד האירוע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לגבי קבילותן של ראיות אלה לא היתה שום מחלוקת אמתית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אציין בכל זאת כי </w:t>
      </w:r>
      <w:r>
        <w:rPr>
          <w:rFonts w:ascii="Century" w:hAnsi="Century" w:cs="Century"/>
          <w:sz w:val="22"/>
          <w:sz w:val="22"/>
          <w:rtl w:val="true"/>
        </w:rPr>
        <w:t>אמרות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נאמרו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מחוץ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לכותלי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שימשו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כראיה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עצם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אמירתן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תומכת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תקף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מהימנות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ועל כן אין מדובר כאן בעדות מפי השמועה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בנוגע לאירוע הדקירה גופו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חשוב להוסיף כי המתלוננת ציינה בעדותה שהמערער ביקש ממנה כי תזכיר לו דבר רע שעשתה לו במהלך הקשר הזוגי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ושמיד לאחר שעשתה כדברו הוא החל לדקור אותה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פרט זה מצביע על המניע האפשרי שמאחורי מעשיו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אין בו כדי להוכיח את המניע באופן ברור וחד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משמעי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מאחר שמניע ממילא איננו נחוץ להרשעתו של נאשם בניסיון לרצח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אסתפק בציון המניע האפשרי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אם כי לא ודאי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למעשי התקיפה והדקירה שהמערער ביצע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בית המשפט דחה את טענת ההגנה לפיה נפל פגם במהימנות המתלוננת בשל הספק שהביע ד</w:t>
      </w:r>
      <w:r>
        <w:rPr>
          <w:rtl w:val="true"/>
        </w:rPr>
        <w:t>"</w:t>
      </w:r>
      <w:r>
        <w:rPr>
          <w:rtl w:val="true"/>
        </w:rPr>
        <w:t>ר מיכאל וייס</w:t>
      </w:r>
      <w:r>
        <w:rPr>
          <w:rtl w:val="true"/>
        </w:rPr>
        <w:t xml:space="preserve">, </w:t>
      </w:r>
      <w:r>
        <w:rPr>
          <w:rtl w:val="true"/>
        </w:rPr>
        <w:t>הרופא שטיפל במתלוננת לאחר האירוע</w:t>
      </w:r>
      <w:r>
        <w:rPr>
          <w:rtl w:val="true"/>
        </w:rPr>
        <w:t xml:space="preserve">, </w:t>
      </w:r>
      <w:r>
        <w:rPr>
          <w:rtl w:val="true"/>
        </w:rPr>
        <w:t>ביחס לסוג הסכין בה היא נדקרה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וייס אמנם העיד תחילה כי </w:t>
      </w:r>
      <w:r>
        <w:rPr>
          <w:rFonts w:cs="Miriam"/>
          <w:b/>
          <w:b/>
          <w:spacing w:val="0"/>
          <w:szCs w:val="24"/>
          <w:rtl w:val="true"/>
        </w:rPr>
        <w:t>להערכתו</w:t>
      </w:r>
      <w:r>
        <w:rPr>
          <w:rtl w:val="true"/>
        </w:rPr>
        <w:t xml:space="preserve"> לא מדובר בסכין יפנית</w:t>
      </w:r>
      <w:r>
        <w:rPr>
          <w:rtl w:val="true"/>
        </w:rPr>
        <w:t xml:space="preserve">, </w:t>
      </w:r>
      <w:r>
        <w:rPr>
          <w:rtl w:val="true"/>
        </w:rPr>
        <w:t xml:space="preserve">אך לאחר מכן דייק בדבריו באמרו כי הוא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 </w:t>
      </w:r>
      <w:r>
        <w:rPr>
          <w:rtl w:val="true"/>
        </w:rPr>
        <w:t>איזו</w:t>
      </w:r>
      <w:r>
        <w:rPr>
          <w:rtl w:val="true"/>
        </w:rPr>
        <w:t xml:space="preserve"> </w:t>
      </w:r>
      <w:r>
        <w:rPr>
          <w:rtl w:val="true"/>
        </w:rPr>
        <w:t>סכי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ביצעה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החתכי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והדקירות</w:t>
      </w:r>
      <w:r>
        <w:rPr>
          <w:rtl w:val="true"/>
        </w:rPr>
        <w:t xml:space="preserve">". </w:t>
      </w:r>
      <w:r>
        <w:rPr>
          <w:rtl w:val="true"/>
        </w:rPr>
        <w:t>באשר לעדות שמסר המערער להגנתו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מצאהּ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בלתי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מהימנה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מניפולטיבית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ורצופת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סתירות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מוסברות</w:t>
      </w:r>
      <w:r>
        <w:rPr>
          <w:rtl w:val="true"/>
        </w:rPr>
        <w:t xml:space="preserve">". </w:t>
      </w:r>
      <w:r>
        <w:rPr>
          <w:rtl w:val="true"/>
        </w:rPr>
        <w:t>בהקשר זה ציין בית המשפט את השקרים השונים שהתגלו בחקירתו של המערער</w:t>
      </w:r>
      <w:r>
        <w:rPr>
          <w:rtl w:val="true"/>
        </w:rPr>
        <w:t xml:space="preserve">; </w:t>
      </w:r>
      <w:r>
        <w:rPr>
          <w:rtl w:val="true"/>
        </w:rPr>
        <w:t>את השינוי החד בגרסאות האליבי שלו</w:t>
      </w:r>
      <w:r>
        <w:rPr>
          <w:rtl w:val="true"/>
        </w:rPr>
        <w:t xml:space="preserve">; </w:t>
      </w:r>
      <w:r>
        <w:rPr>
          <w:rtl w:val="true"/>
        </w:rPr>
        <w:t>ואת הודעותיו המפלילות</w:t>
      </w:r>
      <w:r>
        <w:rPr>
          <w:rtl w:val="true"/>
        </w:rPr>
        <w:t xml:space="preserve">, </w:t>
      </w:r>
      <w:r>
        <w:rPr>
          <w:rtl w:val="true"/>
        </w:rPr>
        <w:t>לרבות ראשית הודאה</w:t>
      </w:r>
      <w:r>
        <w:rPr>
          <w:rtl w:val="true"/>
        </w:rPr>
        <w:t xml:space="preserve">, </w:t>
      </w:r>
      <w:r>
        <w:rPr>
          <w:rtl w:val="true"/>
        </w:rPr>
        <w:t>להן יוחס משקל משמעותי בקביעת בית המשפט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כי היה זה המערער שתקף ודקר את המתלוננת ביום </w:t>
      </w:r>
      <w:r>
        <w:rPr>
          <w:rFonts w:cs="Arial TUR;Arial" w:ascii="Arial TUR;Arial" w:hAnsi="Arial TUR;Arial"/>
          <w:sz w:val="22"/>
        </w:rPr>
        <w:t>15.8.2015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הודעות אלו כללו את אמירתו של המערער לבת זוגו לשעבר יום לאחר האירוע</w:t>
      </w:r>
      <w:r>
        <w:rPr>
          <w:rtl w:val="true"/>
        </w:rPr>
        <w:t xml:space="preserve">, </w:t>
      </w:r>
      <w:r>
        <w:rPr>
          <w:rtl w:val="true"/>
        </w:rPr>
        <w:t>לפיה הוא צריך ללכת לתחנת המשטרה מפני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מכות</w:t>
      </w:r>
      <w:r>
        <w:rPr>
          <w:rFonts w:cs="Century" w:ascii="Century" w:hAnsi="Century"/>
          <w:sz w:val="22"/>
          <w:rtl w:val="true"/>
        </w:rPr>
        <w:t xml:space="preserve">"; </w:t>
      </w:r>
      <w:r>
        <w:rPr>
          <w:rFonts w:ascii="Century" w:hAnsi="Century" w:cs="Century"/>
          <w:sz w:val="22"/>
          <w:sz w:val="22"/>
          <w:rtl w:val="true"/>
        </w:rPr>
        <w:t>וכן את ראשית הודאתו במעשים שעשה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העולה מן הדברים שאמר לשוטר התורן מיד לאחר שהגיע לתחנת המשטרה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לפיהם הוא בא כדי להסגיר את עצמו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מאתמול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בית משפט קמא גם בחן בקפידה את גרסת האליבי הצרה של המערער</w:t>
      </w:r>
      <w:r>
        <w:rPr>
          <w:rtl w:val="true"/>
        </w:rPr>
        <w:t xml:space="preserve">, </w:t>
      </w:r>
      <w:r>
        <w:rPr>
          <w:rtl w:val="true"/>
        </w:rPr>
        <w:t>וקבע כי זו כלל איננה רלבנטית לזמן התקיפה</w:t>
      </w:r>
      <w:r>
        <w:rPr>
          <w:rtl w:val="true"/>
        </w:rPr>
        <w:t xml:space="preserve">. </w:t>
      </w:r>
      <w:r>
        <w:rPr>
          <w:rtl w:val="true"/>
        </w:rPr>
        <w:t>קביעתו זו של בית המשפט נסמכה על פרק הזמן בו ארעה התקיפה</w:t>
      </w:r>
      <w:r>
        <w:rPr>
          <w:rtl w:val="true"/>
        </w:rPr>
        <w:t>:</w:t>
      </w:r>
      <w:r>
        <w:rPr>
          <w:sz w:val="28"/>
          <w:rtl w:val="true"/>
        </w:rPr>
        <w:t xml:space="preserve"> </w:t>
      </w:r>
      <w:r>
        <w:rPr>
          <w:sz w:val="28"/>
        </w:rPr>
        <w:t>20:07</w:t>
      </w:r>
      <w:r>
        <w:rPr>
          <w:sz w:val="28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20:17</w:t>
      </w:r>
      <w:r>
        <w:rPr>
          <w:rtl w:val="true"/>
        </w:rPr>
        <w:t xml:space="preserve">; </w:t>
      </w:r>
      <w:r>
        <w:rPr>
          <w:rtl w:val="true"/>
        </w:rPr>
        <w:t>על המרחק הקצר שבין בית אמו של המערער לגן הציבורי</w:t>
      </w:r>
      <w:r>
        <w:rPr>
          <w:rtl w:val="true"/>
        </w:rPr>
        <w:t xml:space="preserve">, </w:t>
      </w:r>
      <w:r>
        <w:rPr>
          <w:rtl w:val="true"/>
        </w:rPr>
        <w:t>אותו ניתן לגמוע בהליכה רגלית בתוך פחות משתי דקות</w:t>
      </w:r>
      <w:r>
        <w:rPr>
          <w:rtl w:val="true"/>
        </w:rPr>
        <w:t xml:space="preserve">; </w:t>
      </w:r>
      <w:r>
        <w:rPr>
          <w:rtl w:val="true"/>
        </w:rPr>
        <w:t>ועל עדויותיהם של עדי ההגנה</w:t>
      </w:r>
      <w:r>
        <w:rPr>
          <w:rtl w:val="true"/>
        </w:rPr>
        <w:t xml:space="preserve">, </w:t>
      </w:r>
      <w:r>
        <w:rPr>
          <w:rtl w:val="true"/>
        </w:rPr>
        <w:t xml:space="preserve">מהן עלה כי המערער לא שהה במחיצתם לאחר השעה </w:t>
      </w:r>
      <w:r>
        <w:rPr/>
        <w:t>20:05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יצויין כי המערער התגורר אז בדירה אשר נמצאת באותו בניין הקרוב לפארק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שבו נמצאת דירתה של אמו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וכי בית משפט קמא נתן את דעתו גם לפרט זה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כמו כן שאל את עצמו בית המשפט שאלה פשוטה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האם ייתכן שהמתלוננת הותקפה ונדקרה באכזריות על ידי אדם אחר לאחר שהמערער השאירהּ בפארק בגפה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מכן החליטה להאשים את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 שיקרי וביודעין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בתקיפה ובדקירות</w:t>
      </w:r>
      <w:r>
        <w:rPr>
          <w:rFonts w:cs="Century" w:ascii="Century" w:hAnsi="Century"/>
          <w:sz w:val="22"/>
          <w:rtl w:val="true"/>
        </w:rPr>
        <w:t xml:space="preserve">? </w:t>
      </w:r>
      <w:r>
        <w:rPr>
          <w:rFonts w:ascii="Century" w:hAnsi="Century" w:cs="Century"/>
          <w:sz w:val="22"/>
          <w:sz w:val="22"/>
          <w:rtl w:val="true"/>
        </w:rPr>
        <w:t>לשאלה זו השיב בית המשפט בלאו מוחלט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שהוא נותן אמון מלא בעדות המתלוננת ובהסבריה להימנעותה מהפללת המערער בתחילת החקירה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ובכך שלמתלוננת לא היתה שום סיבה נראית לעין לרקום עלילת שווא נגד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שבאותה נקודת זמן כבר יצא מחייה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alibri" w:hAnsi="Calibri" w:eastAsia="Calibri" w:cs="Calibri"/>
          <w:sz w:val="28"/>
        </w:rPr>
      </w:pPr>
      <w:r>
        <w:rPr>
          <w:rtl w:val="true"/>
        </w:rPr>
        <w:t>בשים לב למכלול השיקולים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עובדות האישום הראשון אף הן </w:t>
      </w:r>
      <w:r>
        <w:rPr>
          <w:rFonts w:eastAsia="Calibri"/>
          <w:rtl w:val="true"/>
        </w:rPr>
        <w:t xml:space="preserve">הוכחו מעבר לכל ספק סביר </w:t>
      </w:r>
      <w:r>
        <w:rPr>
          <w:rFonts w:eastAsia="Calibri"/>
          <w:rtl w:val="true"/>
        </w:rPr>
        <w:t>–</w:t>
      </w:r>
      <w:r>
        <w:rPr>
          <w:rFonts w:eastAsia="Calibri"/>
          <w:rtl w:val="true"/>
        </w:rPr>
        <w:t xml:space="preserve"> ו</w:t>
      </w:r>
      <w:r>
        <w:rPr>
          <w:rFonts w:ascii="Calibri" w:hAnsi="Calibri" w:eastAsia="Calibri" w:cs="Calibri"/>
          <w:sz w:val="28"/>
          <w:sz w:val="28"/>
          <w:rtl w:val="true"/>
        </w:rPr>
        <w:t>מנקודה זו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>הדרך להרשעת המערער בניסיון לרצח הייתה קצרה</w:t>
      </w:r>
      <w:r>
        <w:rPr>
          <w:rFonts w:eastAsia="Calibri" w:cs="Calibri" w:ascii="Calibri" w:hAnsi="Calibri"/>
          <w:sz w:val="28"/>
          <w:rtl w:val="true"/>
        </w:rPr>
        <w:t xml:space="preserve">.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על פי מבחן </w:t>
      </w:r>
      <w:r>
        <w:rPr>
          <w:rFonts w:eastAsia="Calibri"/>
          <w:rtl w:val="true"/>
        </w:rPr>
        <w:t>הקרבה המספקת לביצוע העבירה המושלמת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קבע בית המשפט כי נסיבות האירוע מגבשות את היסוד העובדתי של עבירת הניסיון לרצח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בהתייחסו ליסוד הנפשי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נעזר בית המשפט בחזקה לפיה </w:t>
      </w:r>
      <w:r>
        <w:rPr>
          <w:rFonts w:eastAsia="Calibri"/>
          <w:rtl w:val="true"/>
        </w:rPr>
        <w:t xml:space="preserve">אדם 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 xml:space="preserve">תכוון </w:t>
      </w:r>
      <w:r>
        <w:rPr>
          <w:rFonts w:eastAsia="Calibri"/>
          <w:rtl w:val="true"/>
        </w:rPr>
        <w:t xml:space="preserve">לגרום </w:t>
      </w:r>
      <w:r>
        <w:rPr>
          <w:rFonts w:eastAsia="Calibri"/>
          <w:rtl w:val="true"/>
        </w:rPr>
        <w:t>לתוצאות הצומחות באופן טבעי ובהסתברות גבוהה ממעשיו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וקבע כי נ</w:t>
      </w:r>
      <w:r>
        <w:rPr>
          <w:rFonts w:ascii="Calibri" w:hAnsi="Calibri" w:cs="Calibri"/>
          <w:sz w:val="22"/>
          <w:sz w:val="22"/>
          <w:rtl w:val="true"/>
        </w:rPr>
        <w:t xml:space="preserve">סיבות המקרה דכאן </w:t>
      </w:r>
      <w:r>
        <w:rPr>
          <w:rFonts w:ascii="Calibri" w:hAnsi="Calibri" w:cs="Calibri"/>
          <w:sz w:val="22"/>
          <w:sz w:val="22"/>
          <w:rtl w:val="true"/>
        </w:rPr>
        <w:t>–</w:t>
      </w:r>
      <w:r>
        <w:rPr>
          <w:rFonts w:ascii="Calibri" w:hAnsi="Calibri" w:cs="Calibri"/>
          <w:sz w:val="22"/>
          <w:sz w:val="22"/>
          <w:rtl w:val="true"/>
        </w:rPr>
        <w:t xml:space="preserve"> דקירות מרובות בפלג גופה העליון של המתלוננת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שיסוף גרונה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 xml:space="preserve">והפקרתה לדמם למוות </w:t>
      </w:r>
      <w:r>
        <w:rPr>
          <w:rFonts w:ascii="Calibri" w:hAnsi="Calibri" w:cs="Calibri"/>
          <w:sz w:val="22"/>
          <w:sz w:val="22"/>
          <w:rtl w:val="true"/>
        </w:rPr>
        <w:t>–</w:t>
      </w:r>
      <w:r>
        <w:rPr>
          <w:rFonts w:ascii="Calibri" w:hAnsi="Calibri" w:cs="Calibri"/>
          <w:sz w:val="22"/>
          <w:sz w:val="22"/>
          <w:rtl w:val="true"/>
        </w:rPr>
        <w:t xml:space="preserve"> מקימות חזקה זו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 xml:space="preserve">בית המשפט ציין בהקשר זה כי קביעתו עולה בקנה אחד </w:t>
      </w:r>
      <w:r>
        <w:rPr>
          <w:rFonts w:eastAsia="Calibri"/>
          <w:rtl w:val="true"/>
        </w:rPr>
        <w:t xml:space="preserve">עם אמירותיו של המערער בזמן האירוע ועם </w:t>
      </w:r>
      <w:r>
        <w:rPr>
          <w:rFonts w:ascii="Arial TUR;Arial" w:hAnsi="Arial TUR;Arial" w:eastAsia="Calibri" w:cs="Arial TUR;Arial"/>
          <w:sz w:val="22"/>
          <w:sz w:val="22"/>
          <w:rtl w:val="true"/>
        </w:rPr>
        <w:t>אינדיקציות נוספות לכוונה להמית אשר פותחו בפסיקה</w:t>
      </w:r>
      <w:r>
        <w:rPr>
          <w:rFonts w:eastAsia="Calibri" w:cs="Arial TUR;Arial" w:ascii="Arial TUR;Arial" w:hAnsi="Arial TUR;Arial"/>
          <w:sz w:val="22"/>
          <w:rtl w:val="true"/>
        </w:rPr>
        <w:t xml:space="preserve">: </w:t>
      </w:r>
      <w:r>
        <w:rPr>
          <w:rFonts w:ascii="Arial TUR;Arial" w:hAnsi="Arial TUR;Arial" w:eastAsia="Calibri" w:cs="Arial TUR;Arial"/>
          <w:sz w:val="22"/>
          <w:sz w:val="22"/>
          <w:rtl w:val="true"/>
        </w:rPr>
        <w:t>הכלי ששימש לביצוע המעשה</w:t>
      </w:r>
      <w:r>
        <w:rPr>
          <w:rFonts w:eastAsia="Calibri"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eastAsia="Calibri" w:cs="Arial TUR;Arial"/>
          <w:sz w:val="22"/>
          <w:sz w:val="22"/>
          <w:rtl w:val="true"/>
        </w:rPr>
        <w:t>אופן הביצוע</w:t>
      </w:r>
      <w:r>
        <w:rPr>
          <w:rFonts w:eastAsia="Calibri" w:cs="Arial TUR;Arial" w:ascii="Arial TUR;Arial" w:hAnsi="Arial TUR;Arial"/>
          <w:sz w:val="22"/>
          <w:rtl w:val="true"/>
        </w:rPr>
        <w:t xml:space="preserve">; </w:t>
      </w:r>
      <w:r>
        <w:rPr>
          <w:rFonts w:ascii="Arial TUR;Arial" w:hAnsi="Arial TUR;Arial" w:eastAsia="Calibri" w:cs="Arial TUR;Arial"/>
          <w:sz w:val="22"/>
          <w:sz w:val="22"/>
          <w:rtl w:val="true"/>
        </w:rPr>
        <w:t>וכן מהות ומקום הפגיעה בקורבן</w:t>
      </w:r>
      <w:r>
        <w:rPr>
          <w:rFonts w:eastAsia="Calibri" w:cs="Calibri" w:ascii="Calibri" w:hAnsi="Calibri"/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  <w:sz w:val="28"/>
          <w:rtl w:val="true"/>
        </w:rPr>
        <w:t>למרות שהמערער טען כי לא היה שיכור בזמן האירוע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בית משפט קמא ראה לנכון לייחס משקל לדברי המתלוננת שהעידה כי המערער היה </w:t>
      </w:r>
      <w:r>
        <w:rPr>
          <w:rFonts w:eastAsia="Calibri" w:cs="Calibri" w:ascii="Calibri" w:hAnsi="Calibri"/>
          <w:sz w:val="28"/>
          <w:rtl w:val="true"/>
        </w:rPr>
        <w:t>"</w:t>
      </w:r>
      <w:r>
        <w:rPr>
          <w:rFonts w:ascii="Calibri" w:hAnsi="Calibri" w:eastAsia="Calibri" w:cs="Calibri"/>
          <w:sz w:val="28"/>
          <w:sz w:val="28"/>
          <w:rtl w:val="true"/>
        </w:rPr>
        <w:t>במצב שתוי</w:t>
      </w:r>
      <w:r>
        <w:rPr>
          <w:rFonts w:eastAsia="Calibri" w:cs="Calibri" w:ascii="Calibri" w:hAnsi="Calibri"/>
          <w:sz w:val="28"/>
          <w:rtl w:val="true"/>
        </w:rPr>
        <w:t xml:space="preserve">". </w:t>
      </w:r>
      <w:r>
        <w:rPr>
          <w:rFonts w:ascii="Calibri" w:hAnsi="Calibri" w:eastAsia="Calibri" w:cs="Calibri"/>
          <w:sz w:val="28"/>
          <w:sz w:val="28"/>
          <w:rtl w:val="true"/>
        </w:rPr>
        <w:t>בהקשר זה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קבע בית המשפט כי המערער לא היה שיכור באופן שעשוי לשלול את קיומה של יכולתו לשלוט על מעשיו או את הכוונה להמית בהתאם לכללים הקבועים </w:t>
      </w:r>
      <w:hyperlink r:id="rId15"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בסעיף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8"/>
            <w:u w:val="single"/>
          </w:rPr>
          <w:t>34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ט</w:t>
        </w:r>
      </w:hyperlink>
      <w:r>
        <w:rPr>
          <w:rFonts w:ascii="Calibri" w:hAnsi="Calibri" w:eastAsia="Calibri" w:cs="Calibri"/>
          <w:sz w:val="28"/>
          <w:sz w:val="28"/>
          <w:rtl w:val="true"/>
        </w:rPr>
        <w:t xml:space="preserve"> ל</w:t>
      </w:r>
      <w:hyperlink r:id="rId16"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sz w:val="28"/>
          <w:rtl w:val="true"/>
        </w:rPr>
        <w:t>.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  <w:sz w:val="28"/>
          <w:rtl w:val="true"/>
        </w:rPr>
        <w:t>לבסוף קבע בית המשפט כי המערער עשה את אשר עשה בהיעדר קנטור מצד המתלוננת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>ותוך הכנה</w:t>
      </w:r>
      <w:r>
        <w:rPr>
          <w:rFonts w:eastAsia="Calibri" w:cs="Calibri" w:ascii="Calibri" w:hAnsi="Calibri"/>
          <w:sz w:val="28"/>
          <w:rtl w:val="true"/>
        </w:rPr>
        <w:t xml:space="preserve">; </w:t>
      </w:r>
      <w:r>
        <w:rPr>
          <w:rFonts w:ascii="Calibri" w:hAnsi="Calibri" w:eastAsia="Calibri" w:cs="Calibri"/>
          <w:sz w:val="28"/>
          <w:sz w:val="28"/>
          <w:rtl w:val="true"/>
        </w:rPr>
        <w:t>ועל כן הרשיע אותו בניסיון לרצח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עבירה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 העונשין</w:t>
        </w:r>
      </w:hyperlink>
      <w:r>
        <w:rPr>
          <w:rFonts w:eastAsia="Calibri" w:cs="Calibri" w:ascii="Calibri" w:hAnsi="Calibri"/>
          <w:sz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eastAsia="Calibri"/>
          <w:rtl w:val="true"/>
        </w:rPr>
        <w:t xml:space="preserve">ביום </w:t>
      </w:r>
      <w:r>
        <w:rPr>
          <w:rFonts w:eastAsia="Calibri"/>
        </w:rPr>
        <w:t>30.11.2016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גזר בית משפט קמא את דינו של המערער</w:t>
      </w:r>
      <w:r>
        <w:rPr>
          <w:rFonts w:eastAsia="Calibri"/>
          <w:rtl w:val="true"/>
        </w:rPr>
        <w:t xml:space="preserve">. </w:t>
      </w:r>
      <w:r>
        <w:rPr>
          <w:rtl w:val="true"/>
        </w:rPr>
        <w:t>בנוגע לאישום השני</w:t>
      </w:r>
      <w:r>
        <w:rPr>
          <w:rtl w:val="true"/>
        </w:rPr>
        <w:t xml:space="preserve">, </w:t>
      </w:r>
      <w:r>
        <w:rPr>
          <w:rtl w:val="true"/>
        </w:rPr>
        <w:t>נקבע בגזר הדין כי המערער פגע בערכים החברתיים המוגנים של כבוד האדם</w:t>
      </w:r>
      <w:r>
        <w:rPr>
          <w:rtl w:val="true"/>
        </w:rPr>
        <w:t xml:space="preserve">, </w:t>
      </w:r>
      <w:r>
        <w:rPr>
          <w:rtl w:val="true"/>
        </w:rPr>
        <w:t>בריאותו ושלמות גופו</w:t>
      </w:r>
      <w:r>
        <w:rPr>
          <w:rtl w:val="true"/>
        </w:rPr>
        <w:t xml:space="preserve">. </w:t>
      </w:r>
      <w:r>
        <w:rPr>
          <w:rtl w:val="true"/>
        </w:rPr>
        <w:t>בית המשפט התייחס לחומרה הגלומה במעשי אלימות בתוך התא המשפחתי ובמערכת זוגית</w:t>
      </w:r>
      <w:r>
        <w:rPr>
          <w:rtl w:val="true"/>
        </w:rPr>
        <w:t xml:space="preserve">; </w:t>
      </w:r>
      <w:r>
        <w:rPr>
          <w:rtl w:val="true"/>
        </w:rPr>
        <w:t>להכרח בהשתת ענישה ממשית ומרתיעה במקרים אלה</w:t>
      </w:r>
      <w:r>
        <w:rPr>
          <w:rtl w:val="true"/>
        </w:rPr>
        <w:t xml:space="preserve">; </w:t>
      </w:r>
      <w:r>
        <w:rPr>
          <w:rtl w:val="true"/>
        </w:rPr>
        <w:t>ולענישה הנוהגת במקרים כגון זה שלפנינו</w:t>
      </w:r>
      <w:r>
        <w:rPr>
          <w:rtl w:val="true"/>
        </w:rPr>
        <w:t xml:space="preserve">. </w:t>
      </w:r>
      <w:r>
        <w:rPr>
          <w:rtl w:val="true"/>
        </w:rPr>
        <w:t>לזכותו של המערער זקף בית המשפט את העובדה כי למעשה העבירה לא קדם תכנון כלשהו</w:t>
      </w:r>
      <w:r>
        <w:rPr>
          <w:rtl w:val="true"/>
        </w:rPr>
        <w:t xml:space="preserve">. </w:t>
      </w:r>
      <w:r>
        <w:rPr>
          <w:rtl w:val="true"/>
        </w:rPr>
        <w:t xml:space="preserve">בשים לב לשיקולים אלה נקבע כי מתחם הענישה ההולם באישום זה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בהתייחסו אל האישום הראשון</w:t>
      </w:r>
      <w:r>
        <w:rPr>
          <w:rFonts w:eastAsia="Calibri"/>
          <w:rtl w:val="true"/>
        </w:rPr>
        <w:t xml:space="preserve">, </w:t>
      </w:r>
      <w:r>
        <w:rPr>
          <w:rtl w:val="true"/>
        </w:rPr>
        <w:t>קבע בית המשפט כי המערער במעשיו הסב פגיעה חמורה לערכים החברתיים המוגנים של חיי אדם</w:t>
      </w:r>
      <w:r>
        <w:rPr>
          <w:rtl w:val="true"/>
        </w:rPr>
        <w:t xml:space="preserve">, </w:t>
      </w:r>
      <w:r>
        <w:rPr>
          <w:rtl w:val="true"/>
        </w:rPr>
        <w:t>כבודו</w:t>
      </w:r>
      <w:r>
        <w:rPr>
          <w:rtl w:val="true"/>
        </w:rPr>
        <w:t xml:space="preserve">, </w:t>
      </w:r>
      <w:r>
        <w:rPr>
          <w:rtl w:val="true"/>
        </w:rPr>
        <w:t>שלמות גופו ונפשו</w:t>
      </w:r>
      <w:r>
        <w:rPr>
          <w:rtl w:val="true"/>
        </w:rPr>
        <w:t xml:space="preserve">, </w:t>
      </w:r>
      <w:r>
        <w:rPr>
          <w:rtl w:val="true"/>
        </w:rPr>
        <w:t>וכן של 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>בית המשפט הביא בחשבון את הנזקים הפיזיים והנפשיים הקשים שנגרמו למתלוננת</w:t>
      </w:r>
      <w:r>
        <w:rPr>
          <w:rtl w:val="true"/>
        </w:rPr>
        <w:t xml:space="preserve">, </w:t>
      </w:r>
      <w:r>
        <w:rPr>
          <w:rtl w:val="true"/>
        </w:rPr>
        <w:t>אשר אך כפסע היה בינה לבין המוות</w:t>
      </w:r>
      <w:r>
        <w:rPr>
          <w:rtl w:val="true"/>
        </w:rPr>
        <w:t xml:space="preserve">; </w:t>
      </w:r>
      <w:r>
        <w:rPr>
          <w:rtl w:val="true"/>
        </w:rPr>
        <w:t>את חומרתה של עבירת הניסיון לרצח</w:t>
      </w:r>
      <w:r>
        <w:rPr>
          <w:rtl w:val="true"/>
        </w:rPr>
        <w:t xml:space="preserve">; </w:t>
      </w:r>
      <w:r>
        <w:rPr>
          <w:rtl w:val="true"/>
        </w:rPr>
        <w:t>ואת מדיניות הענישה הנוהגת במקרים כגון דא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לאחר מכן עמד בית המשפט על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כולל התכנון המדוקדק שקדם לביצועה והאכזריות שהפגין המערער כלפי המתלוננת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בהתחשב בכל אלו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קבע בית המשפט כי מתחם </w:t>
      </w:r>
      <w:r>
        <w:rPr>
          <w:rtl w:val="true"/>
        </w:rPr>
        <w:t xml:space="preserve">הענישה באישום זה יעמוד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בבוחנו את הנסיבות שאינן קשורות לביצוע העבירות</w:t>
      </w:r>
      <w:r>
        <w:rPr>
          <w:rtl w:val="true"/>
        </w:rPr>
        <w:t xml:space="preserve">, </w:t>
      </w:r>
      <w:r>
        <w:rPr>
          <w:rtl w:val="true"/>
        </w:rPr>
        <w:t>התייחס בית המשפט לעובדה שלמערער לא היה עבר פלילי</w:t>
      </w:r>
      <w:r>
        <w:rPr>
          <w:rtl w:val="true"/>
        </w:rPr>
        <w:t xml:space="preserve">; </w:t>
      </w:r>
      <w:r>
        <w:rPr>
          <w:rtl w:val="true"/>
        </w:rPr>
        <w:t>לגילו הצעיר יחסית</w:t>
      </w:r>
      <w:r>
        <w:rPr>
          <w:rtl w:val="true"/>
        </w:rPr>
        <w:t xml:space="preserve">; </w:t>
      </w:r>
      <w:r>
        <w:rPr>
          <w:rtl w:val="true"/>
        </w:rPr>
        <w:t>לכך שלפני האירועים נשוא כתב האישום המערער 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ואף תרם רבות לחברה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במסגרת שירותו הצבאי במבצעים </w:t>
      </w:r>
      <w:r>
        <w:rPr>
          <w:rtl w:val="true"/>
        </w:rPr>
        <w:t>"</w:t>
      </w:r>
      <w:r>
        <w:rPr>
          <w:rtl w:val="true"/>
        </w:rPr>
        <w:t>צוק איתן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עופרת יצוקה</w:t>
      </w:r>
      <w:r>
        <w:rPr>
          <w:rtl w:val="true"/>
        </w:rPr>
        <w:t xml:space="preserve">"; </w:t>
      </w:r>
      <w:r>
        <w:rPr>
          <w:rtl w:val="true"/>
        </w:rPr>
        <w:t>וכן לפגיעה שתיגרם למערער ולמשפחתו כתוצאה מענישתו באמצעות מאסר ממושך</w:t>
      </w:r>
      <w:r>
        <w:rPr>
          <w:rtl w:val="true"/>
        </w:rPr>
        <w:t xml:space="preserve">. </w:t>
      </w:r>
      <w:r>
        <w:rPr>
          <w:rtl w:val="true"/>
        </w:rPr>
        <w:t>כמו כן צויין כי לא תיזקף לחובתו של המערער כפירתו באשמה</w:t>
      </w:r>
      <w:r>
        <w:rPr>
          <w:rtl w:val="true"/>
        </w:rPr>
        <w:t xml:space="preserve">. </w:t>
      </w:r>
      <w:r>
        <w:rPr>
          <w:rtl w:val="true"/>
        </w:rPr>
        <w:t>בהתחשב בכל אלו</w:t>
      </w:r>
      <w:r>
        <w:rPr>
          <w:rtl w:val="true"/>
        </w:rPr>
        <w:t xml:space="preserve">, </w:t>
      </w:r>
      <w:r>
        <w:rPr>
          <w:rtl w:val="true"/>
        </w:rPr>
        <w:t xml:space="preserve">השית בית משפט קמא על המערער את העונשים המפורטים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; </w:t>
      </w:r>
      <w:r>
        <w:rPr>
          <w:rtl w:val="true"/>
        </w:rPr>
        <w:t>ומכאן הערעור שלפנינו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spacing w:before="0" w:after="0"/>
        <w:ind w:end="0"/>
        <w:contextualSpacing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חילק את טענותיו לשלושה ראשים</w:t>
      </w:r>
      <w:r>
        <w:rPr>
          <w:rtl w:val="true"/>
        </w:rPr>
        <w:t xml:space="preserve">. </w:t>
      </w:r>
      <w:r>
        <w:rPr>
          <w:rtl w:val="true"/>
        </w:rPr>
        <w:t>הראש הראשון מתייחס להכרעת הדין</w:t>
      </w:r>
      <w:r>
        <w:rPr>
          <w:rtl w:val="true"/>
        </w:rPr>
        <w:t xml:space="preserve">, </w:t>
      </w:r>
      <w:r>
        <w:rPr>
          <w:rtl w:val="true"/>
        </w:rPr>
        <w:t>על שני חלקיה</w:t>
      </w:r>
      <w:r>
        <w:rPr>
          <w:rtl w:val="true"/>
        </w:rPr>
        <w:t xml:space="preserve">; </w:t>
      </w:r>
      <w:r>
        <w:rPr>
          <w:rtl w:val="true"/>
        </w:rPr>
        <w:t>הראש השני מתייחס להתקיימותו של היסוד הנפשי בעבירת הניסיון לרצח</w:t>
      </w:r>
      <w:r>
        <w:rPr>
          <w:rtl w:val="true"/>
        </w:rPr>
        <w:t xml:space="preserve">, </w:t>
      </w:r>
      <w:r>
        <w:rPr>
          <w:rtl w:val="true"/>
        </w:rPr>
        <w:t>כטענה חלופית</w:t>
      </w:r>
      <w:r>
        <w:rPr>
          <w:rtl w:val="true"/>
        </w:rPr>
        <w:t xml:space="preserve">; </w:t>
      </w:r>
      <w:r>
        <w:rPr>
          <w:rtl w:val="true"/>
        </w:rPr>
        <w:t>ואילו הראש השלישי מתמקד בעונשו של המערער</w:t>
      </w:r>
      <w:r>
        <w:rPr>
          <w:rtl w:val="true"/>
        </w:rPr>
        <w:t xml:space="preserve">, </w:t>
      </w:r>
      <w:r>
        <w:rPr>
          <w:rtl w:val="true"/>
        </w:rPr>
        <w:t>כטענה חלופית נוספת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>ביחס להכרעת הדין בשני האישומים טוען המערער כי בית משפט קמא טעה באימוצו את גרסאותיה של המתלוננת על פני גרסאותיו שלו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הדברים שהוא מסר להגנתו במהלך עדותו נתמכים בראיות מוצקות שלא יוחס להן משקל ראוי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ראיות אלה כוללות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 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 טענת אליבי של המערער וכן עדויות שונות אשר מאמתות את האליבי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לחלופין טוען המערער</w:t>
      </w:r>
      <w:r>
        <w:rPr>
          <w:rtl w:val="true"/>
        </w:rPr>
        <w:t xml:space="preserve">, </w:t>
      </w:r>
      <w:r>
        <w:rPr>
          <w:rtl w:val="true"/>
        </w:rPr>
        <w:t>ביחס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כי על יסוד התשתית הראייתית הקיימת ניתן היה להרשיעו אך ורק בתקיפה הגורמת חבלה ממשית בנסיבות מחמירות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המירבי</w:t>
      </w:r>
      <w:r>
        <w:rPr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 xml:space="preserve">שש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מאחר שכוונתו להמית את המתלוננת לא הוכחה מעבר לכל ספק סביר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לא ניתן ללמוד על כוונה כאמור מטיב הפגיעות במתלוננת ומצורתן</w:t>
      </w:r>
      <w:r>
        <w:rPr>
          <w:rtl w:val="true"/>
        </w:rPr>
        <w:t xml:space="preserve">, </w:t>
      </w:r>
      <w:r>
        <w:rPr>
          <w:rtl w:val="true"/>
        </w:rPr>
        <w:t>שכן אלו לא היו חמורות כלל וכלל</w:t>
      </w:r>
      <w:r>
        <w:rPr>
          <w:rtl w:val="true"/>
        </w:rPr>
        <w:t xml:space="preserve">, </w:t>
      </w:r>
      <w:r>
        <w:rPr>
          <w:rtl w:val="true"/>
        </w:rPr>
        <w:t>בהתחשב בכך שהמתלוננת שוחררה מאשפוז זמן קצר לאחר האירוע</w:t>
      </w:r>
      <w:r>
        <w:rPr>
          <w:rtl w:val="true"/>
        </w:rPr>
        <w:t xml:space="preserve">. </w:t>
      </w:r>
      <w:r>
        <w:rPr>
          <w:rtl w:val="true"/>
        </w:rPr>
        <w:t>כמו כן טוען המערער כי אמירתו בתחנת המשטרה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Fonts w:ascii="Century" w:hAnsi="Century" w:cs="Century"/>
          <w:sz w:val="22"/>
          <w:sz w:val="22"/>
          <w:rtl w:val="true"/>
        </w:rPr>
        <w:t>הוא מעוניין להסגיר את עצמו בשל פציעת בת זוגו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וכן אמירתו</w:t>
      </w:r>
      <w:r>
        <w:rPr>
          <w:rtl w:val="true"/>
        </w:rPr>
        <w:t xml:space="preserve"> למתלוננת בזמן האירוע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מחזקות אף הן את המסקנה כי הוא התכוון רק לפצוע את המתלוננת ולא להמיתה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למצער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טוען המערער נגד גזר 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לגישתו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 שהשית עליו בית משפט קמא מחמיר עמו יתר על המידה בהשוואה לרמת הענישה הנוהגת במקרים דומים וחמורים 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עונשו החמור נובע מכך שבית המשפט לא ייחס משקל ראוי לשיקולים לקולא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וביניהם גילו הצעיר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היותו נטול עבר הפלילי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ותרומתו למדינת ישראל במסגרת שירותו הצבאי</w:t>
      </w:r>
      <w:r>
        <w:rPr>
          <w:sz w:val="28"/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 את ידיה על פסק הדין קמא ומבקשת כי נדחה את הערעור על כל חלקיו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ערעור זה</w:t>
      </w:r>
      <w:r>
        <w:rPr>
          <w:rtl w:val="true"/>
        </w:rPr>
        <w:t xml:space="preserve">, </w:t>
      </w:r>
      <w:r>
        <w:rPr>
          <w:rtl w:val="true"/>
        </w:rPr>
        <w:t>רובו ככולו</w:t>
      </w:r>
      <w:r>
        <w:rPr>
          <w:rtl w:val="true"/>
        </w:rPr>
        <w:t xml:space="preserve">, </w:t>
      </w:r>
      <w:r>
        <w:rPr>
          <w:rtl w:val="true"/>
        </w:rPr>
        <w:t>ממוקד בתקיפת ממצאי עובדה ומהימנות של בית משפט קמא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עוד טוענת המדינה כי מרבית טיעוניו של המערער כבר נדונו ונדחו על ידי בית משפט 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המדינה סבורה אפוא כי לא קיימת שום עילה שבכוחה להצדיק את התערבותו של בית משפט זה </w:t>
      </w:r>
      <w:r>
        <w:rPr>
          <w:rtl w:val="true"/>
        </w:rPr>
        <w:t>בהכרעת הדין ובגזר הדין מושא הערעור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לגופם של הדברים טוענת המדינה כי בית משפט קמא בחן בקפדנות רבה את מכלול הראיות שהובאו בפניו וכי לא ניתן לומר שהוא התעלם מחלקן או לא ייחס להן משקל ראוי</w:t>
      </w:r>
      <w:r>
        <w:rPr>
          <w:rtl w:val="true"/>
        </w:rPr>
        <w:t xml:space="preserve">. </w:t>
      </w:r>
      <w:r>
        <w:rPr>
          <w:rtl w:val="true"/>
        </w:rPr>
        <w:t>באשר ליסוד הנפשי הדרוש להתהוותו של הניסיון לרצח בו נמצא המערער אשם</w:t>
      </w:r>
      <w:r>
        <w:rPr>
          <w:rtl w:val="true"/>
        </w:rPr>
        <w:t xml:space="preserve">, </w:t>
      </w:r>
      <w:r>
        <w:rPr>
          <w:rtl w:val="true"/>
        </w:rPr>
        <w:t>טוענת המדינה כי אין בכוחן של האמירות הסתמיות אליהן הפנה המערער כדי לסתור את חזקת הכוונה שקמה בעניינו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באשר לגזר הדין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המדינה סבורה כי </w:t>
      </w:r>
      <w:r>
        <w:rPr>
          <w:rtl w:val="true"/>
        </w:rPr>
        <w:t>בהתחשב בחומרתן של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בנסיבות ביצוען ובאופיין האלים</w:t>
      </w:r>
      <w:r>
        <w:rPr>
          <w:rtl w:val="true"/>
        </w:rPr>
        <w:t xml:space="preserve">, </w:t>
      </w:r>
      <w:r>
        <w:rPr>
          <w:rtl w:val="true"/>
        </w:rPr>
        <w:t>אשר מעיד על אופיו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העונש שגזר עליו בית משפט קמא </w:t>
      </w:r>
      <w:r>
        <w:rPr>
          <w:sz w:val="28"/>
          <w:sz w:val="28"/>
          <w:rtl w:val="true"/>
        </w:rPr>
        <w:t>הוא עונש הולם שאיננו סוטה במאומה ממדיניות הענישה הנוהגת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eastAsia="Calibri" w:cs="Miriam"/>
          <w:b/>
          <w:spacing w:val="0"/>
          <w:szCs w:val="24"/>
        </w:rPr>
      </w:pPr>
      <w:r>
        <w:rPr>
          <w:rFonts w:eastAsia="Calibri"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sz w:val="28"/>
        </w:rPr>
      </w:pPr>
      <w:r>
        <w:rPr>
          <w:sz w:val="28"/>
          <w:sz w:val="28"/>
          <w:rtl w:val="true"/>
        </w:rPr>
        <w:t>לאחר שבחנתי את פסק דינו של בית משפט 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שקלתי את נימוקי הערעור ושמעתי את טענות הצדדים בדיון אשר נערך 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הגעתי למסקנה כי דין הערעור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על כל חלקיו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להידחות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וכך אציע לחבריי לעשות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עמנו כי בית משפט זה</w:t>
      </w:r>
      <w:r>
        <w:rPr>
          <w:rtl w:val="true"/>
        </w:rPr>
        <w:t xml:space="preserve">, </w:t>
      </w:r>
      <w:r>
        <w:rPr>
          <w:rtl w:val="true"/>
        </w:rPr>
        <w:t>ביושבו על מדין כבית משפט לערעורים פליליים</w:t>
      </w:r>
      <w:r>
        <w:rPr>
          <w:rtl w:val="true"/>
        </w:rPr>
        <w:t xml:space="preserve">, </w:t>
      </w:r>
      <w:r>
        <w:rPr>
          <w:rtl w:val="true"/>
        </w:rPr>
        <w:t xml:space="preserve">איננו מתערב בממצאי עובדה ומהימנות שהערכאה הדיונית קבעה בהתבסס על התרשמותה הישירה מעדים שהעידו בפניה ועל ניתוח מקיף של מכלול הראיות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hyperlink r:id="rId22">
        <w:r>
          <w:rPr>
            <w:rStyle w:val="Hyperlink"/>
          </w:rPr>
          <w:t>1072/15</w:t>
        </w:r>
      </w:hyperlink>
      <w:r>
        <w:rPr>
          <w:rtl w:val="true"/>
        </w:rPr>
        <w:t xml:space="preserve"> </w:t>
      </w:r>
      <w:hyperlink r:id="rId23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שייניס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</w:hyperlink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(</w:t>
      </w:r>
      <w:r>
        <w:rPr/>
        <w:t>10.11.2015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(</w:t>
      </w:r>
      <w:r>
        <w:rPr/>
        <w:t>12.11.2014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29.9.2014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220-219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יומטוביאן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645-643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גרינוולד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564</w:t>
      </w:r>
      <w:r>
        <w:rPr>
          <w:rtl w:val="true"/>
        </w:rPr>
        <w:t xml:space="preserve">, </w:t>
      </w:r>
      <w:r>
        <w:rPr/>
        <w:t>573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המערער מבקש כי נסטה מהלכה יסודית זו בבואנו להכריע בערעור על ההרשעה שהניח לפנינו</w:t>
      </w:r>
      <w:r>
        <w:rPr>
          <w:rtl w:val="true"/>
        </w:rPr>
        <w:t xml:space="preserve">, </w:t>
      </w:r>
      <w:r>
        <w:rPr>
          <w:rtl w:val="true"/>
        </w:rPr>
        <w:t>אך זאת לא נוכל לעשות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 </w:t>
      </w:r>
      <w:r>
        <w:rPr>
          <w:rtl w:val="true"/>
        </w:rPr>
        <w:t>ממה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ממצאי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והמהימנות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7401/07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31.7.2008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אדון תחילה בהרשעת המערער בניסיון לרצוח את המתלוננת</w:t>
      </w:r>
      <w:r>
        <w:rPr>
          <w:rtl w:val="true"/>
        </w:rPr>
        <w:t xml:space="preserve">. </w:t>
      </w:r>
      <w:r>
        <w:rPr>
          <w:rtl w:val="true"/>
        </w:rPr>
        <w:t>בית משפט קמא האמין לעדות המתלוננת בכל הקשור לאירוע התקיפה</w:t>
      </w:r>
      <w:r>
        <w:rPr>
          <w:rtl w:val="true"/>
        </w:rPr>
        <w:t xml:space="preserve">, </w:t>
      </w:r>
      <w:r>
        <w:rPr>
          <w:rtl w:val="true"/>
        </w:rPr>
        <w:t>שכאמור כלל את שיסוף גרונה וכן דקירות מרובות בפלג גופה העליון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דחה בית המשפט את גרסת האליבי של המערער לאחר שקבע כי מדובר בגרסה שקרית</w:t>
      </w:r>
      <w:r>
        <w:rPr>
          <w:rtl w:val="true"/>
        </w:rPr>
        <w:t xml:space="preserve">. </w:t>
      </w:r>
      <w:r>
        <w:rPr>
          <w:rtl w:val="true"/>
        </w:rPr>
        <w:t>החלטות אלו של בית משפט קמא מבוססות על ניתוח קפדני ומפורט של חומר הראיות</w:t>
      </w:r>
      <w:r>
        <w:rPr>
          <w:rtl w:val="true"/>
        </w:rPr>
        <w:t xml:space="preserve">, </w:t>
      </w:r>
      <w:r>
        <w:rPr>
          <w:rtl w:val="true"/>
        </w:rPr>
        <w:t>ובניתוח זה אינני מוצא שום פגם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לאמיתו של דבר</w:t>
      </w:r>
      <w:r>
        <w:rPr>
          <w:rtl w:val="true"/>
        </w:rPr>
        <w:t xml:space="preserve">, </w:t>
      </w:r>
      <w:r>
        <w:rPr>
          <w:rtl w:val="true"/>
        </w:rPr>
        <w:t>המקרה שלפנינו הינו פשוט למדי</w:t>
      </w:r>
      <w:r>
        <w:rPr>
          <w:rtl w:val="true"/>
        </w:rPr>
        <w:t xml:space="preserve">. </w:t>
      </w:r>
      <w:r>
        <w:rPr>
          <w:rtl w:val="true"/>
        </w:rPr>
        <w:t>נהריה היא עיר ללא רוחות רפאים</w:t>
      </w:r>
      <w:r>
        <w:rPr>
          <w:rtl w:val="true"/>
        </w:rPr>
        <w:t xml:space="preserve">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המתלוננת הותקפה באכזריות על ידי אדם</w:t>
      </w:r>
      <w:r>
        <w:rPr>
          <w:rtl w:val="true"/>
        </w:rPr>
        <w:t xml:space="preserve">; </w:t>
      </w:r>
      <w:r>
        <w:rPr>
          <w:rtl w:val="true"/>
        </w:rPr>
        <w:t>והשאלה העובדתית היחידה שניצבת לפנינו היא האם אותו אדם הוא המערער</w:t>
      </w:r>
      <w:r>
        <w:rPr>
          <w:rtl w:val="true"/>
        </w:rPr>
        <w:t xml:space="preserve">. </w:t>
      </w:r>
      <w:r>
        <w:rPr>
          <w:rtl w:val="true"/>
        </w:rPr>
        <w:t>התיזה לפיה המערער אינו אותו אדם מספרת את הסיפור הבא</w:t>
      </w:r>
      <w:r>
        <w:rPr>
          <w:rtl w:val="true"/>
        </w:rPr>
        <w:t xml:space="preserve">: </w:t>
      </w:r>
      <w:r>
        <w:rPr>
          <w:rtl w:val="true"/>
        </w:rPr>
        <w:t>המערער נפגש עם המתלוננת בפארק</w:t>
      </w:r>
      <w:r>
        <w:rPr>
          <w:rtl w:val="true"/>
        </w:rPr>
        <w:t xml:space="preserve">; </w:t>
      </w:r>
      <w:r>
        <w:rPr>
          <w:rtl w:val="true"/>
        </w:rPr>
        <w:t>עזב אותה שם לאחר ששוחח עמה</w:t>
      </w:r>
      <w:r>
        <w:rPr>
          <w:rtl w:val="true"/>
        </w:rPr>
        <w:t xml:space="preserve">; </w:t>
      </w:r>
      <w:r>
        <w:rPr>
          <w:rtl w:val="true"/>
        </w:rPr>
        <w:t>וזמן קצר לאחר מכן הגיע לפארק מאן דהוא בעל יד זדונית האוחזת בסכין</w:t>
      </w:r>
      <w:r>
        <w:rPr>
          <w:rtl w:val="true"/>
        </w:rPr>
        <w:t xml:space="preserve">, </w:t>
      </w:r>
      <w:r>
        <w:rPr>
          <w:rtl w:val="true"/>
        </w:rPr>
        <w:t>תקף את המתלוננת</w:t>
      </w:r>
      <w:r>
        <w:rPr>
          <w:rtl w:val="true"/>
        </w:rPr>
        <w:t xml:space="preserve">, </w:t>
      </w:r>
      <w:r>
        <w:rPr>
          <w:rtl w:val="true"/>
        </w:rPr>
        <w:t>שיסף את גרונה</w:t>
      </w:r>
      <w:r>
        <w:rPr>
          <w:rtl w:val="true"/>
        </w:rPr>
        <w:t xml:space="preserve">, </w:t>
      </w:r>
      <w:r>
        <w:rPr>
          <w:rtl w:val="true"/>
        </w:rPr>
        <w:t>דקר אותה דקירות מרובות בפלג גופה העליון ועזב את המקום</w:t>
      </w:r>
      <w:r>
        <w:rPr>
          <w:rtl w:val="true"/>
        </w:rPr>
        <w:t xml:space="preserve">. </w:t>
      </w:r>
      <w:r>
        <w:rPr>
          <w:rtl w:val="true"/>
        </w:rPr>
        <w:t>צירוף מקרים זה הוא מן המופלאות שפורצות את גבולות הדמיון</w:t>
      </w:r>
      <w:r>
        <w:rPr>
          <w:rtl w:val="true"/>
        </w:rPr>
        <w:t xml:space="preserve">; </w:t>
      </w:r>
      <w:r>
        <w:rPr>
          <w:rtl w:val="true"/>
        </w:rPr>
        <w:t>ודומה כי לא נתקשה לדחותו בשתי ידיים אם נעמיד מולו את ראשית ההודאה של המערער</w:t>
      </w:r>
      <w:r>
        <w:rPr>
          <w:rtl w:val="true"/>
        </w:rPr>
        <w:t xml:space="preserve">, </w:t>
      </w:r>
      <w:r>
        <w:rPr>
          <w:rtl w:val="true"/>
        </w:rPr>
        <w:t>שקשרה אותו למעשה התקיפה האמור</w:t>
      </w:r>
      <w:r>
        <w:rPr>
          <w:rtl w:val="true"/>
        </w:rPr>
        <w:t xml:space="preserve">; </w:t>
      </w:r>
      <w:r>
        <w:rPr>
          <w:rtl w:val="true"/>
        </w:rPr>
        <w:t>את העובדה שלמתלוננת לא היתה שום סיבה נראית לעין למסור למשטרה ולבית המשפט דבר שקר באשר לזהות העבריין שדקר אותה</w:t>
      </w:r>
      <w:r>
        <w:rPr>
          <w:rtl w:val="true"/>
        </w:rPr>
        <w:t xml:space="preserve">; </w:t>
      </w:r>
      <w:r>
        <w:rPr>
          <w:rtl w:val="true"/>
        </w:rPr>
        <w:t>ואת קפיצות המערער מאליבי אחד לאליבי אחר</w:t>
      </w:r>
      <w:r>
        <w:rPr>
          <w:rtl w:val="true"/>
        </w:rPr>
        <w:t xml:space="preserve">, </w:t>
      </w:r>
      <w:r>
        <w:rPr>
          <w:rtl w:val="true"/>
        </w:rPr>
        <w:t xml:space="preserve">אותן ניתן לדמות למעשהו של </w:t>
      </w:r>
      <w:r>
        <w:rPr>
          <w:rtl w:val="true"/>
        </w:rPr>
        <w:t>"</w:t>
      </w:r>
      <w:r>
        <w:rPr>
          <w:rtl w:val="true"/>
        </w:rPr>
        <w:t>להטוטן בקרקס הרוכב בעת ובעונה אחת על שני זוגות אופניים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4224/04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בית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ששון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בע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שיכון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עובדים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והשקעות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בע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625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אז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מעשה להטוטים זה</w:t>
      </w:r>
      <w:r>
        <w:rPr>
          <w:rtl w:val="true"/>
        </w:rPr>
        <w:t xml:space="preserve">, </w:t>
      </w:r>
      <w:r>
        <w:rPr>
          <w:rtl w:val="true"/>
        </w:rPr>
        <w:t xml:space="preserve">כפי שאמר אז השופט </w:t>
      </w:r>
      <w:r>
        <w:rPr>
          <w:rFonts w:ascii="Century" w:hAnsi="Century" w:cs="Century"/>
          <w:sz w:val="22"/>
          <w:sz w:val="22"/>
          <w:rtl w:val="true"/>
        </w:rPr>
        <w:t>גרוניס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אפשרי בקרקס אך לא בבתי</w:t>
      </w:r>
      <w:r>
        <w:rPr>
          <w:rFonts w:ascii="Arial;Arial" w:hAnsi="Arial;Arial" w:cs="Arial;Arial"/>
          <w:b/>
          <w:b/>
          <w:vertAlign w:val="superscript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מהאמור לעיל עולה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כי אין שום ספק</w:t>
      </w:r>
      <w:r>
        <w:rPr>
          <w:rtl w:val="true"/>
        </w:rPr>
        <w:t xml:space="preserve">, </w:t>
      </w:r>
      <w:r>
        <w:rPr>
          <w:rtl w:val="true"/>
        </w:rPr>
        <w:t>ולו הקל שבקלים</w:t>
      </w:r>
      <w:r>
        <w:rPr>
          <w:rtl w:val="true"/>
        </w:rPr>
        <w:t xml:space="preserve">, </w:t>
      </w:r>
      <w:r>
        <w:rPr>
          <w:rtl w:val="true"/>
        </w:rPr>
        <w:t>בכך שהמתלוננת מסרה עדות אמת וכי גרסתה אשר האשימה את המערער בניסיון לרצחה היא גרסת אמת</w:t>
      </w:r>
      <w:r>
        <w:rPr>
          <w:rtl w:val="true"/>
        </w:rPr>
        <w:t xml:space="preserve">, </w:t>
      </w:r>
      <w:r>
        <w:rPr>
          <w:rtl w:val="true"/>
        </w:rPr>
        <w:t>כפי שקבע בית משפט קמא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לעדותו של ד</w:t>
      </w:r>
      <w:r>
        <w:rPr>
          <w:rtl w:val="true"/>
        </w:rPr>
        <w:t>"</w:t>
      </w:r>
      <w:r>
        <w:rPr>
          <w:rtl w:val="true"/>
        </w:rPr>
        <w:t>ר וייס</w:t>
      </w:r>
      <w:r>
        <w:rPr>
          <w:rtl w:val="true"/>
        </w:rPr>
        <w:t xml:space="preserve">, </w:t>
      </w:r>
      <w:r>
        <w:rPr>
          <w:rtl w:val="true"/>
        </w:rPr>
        <w:t xml:space="preserve">עליה נסמך המערער בטיעוניו </w:t>
      </w:r>
      <w:r>
        <w:rPr>
          <w:rtl w:val="true"/>
        </w:rPr>
        <w:t>–</w:t>
      </w:r>
      <w:r>
        <w:rPr>
          <w:rtl w:val="true"/>
        </w:rPr>
        <w:t xml:space="preserve"> עדות זו לא מעלה ולא מורידה</w:t>
      </w:r>
      <w:r>
        <w:rPr>
          <w:rtl w:val="true"/>
        </w:rPr>
        <w:t xml:space="preserve">. </w:t>
      </w:r>
      <w:r>
        <w:rPr>
          <w:rtl w:val="true"/>
        </w:rPr>
        <w:t>אוסיף בקיצור נמרץ</w:t>
      </w:r>
      <w:r>
        <w:rPr>
          <w:rtl w:val="true"/>
        </w:rPr>
        <w:t xml:space="preserve">, </w:t>
      </w:r>
      <w:r>
        <w:rPr>
          <w:rtl w:val="true"/>
        </w:rPr>
        <w:t>כי עדות זו לא היתה עוזרת למערער גם אילו ניתן היה לקבוע על יסודה כי המערערת</w:t>
      </w:r>
      <w:r>
        <w:rPr>
          <w:rtl w:val="true"/>
        </w:rPr>
        <w:t xml:space="preserve">, </w:t>
      </w:r>
      <w:r>
        <w:rPr>
          <w:rtl w:val="true"/>
        </w:rPr>
        <w:t>בניגוד לתיאוריה</w:t>
      </w:r>
      <w:r>
        <w:rPr>
          <w:rtl w:val="true"/>
        </w:rPr>
        <w:t xml:space="preserve">, </w:t>
      </w:r>
      <w:r>
        <w:rPr>
          <w:rtl w:val="true"/>
        </w:rPr>
        <w:t>לא נדקרה באמצעות סכין יפנית אלא באמצעות סכין מסוג אחר</w:t>
      </w:r>
      <w:r>
        <w:rPr>
          <w:rtl w:val="true"/>
        </w:rPr>
        <w:t xml:space="preserve">. </w:t>
      </w:r>
      <w:r>
        <w:rPr>
          <w:rtl w:val="true"/>
        </w:rPr>
        <w:t>הדבר שיחרוץ את הדין במקרה דנן הוא לא סוג הסכין ויכולתו של הקורבן לזהותו ברמת ודאות כזו או אחרת</w:t>
      </w:r>
      <w:r>
        <w:rPr>
          <w:rtl w:val="true"/>
        </w:rPr>
        <w:t xml:space="preserve">, </w:t>
      </w:r>
      <w:r>
        <w:rPr>
          <w:rtl w:val="true"/>
        </w:rPr>
        <w:t>אלא זיהויה של היד הזדונית אשר אחזה בסכין ודקרה את הקורבן</w:t>
      </w:r>
      <w:r>
        <w:rPr>
          <w:rtl w:val="true"/>
        </w:rPr>
        <w:t xml:space="preserve">. </w:t>
      </w:r>
      <w:r>
        <w:rPr>
          <w:rtl w:val="true"/>
        </w:rPr>
        <w:t>יד זו ללא ספק היתה ידו של המערער</w:t>
      </w:r>
      <w:r>
        <w:rPr>
          <w:rtl w:val="true"/>
        </w:rPr>
        <w:t xml:space="preserve">, </w:t>
      </w:r>
      <w:r>
        <w:rPr>
          <w:rtl w:val="true"/>
        </w:rPr>
        <w:t>ובזאת נסתפק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כוונת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קטילה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Calibri" w:hAnsi="Calibri" w:cs="Calibri"/>
          <w:sz w:val="22"/>
          <w:sz w:val="22"/>
          <w:rtl w:val="true"/>
        </w:rPr>
        <w:t>חזקת הכוונה קובעת כי אדם בר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 xml:space="preserve">דעת הפועל מרצון חופשי מתכוון להביא לתוצאות הטבעיות של מעשהו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 xml:space="preserve">ראו </w:t>
      </w:r>
      <w:hyperlink r:id="rId31"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sz w:val="28"/>
            <w:u w:val="single"/>
          </w:rPr>
          <w:t>2418/17</w:t>
        </w:r>
      </w:hyperlink>
      <w:r>
        <w:rPr>
          <w:rFonts w:eastAsia="Calibri" w:cs="Calibri" w:ascii="Calibri" w:hAnsi="Calibri"/>
          <w:sz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eastAsia="Calibri"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eastAsia="Calibri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eastAsia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eastAsia="Calibri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eastAsia="Calibri"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פסקאות </w:t>
      </w:r>
      <w:r>
        <w:rPr>
          <w:rFonts w:eastAsia="Calibri" w:cs="Calibri" w:ascii="Calibri" w:hAnsi="Calibri"/>
          <w:sz w:val="28"/>
        </w:rPr>
        <w:t>16-15</w:t>
      </w:r>
      <w:r>
        <w:rPr>
          <w:rFonts w:eastAsia="Calibri" w:cs="Calibri" w:ascii="Calibri" w:hAnsi="Calibri"/>
          <w:sz w:val="28"/>
          <w:rtl w:val="true"/>
        </w:rPr>
        <w:t xml:space="preserve"> </w:t>
      </w:r>
      <w:r>
        <w:rPr>
          <w:rFonts w:eastAsia="Calibri" w:cs="Calibri" w:ascii="Calibri" w:hAnsi="Calibri"/>
          <w:sz w:val="28"/>
          <w:rtl w:val="true"/>
        </w:rPr>
        <w:t>(‏</w:t>
      </w:r>
      <w:r>
        <w:rPr>
          <w:rFonts w:eastAsia="Calibri" w:cs="Calibri" w:ascii="Calibri" w:hAnsi="Calibri"/>
          <w:sz w:val="28"/>
        </w:rPr>
        <w:t>25.10.2018</w:t>
      </w:r>
      <w:r>
        <w:rPr>
          <w:rFonts w:eastAsia="Calibri" w:cs="Calibri" w:ascii="Calibri" w:hAnsi="Calibri"/>
          <w:sz w:val="28"/>
          <w:rtl w:val="true"/>
        </w:rPr>
        <w:t>)</w:t>
      </w:r>
      <w:r>
        <w:rPr>
          <w:rFonts w:eastAsia="Calibri" w:cs="Calibri" w:ascii="Calibri" w:hAnsi="Calibri"/>
          <w:sz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והאסמכתאות המובאות שם </w:t>
      </w:r>
      <w:r>
        <w:rPr>
          <w:rFonts w:eastAsia="Calibri" w:cs="Calibri" w:ascii="Calibri" w:hAnsi="Calibri"/>
          <w:sz w:val="28"/>
          <w:rtl w:val="true"/>
        </w:rPr>
        <w:t>(</w:t>
      </w:r>
      <w:r>
        <w:rPr>
          <w:rFonts w:ascii="Calibri" w:hAnsi="Calibri" w:eastAsia="Calibri" w:cs="Calibri"/>
          <w:sz w:val="28"/>
          <w:sz w:val="28"/>
          <w:rtl w:val="true"/>
        </w:rPr>
        <w:t>להלן</w:t>
      </w:r>
      <w:r>
        <w:rPr>
          <w:rFonts w:eastAsia="Calibri" w:cs="Calibri" w:ascii="Calibri" w:hAnsi="Calibri"/>
          <w:sz w:val="28"/>
          <w:rtl w:val="true"/>
        </w:rPr>
        <w:t xml:space="preserve">: </w:t>
      </w:r>
      <w:r>
        <w:rPr>
          <w:rFonts w:ascii="Calibri" w:hAnsi="Calibri" w:eastAsia="Calibri" w:cs="Calibri"/>
          <w:sz w:val="28"/>
          <w:sz w:val="28"/>
          <w:rtl w:val="true"/>
        </w:rPr>
        <w:t xml:space="preserve">עניין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eastAsia="Calibri" w:cs="Calibri" w:ascii="Calibri" w:hAnsi="Calibri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לית מאן דפליג</w:t>
      </w:r>
      <w:r>
        <w:rPr>
          <w:rtl w:val="true"/>
        </w:rPr>
        <w:t xml:space="preserve">, </w:t>
      </w:r>
      <w:r>
        <w:rPr>
          <w:rtl w:val="true"/>
        </w:rPr>
        <w:t>כי תקיפה אגרסיבית כמו זו שביצע המערער</w:t>
      </w:r>
      <w:r>
        <w:rPr>
          <w:rtl w:val="true"/>
        </w:rPr>
        <w:t xml:space="preserve">, </w:t>
      </w:r>
      <w:r>
        <w:rPr>
          <w:rtl w:val="true"/>
        </w:rPr>
        <w:t>אשר כללה דקירות מרובות וחתכים במקומות גוף רגישים כמו צוואר</w:t>
      </w:r>
      <w:r>
        <w:rPr>
          <w:rtl w:val="true"/>
        </w:rPr>
        <w:t xml:space="preserve">,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גב ובטן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>מעידה כמאה עדים על כוונתו להמית את המתלוננת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התנהגות המערער לאחר התקיפה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 כללה את הפקרת המתלוננת בעודה פצועה 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אף היא מצביעה על מודעותו להתרחשות התוצאה הקטלנית </w:t>
      </w:r>
      <w:r>
        <w:rPr>
          <w:rFonts w:cs="Century" w:ascii="Century" w:hAnsi="Century"/>
          <w:sz w:val="22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7620/11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27.7.2014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2458/11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סולוביוב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7.1.2014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לטענת 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בנסיבות המקרה דנן חזקת הכוונה נסתרה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שכן אמירותיו בתחנת המשטרה ובזירת האירוע מעלות ספק סביר לגבי כוונתו להמית את המתלוננת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tl w:val="true"/>
        </w:rPr>
        <w:t>טענה זו תלויה על בלימה</w:t>
      </w:r>
      <w:r>
        <w:rPr>
          <w:rtl w:val="true"/>
        </w:rPr>
        <w:t xml:space="preserve">. </w:t>
      </w:r>
      <w:r>
        <w:rPr>
          <w:rtl w:val="true"/>
        </w:rPr>
        <w:t>האמירות אליהן הפנה המערער הינן עמומות ונתונות למספר פרשנויות</w:t>
      </w:r>
      <w:r>
        <w:rPr>
          <w:rtl w:val="true"/>
        </w:rPr>
        <w:t xml:space="preserve">. </w:t>
      </w:r>
      <w:r>
        <w:rPr>
          <w:rtl w:val="true"/>
        </w:rPr>
        <w:t xml:space="preserve">אין בכוחן של אמירות מעין אלו </w:t>
      </w:r>
      <w:r>
        <w:rPr>
          <w:rtl w:val="true"/>
        </w:rPr>
        <w:t>–</w:t>
      </w:r>
      <w:r>
        <w:rPr>
          <w:rtl w:val="true"/>
        </w:rPr>
        <w:t xml:space="preserve"> אשר נאמרו לאחר המעשה </w:t>
      </w:r>
      <w:r>
        <w:rPr>
          <w:rtl w:val="true"/>
        </w:rPr>
        <w:t>–</w:t>
      </w:r>
      <w:r>
        <w:rPr>
          <w:rtl w:val="true"/>
        </w:rPr>
        <w:t xml:space="preserve"> כדי לעורר ספק סביר באשר לכוונותיו של המערער בזמן שדקר את המתלוננת באכזריות רבה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אמירותיו אלו עשויות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להוביל למסקנה לפיה 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ביצוע המעשה התעוררו בליבו של המערער רגשי חרטה</w:t>
      </w:r>
      <w:r>
        <w:rPr>
          <w:rtl w:val="true"/>
        </w:rPr>
        <w:t xml:space="preserve">, </w:t>
      </w:r>
      <w:r>
        <w:rPr>
          <w:rtl w:val="true"/>
        </w:rPr>
        <w:t>אך בכך אין כדי להועיל לו</w:t>
      </w:r>
      <w:r>
        <w:rPr>
          <w:rtl w:val="true"/>
        </w:rPr>
        <w:t xml:space="preserve">. </w:t>
      </w:r>
      <w:r>
        <w:rPr>
          <w:rtl w:val="true"/>
        </w:rPr>
        <w:t xml:space="preserve">לפי עקרון </w:t>
      </w:r>
      <w:r>
        <w:rPr>
          <w:rFonts w:ascii="Century" w:hAnsi="Century" w:cs="Century"/>
          <w:sz w:val="22"/>
          <w:sz w:val="22"/>
          <w:rtl w:val="true"/>
        </w:rPr>
        <w:t>הסימולטניות</w:t>
      </w:r>
      <w:r>
        <w:rPr>
          <w:rtl w:val="true"/>
        </w:rPr>
        <w:t xml:space="preserve">, </w:t>
      </w:r>
      <w:r>
        <w:rPr>
          <w:rtl w:val="true"/>
        </w:rPr>
        <w:t>בצורתו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היסוד העובדתי והיסוד הנפשי אשר נדרשים להתהוותה של עבירה צריכים להתקיים בעת ובעונה אחת </w:t>
      </w:r>
      <w:r>
        <w:rPr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8107/10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37-36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9.9.2013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כפי שכבר הזדמן לי להסביר</w:t>
      </w:r>
      <w:r>
        <w:rPr>
          <w:rtl w:val="true"/>
        </w:rPr>
        <w:t xml:space="preserve">, </w:t>
      </w:r>
      <w:r>
        <w:rPr>
          <w:rtl w:val="true"/>
        </w:rPr>
        <w:t>תנאי זה איננו רק תנאי הכרחי להתהוות העבירה</w:t>
      </w:r>
      <w:r>
        <w:rPr>
          <w:rtl w:val="true"/>
        </w:rPr>
        <w:t xml:space="preserve">, </w:t>
      </w:r>
      <w:r>
        <w:rPr>
          <w:rtl w:val="true"/>
        </w:rPr>
        <w:t>אלא גם תנאי מספיק</w:t>
      </w:r>
      <w:r>
        <w:rPr>
          <w:rtl w:val="true"/>
        </w:rPr>
        <w:t xml:space="preserve">, </w:t>
      </w:r>
      <w:r>
        <w:rPr>
          <w:rtl w:val="true"/>
        </w:rPr>
        <w:t>שכן כוונה פלילית אינה אלא הסינרגיה שבין המעשה העברייני לבין הפעילות המוחית שגורמת למעשה להיעשות כפי שנעשה</w:t>
      </w:r>
      <w:r>
        <w:rPr>
          <w:rtl w:val="true"/>
        </w:rPr>
        <w:t xml:space="preserve">. </w:t>
      </w:r>
      <w:r>
        <w:rPr>
          <w:rtl w:val="true"/>
        </w:rPr>
        <w:t>מחשבות ורגשות למיניהם</w:t>
      </w:r>
      <w:r>
        <w:rPr>
          <w:rtl w:val="true"/>
        </w:rPr>
        <w:t xml:space="preserve">, </w:t>
      </w:r>
      <w:r>
        <w:rPr>
          <w:rtl w:val="true"/>
        </w:rPr>
        <w:t>שמחוץ לאותה סינרגיה</w:t>
      </w:r>
      <w:r>
        <w:rPr>
          <w:rtl w:val="true"/>
        </w:rPr>
        <w:t xml:space="preserve">, </w:t>
      </w:r>
      <w:r>
        <w:rPr>
          <w:rtl w:val="true"/>
        </w:rPr>
        <w:t xml:space="preserve">אינם מעלים ואינם מורידים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19-11</w:t>
      </w:r>
      <w:r>
        <w:rPr>
          <w:rtl w:val="true"/>
        </w:rPr>
        <w:t xml:space="preserve">). </w:t>
      </w: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אוסיף כי בית משפט קמא ממילא לא האמין למערער ולהסבריו</w:t>
      </w:r>
      <w:r>
        <w:rPr>
          <w:rtl w:val="true"/>
        </w:rPr>
        <w:t xml:space="preserve">, </w:t>
      </w:r>
      <w:r>
        <w:rPr>
          <w:rtl w:val="true"/>
        </w:rPr>
        <w:t>וכי בממצא החלטי זה אין בידינו כל סיבה להתערב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אציין במאמר מוסגר</w:t>
      </w:r>
      <w:r>
        <w:rPr>
          <w:rtl w:val="true"/>
        </w:rPr>
        <w:t xml:space="preserve">, </w:t>
      </w:r>
      <w:r>
        <w:rPr>
          <w:rtl w:val="true"/>
        </w:rPr>
        <w:t>כי מצבו השתוי של המערער בשעת התקיפה אף הוא אינו יכול לשלול את כוונתו לגרום למותה של המתלוננת</w:t>
      </w:r>
      <w:r>
        <w:rPr>
          <w:rtl w:val="true"/>
        </w:rPr>
        <w:t xml:space="preserve">. </w:t>
      </w:r>
      <w:r>
        <w:rPr>
          <w:rtl w:val="true"/>
        </w:rPr>
        <w:t>בית משפט קמא קבע כי מעשיו של המערער העידו על שליטתו בנעשה ועל המטרה שהיתה לו בשעת המעשה</w:t>
      </w:r>
      <w:r>
        <w:rPr>
          <w:rtl w:val="true"/>
        </w:rPr>
        <w:t xml:space="preserve">. </w:t>
      </w:r>
      <w:r>
        <w:rPr>
          <w:rtl w:val="true"/>
        </w:rPr>
        <w:t>בקביעה ברורה זו לא נתבקשנו להתערב</w:t>
      </w:r>
      <w:r>
        <w:rPr>
          <w:rtl w:val="true"/>
        </w:rPr>
        <w:t xml:space="preserve">, </w:t>
      </w:r>
      <w:r>
        <w:rPr>
          <w:rtl w:val="true"/>
        </w:rPr>
        <w:t xml:space="preserve">וממילא אין כל סיבה שנעשה כן מאחר שהיא עולה בקנה אחד עם כלליה של דוקטרינת השכרות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7020/17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מכניצקי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37-33</w:t>
      </w:r>
      <w:r>
        <w:rPr>
          <w:rtl w:val="true"/>
        </w:rPr>
        <w:t xml:space="preserve"> (</w:t>
      </w:r>
      <w:r>
        <w:rPr/>
        <w:t>26.11.2018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הפועל היוצא מכל אלה הוא כי מכלול נסיבות המקרה שלפנינו</w:t>
      </w:r>
      <w:r>
        <w:rPr>
          <w:rtl w:val="true"/>
        </w:rPr>
        <w:t xml:space="preserve">, </w:t>
      </w:r>
      <w:r>
        <w:rPr>
          <w:rtl w:val="true"/>
        </w:rPr>
        <w:t>יחד עם הממצאים העובדתיים שקבעה הערכאה הדיונית</w:t>
      </w:r>
      <w:r>
        <w:rPr>
          <w:rtl w:val="true"/>
        </w:rPr>
        <w:t xml:space="preserve">, </w:t>
      </w:r>
      <w:r>
        <w:rPr>
          <w:rtl w:val="true"/>
        </w:rPr>
        <w:t>מובילים אל המסקנה החד</w:t>
      </w:r>
      <w:r>
        <w:rPr>
          <w:rtl w:val="true"/>
        </w:rPr>
        <w:t>-</w:t>
      </w:r>
      <w:r>
        <w:rPr>
          <w:rtl w:val="true"/>
        </w:rPr>
        <w:t>משמעית כי המערער תקף את המתלוננת ודקרהּ באכזריות במטרה להמיתה</w:t>
      </w:r>
      <w:r>
        <w:rPr>
          <w:rtl w:val="true"/>
        </w:rPr>
        <w:t xml:space="preserve">, </w:t>
      </w:r>
      <w:r>
        <w:rPr>
          <w:rtl w:val="true"/>
        </w:rPr>
        <w:t>ובכך ביצע ניסיון לרצח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ומכאן לאישום השני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הפחות חמור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שעניינו תקיפה הגורמת חבלה ממשית בנסיבות מחמירות</w:t>
      </w:r>
      <w:r>
        <w:rPr>
          <w:sz w:val="28"/>
          <w:rtl w:val="true"/>
        </w:rPr>
        <w:t xml:space="preserve">. </w:t>
      </w:r>
      <w:r>
        <w:rPr>
          <w:rtl w:val="true"/>
        </w:rPr>
        <w:t>המערער מלין על כך שבית משפט קמא אימץ את גרסתה של המתלוננת על כרעיה ועל קרבה</w:t>
      </w:r>
      <w:r>
        <w:rPr>
          <w:rtl w:val="true"/>
        </w:rPr>
        <w:t xml:space="preserve">, </w:t>
      </w:r>
      <w:r>
        <w:rPr>
          <w:rtl w:val="true"/>
        </w:rPr>
        <w:t>למרות שלא הייתה לה שום אחיזה בחומר הראיות</w:t>
      </w:r>
      <w:r>
        <w:rPr>
          <w:rtl w:val="true"/>
        </w:rPr>
        <w:t xml:space="preserve">. </w:t>
      </w:r>
      <w:r>
        <w:rPr>
          <w:rtl w:val="true"/>
        </w:rPr>
        <w:t>טענה זו טוב היה אילו לא נטענה כלל</w:t>
      </w:r>
      <w:r>
        <w:rPr>
          <w:rtl w:val="true"/>
        </w:rPr>
        <w:t xml:space="preserve">. </w:t>
      </w:r>
      <w:r>
        <w:rPr>
          <w:rtl w:val="true"/>
        </w:rPr>
        <w:t>בית משפט קמא ביסס את ממצאי המהימנות שלו ביחס למתלוננת ולעדותה באופן ברור ומשכנע</w:t>
      </w:r>
      <w:r>
        <w:rPr>
          <w:rtl w:val="true"/>
        </w:rPr>
        <w:t xml:space="preserve">: </w:t>
      </w:r>
      <w:r>
        <w:rPr>
          <w:rtl w:val="true"/>
        </w:rPr>
        <w:t>ממצאים אלו הושתתו על עדויותיהם של חברי המתלוננת ושל אמה</w:t>
      </w:r>
      <w:r>
        <w:rPr>
          <w:rtl w:val="true"/>
        </w:rPr>
        <w:t xml:space="preserve">; </w:t>
      </w:r>
      <w:r>
        <w:rPr>
          <w:rtl w:val="true"/>
        </w:rPr>
        <w:t>על התלונה שהגישה המתלוננת במשטרה</w:t>
      </w:r>
      <w:r>
        <w:rPr>
          <w:rtl w:val="true"/>
        </w:rPr>
        <w:t xml:space="preserve">; </w:t>
      </w:r>
      <w:r>
        <w:rPr>
          <w:rtl w:val="true"/>
        </w:rPr>
        <w:t xml:space="preserve">ועל התיעוד הרפואי שהוגש לבית המשפט </w:t>
      </w:r>
      <w:r>
        <w:rPr>
          <w:rtl w:val="true"/>
        </w:rPr>
        <w:t>–</w:t>
      </w:r>
      <w:r>
        <w:rPr>
          <w:rtl w:val="true"/>
        </w:rPr>
        <w:t xml:space="preserve"> כאשר כל אלה תאמו את עדות המתלוננת</w:t>
      </w:r>
      <w:r>
        <w:rPr>
          <w:rtl w:val="true"/>
        </w:rPr>
        <w:t xml:space="preserve">, </w:t>
      </w:r>
      <w:r>
        <w:rPr>
          <w:rtl w:val="true"/>
        </w:rPr>
        <w:t>שהרשימה את בית המשפט כעדות אמינה מעבר לכל ספק סביר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גרסתו של המערער הייתה רצופה סתירות ולא תאמה את המסמכים הרפואיים שהוגשו לבית המשפט</w:t>
      </w:r>
      <w:r>
        <w:rPr>
          <w:rtl w:val="true"/>
        </w:rPr>
        <w:t xml:space="preserve">. </w:t>
      </w:r>
      <w:r>
        <w:rPr>
          <w:rtl w:val="true"/>
        </w:rPr>
        <w:t>בית המשפט נדרש גם לראיות אליהן הפנה אותנו המערער</w:t>
      </w:r>
      <w:r>
        <w:rPr>
          <w:rtl w:val="true"/>
        </w:rPr>
        <w:t xml:space="preserve">, </w:t>
      </w:r>
      <w:r>
        <w:rPr>
          <w:rtl w:val="true"/>
        </w:rPr>
        <w:t>שעיקרן ניסיון המתלוננת לבטל את התלונה שהגישה נגד המערער ומכתבי ההתנצלות ששלחה לו</w:t>
      </w:r>
      <w:r>
        <w:rPr>
          <w:rtl w:val="true"/>
        </w:rPr>
        <w:t xml:space="preserve">. </w:t>
      </w:r>
      <w:r>
        <w:rPr>
          <w:rtl w:val="true"/>
        </w:rPr>
        <w:t>בית המשפט קיבל את הסבר המתלוננת לפיו מעשיה אלו נבעו מהעצב שחשה עקב מעצרו של המערער</w:t>
      </w:r>
      <w:r>
        <w:rPr>
          <w:rtl w:val="true"/>
        </w:rPr>
        <w:t xml:space="preserve">, </w:t>
      </w:r>
      <w:r>
        <w:rPr>
          <w:rtl w:val="true"/>
        </w:rPr>
        <w:t>שהיה בן זוגה באותה תקופה</w:t>
      </w:r>
      <w:r>
        <w:rPr>
          <w:rtl w:val="true"/>
        </w:rPr>
        <w:t xml:space="preserve">, </w:t>
      </w:r>
      <w:r>
        <w:rPr>
          <w:rtl w:val="true"/>
        </w:rPr>
        <w:t>ולא משום שבדתה את התלונה מליבה</w:t>
      </w:r>
      <w:r>
        <w:rPr>
          <w:rtl w:val="true"/>
        </w:rPr>
        <w:t xml:space="preserve">. </w:t>
      </w:r>
      <w:r>
        <w:rPr>
          <w:rtl w:val="true"/>
        </w:rPr>
        <w:t>אינני רואה שום סיבה להתערב בקביעתו זו של בית משפט קמא</w:t>
      </w:r>
      <w:r>
        <w:rPr>
          <w:rtl w:val="true"/>
        </w:rPr>
        <w:t xml:space="preserve">. </w:t>
      </w:r>
      <w:r>
        <w:rPr>
          <w:rtl w:val="true"/>
        </w:rPr>
        <w:t>אוסיף כי קביעה זו עולה בקנה אחד לא רק עם חומר הראיות</w:t>
      </w:r>
      <w:r>
        <w:rPr>
          <w:rtl w:val="true"/>
        </w:rPr>
        <w:t xml:space="preserve">, </w:t>
      </w:r>
      <w:r>
        <w:rPr>
          <w:rtl w:val="true"/>
        </w:rPr>
        <w:t>אלא גם עם השכל הישר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>מטעמים 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 זה 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לדעתי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שנתערב התערבות כלשהי בהכרעת דינו של בית משפט קמא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הכרעת דין זו עומדת על יסודות איתנים</w:t>
      </w:r>
      <w:r>
        <w:rPr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המקרה שלפנינו מהווה חלק מתופעה נרחבת הרבה יותר של אלימות קשה בין בני זוג</w:t>
      </w:r>
      <w:r>
        <w:rPr>
          <w:rtl w:val="true"/>
        </w:rPr>
        <w:t xml:space="preserve">; </w:t>
      </w:r>
      <w:r>
        <w:rPr>
          <w:rtl w:val="true"/>
        </w:rPr>
        <w:t>תופעה מצערת אשר ממשיכה להעסיקנו דרך קבע</w:t>
      </w:r>
      <w:r>
        <w:rPr>
          <w:rtl w:val="true"/>
        </w:rPr>
        <w:t xml:space="preserve">, </w:t>
      </w:r>
      <w:r>
        <w:rPr>
          <w:rtl w:val="true"/>
        </w:rPr>
        <w:t>כאשר מעשי אלימות כאמור הולכים ומתרבים ואכזריותם עולה מדרגה אחר מדרגה</w:t>
      </w:r>
      <w:r>
        <w:rPr>
          <w:rtl w:val="true"/>
        </w:rPr>
        <w:t xml:space="preserve">. </w:t>
      </w:r>
      <w:r>
        <w:rPr>
          <w:rtl w:val="true"/>
        </w:rPr>
        <w:t xml:space="preserve">הביטוי </w:t>
      </w:r>
      <w:r>
        <w:rPr>
          <w:rtl w:val="true"/>
        </w:rPr>
        <w:t>"</w:t>
      </w:r>
      <w:r>
        <w:rPr>
          <w:rtl w:val="true"/>
        </w:rPr>
        <w:t>אלימות בין בני זוג</w:t>
      </w:r>
      <w:r>
        <w:rPr>
          <w:rtl w:val="true"/>
        </w:rPr>
        <w:t xml:space="preserve">" </w:t>
      </w:r>
      <w:r>
        <w:rPr>
          <w:rtl w:val="true"/>
        </w:rPr>
        <w:t>איננו משקף נאמנה את המציאות העגומה שמאחוריו</w:t>
      </w:r>
      <w:r>
        <w:rPr>
          <w:rtl w:val="true"/>
        </w:rPr>
        <w:t xml:space="preserve">. </w:t>
      </w:r>
      <w:r>
        <w:rPr>
          <w:rtl w:val="true"/>
        </w:rPr>
        <w:t>המדובר הוא</w:t>
      </w:r>
      <w:r>
        <w:rPr>
          <w:rtl w:val="true"/>
        </w:rPr>
        <w:t xml:space="preserve">, </w:t>
      </w:r>
      <w:r>
        <w:rPr>
          <w:rtl w:val="true"/>
        </w:rPr>
        <w:t>על פי רוב</w:t>
      </w:r>
      <w:r>
        <w:rPr>
          <w:rtl w:val="true"/>
        </w:rPr>
        <w:t xml:space="preserve">, </w:t>
      </w:r>
      <w:r>
        <w:rPr>
          <w:rtl w:val="true"/>
        </w:rPr>
        <w:t>במעשי אלימות של גברים בנשותיהם אשר נעשים בין כתלי הבית או בסביבה פרטית אחרת באין רואה</w:t>
      </w:r>
      <w:r>
        <w:rPr>
          <w:rtl w:val="true"/>
        </w:rPr>
        <w:t xml:space="preserve">, </w:t>
      </w:r>
      <w:r>
        <w:rPr>
          <w:rtl w:val="true"/>
        </w:rPr>
        <w:t>באין מפריע</w:t>
      </w:r>
      <w:r>
        <w:rPr>
          <w:rtl w:val="true"/>
        </w:rPr>
        <w:t xml:space="preserve">, </w:t>
      </w:r>
      <w:r>
        <w:rPr>
          <w:rtl w:val="true"/>
        </w:rPr>
        <w:t xml:space="preserve">ובאין שומע </w:t>
      </w:r>
      <w:r>
        <w:rPr>
          <w:rtl w:val="true"/>
        </w:rPr>
        <w:t>–</w:t>
      </w:r>
      <w:r>
        <w:rPr>
          <w:rtl w:val="true"/>
        </w:rPr>
        <w:t xml:space="preserve"> או באין מי שרוצה לשמוע</w:t>
      </w:r>
      <w:r>
        <w:rPr>
          <w:rtl w:val="true"/>
        </w:rPr>
        <w:t xml:space="preserve">; </w:t>
      </w:r>
      <w:r>
        <w:rPr>
          <w:rtl w:val="true"/>
        </w:rPr>
        <w:t xml:space="preserve">וזאת תוך ניצול בוטה של פערי הכוחות הפיזיים והתלות הרגשית והכלכלית שבין העבריין לנפגעת העבירה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</w:t>
      </w:r>
      <w:r>
        <w:rPr/>
        <w:t>4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בגינוי ובהוקעה של מבצעי עבירות אלה אין די</w:t>
      </w:r>
      <w:r>
        <w:rPr>
          <w:rtl w:val="true"/>
        </w:rPr>
        <w:t xml:space="preserve">; </w:t>
      </w:r>
      <w:r>
        <w:rPr>
          <w:rtl w:val="true"/>
        </w:rPr>
        <w:t>את הגינוי וההוקעה כאמור יש לגבות על ידי הטלת עונשים הולמים ומרתיעים על בני הזוג האלימים</w:t>
      </w:r>
      <w:r>
        <w:rPr>
          <w:rtl w:val="true"/>
        </w:rPr>
        <w:t xml:space="preserve">. </w:t>
      </w:r>
      <w:r>
        <w:rPr>
          <w:rtl w:val="true"/>
        </w:rPr>
        <w:t xml:space="preserve">בעניין זה חשוב שנזכור דברים נכוחים שאמר השופט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ז</w:t>
      </w:r>
      <w:r>
        <w:rPr>
          <w:rtl w:val="true"/>
        </w:rPr>
        <w:t>"</w:t>
      </w:r>
      <w:r>
        <w:rPr>
          <w:rtl w:val="true"/>
        </w:rPr>
        <w:t>ל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19.3.2007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שינהיג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ניסיון לרצח ככזה נמצא ברשימת העבירות החמורות ביותר בספר חוקינו</w:t>
      </w:r>
      <w:r>
        <w:rPr>
          <w:rtl w:val="true"/>
        </w:rPr>
        <w:t xml:space="preserve">; </w:t>
      </w:r>
      <w:r>
        <w:rPr>
          <w:rtl w:val="true"/>
        </w:rPr>
        <w:t xml:space="preserve">ועל כך אין צורך להכביר במילים </w:t>
      </w:r>
      <w:r>
        <w:rPr>
          <w:rtl w:val="true"/>
        </w:rPr>
        <w:t>–</w:t>
      </w:r>
      <w:r>
        <w:rPr>
          <w:rtl w:val="true"/>
        </w:rPr>
        <w:t xml:space="preserve"> לא בכדי העונש המירבי שנקבע בצדה של עבירה זאת עומד על עשרים שנות מאסר </w:t>
      </w:r>
      <w:r>
        <w:rPr>
          <w:rtl w:val="true"/>
        </w:rPr>
        <w:t>(</w:t>
      </w:r>
      <w:r>
        <w:rPr>
          <w:sz w:val="28"/>
          <w:sz w:val="28"/>
          <w:rtl w:val="true"/>
        </w:rPr>
        <w:t xml:space="preserve">ראו </w:t>
      </w:r>
      <w:hyperlink r:id="rId3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3250/17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14.10.2018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; </w:t>
      </w:r>
      <w:hyperlink r:id="rId3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3030/15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35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19.</w:t>
      </w:r>
      <w:r>
        <w:rPr>
          <w:sz w:val="28"/>
        </w:rPr>
        <w:t>4</w:t>
      </w:r>
      <w:r>
        <w:rPr>
          <w:sz w:val="28"/>
        </w:rPr>
        <w:t>.2016</w:t>
      </w:r>
      <w:r>
        <w:rPr>
          <w:sz w:val="28"/>
          <w:rtl w:val="true"/>
        </w:rPr>
        <w:t>)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 xml:space="preserve">בית משפט זה עמד לא אחת על חובתנו </w:t>
      </w:r>
      <w:r>
        <w:rPr>
          <w:rtl w:val="true"/>
        </w:rPr>
        <w:t xml:space="preserve">לנהוג ביד קשה כלפי מבצעי עבירה זו אשר באה לפגוע בחיי אדם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סיסאי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6.8.2014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עיקרון אשר חל ביתר שאת מקום שקורבן העבירה היא בת זוגו של מבצעה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5797/11</w:t>
        </w:r>
      </w:hyperlink>
      <w:r>
        <w:rPr>
          <w:rtl w:val="true"/>
        </w:rPr>
        <w:t xml:space="preserve"> </w:t>
      </w:r>
      <w:r>
        <w:rPr>
          <w:color w:val="000000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5.8.2012</w:t>
      </w:r>
      <w:r>
        <w:rPr>
          <w:color w:val="000000"/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>במקרה דכאן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גזר הדין שנתן בית משפט קמא מנומק ומפורט היטב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וכולל התייחסות מקיפה ומאוזנת למכלול השיקולים הצריכים לעניין העונש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וביניהם גם לשיקולים לקולא עליהם עמד המערער בערעורו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גילו הצעיר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היותו נטול עבר פלילי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וכן תרומתו הרבה למדינת ישראל במסגרת שירותו הצבאי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בשיקולים 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חרף חשיבותם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אין </w:t>
      </w:r>
      <w:r>
        <w:rPr>
          <w:rtl w:val="true"/>
        </w:rPr>
        <w:t>כדי להפחית מחומרת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שהכה נמרצות </w:t>
      </w:r>
      <w:r>
        <w:rPr>
          <w:sz w:val="28"/>
          <w:sz w:val="28"/>
          <w:rtl w:val="true"/>
        </w:rPr>
        <w:t>ודקר באכזריות את מי שהייתה בת זוגו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 שהוא מנסה להביא למותה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 שכבר ציינתי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עבירות אלו מחייבות </w:t>
      </w:r>
      <w:r>
        <w:rPr>
          <w:rtl w:val="true"/>
        </w:rPr>
        <w:t>ענישה קשה ובלתי מתפשרת</w:t>
      </w:r>
      <w:r>
        <w:rPr>
          <w:rtl w:val="true"/>
        </w:rPr>
        <w:t xml:space="preserve">, </w:t>
      </w:r>
      <w:r>
        <w:rPr>
          <w:rtl w:val="true"/>
        </w:rPr>
        <w:t>המעניקה משקל ראוי לשיקולי גמול והרתעה כאחד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לדברים אלו ראוי להוסיף כי במזל בלבד לא נגדעו חייה של המתלוננת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rFonts w:ascii="Calibri" w:hAnsi="Calibri" w:eastAsia="Calibri" w:cs="Calibri"/>
          <w:sz w:val="28"/>
          <w:sz w:val="28"/>
          <w:rtl w:val="true"/>
        </w:rPr>
        <w:t>ומזל זה פעל במקרה דנן גם לטובת המערער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>כאשר מנע את הרשעתו ברצח</w:t>
      </w:r>
      <w:r>
        <w:rPr>
          <w:rFonts w:eastAsia="Calibri" w:cs="Calibri" w:ascii="Calibri" w:hAnsi="Calibri"/>
          <w:sz w:val="28"/>
          <w:rtl w:val="true"/>
        </w:rPr>
        <w:t xml:space="preserve">, </w:t>
      </w:r>
      <w:r>
        <w:rPr>
          <w:rFonts w:ascii="Calibri" w:hAnsi="Calibri" w:eastAsia="Calibri" w:cs="Calibri"/>
          <w:sz w:val="28"/>
          <w:sz w:val="28"/>
          <w:rtl w:val="true"/>
        </w:rPr>
        <w:t>עבירה שעונשה הרגיל הוא מאסר עולם</w:t>
      </w:r>
      <w:r>
        <w:rPr>
          <w:rFonts w:eastAsia="Calibri" w:cs="Calibri" w:ascii="Calibri" w:hAnsi="Calibri"/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סבורני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 חמש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עשרה שנות מאסר בפועל אשר הושת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מרמת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המקובלת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sz w:val="28"/>
          <w:sz w:val="28"/>
          <w:rtl w:val="true"/>
        </w:rPr>
        <w:t>ל</w:t>
      </w:r>
      <w:r>
        <w:rPr>
          <w:rtl w:val="true"/>
        </w:rPr>
        <w:t>נוכח הטעמים שבוארו לעיל</w:t>
      </w:r>
      <w:r>
        <w:rPr>
          <w:rtl w:val="true"/>
        </w:rPr>
        <w:t xml:space="preserve">, </w:t>
      </w:r>
      <w:r>
        <w:rPr>
          <w:rtl w:val="true"/>
        </w:rPr>
        <w:t>הנני מציע לחבריי לדחות את הערעור על כל חלקיו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17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16.7.2019</w:t>
      </w:r>
      <w:r>
        <w:rPr>
          <w:rFonts w:cs="Century" w:ascii="Century" w:hAnsi="Century"/>
          <w:rtl w:val="true"/>
        </w:rPr>
        <w:t xml:space="preserve">). </w:t>
      </w:r>
      <w:bookmarkEnd w:id="17"/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color w:val="FFFFFF"/>
          <w:spacing w:val="0"/>
          <w:sz w:val="2"/>
          <w:szCs w:val="2"/>
        </w:rPr>
      </w:pPr>
      <w:r>
        <w:rPr>
          <w:rFonts w:cs="Miriam" w:ascii="Century" w:hAnsi="Century"/>
          <w:b/>
          <w:color w:val="FFFFFF"/>
          <w:spacing w:val="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17002410</w:t>
      </w:r>
      <w:r>
        <w:rPr>
          <w:sz w:val="16"/>
          <w:rtl w:val="true"/>
        </w:rPr>
        <w:t>_</w:t>
      </w:r>
      <w:r>
        <w:rPr>
          <w:sz w:val="16"/>
        </w:rPr>
        <w:t>F05.docx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דג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54678313-241/17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ahoma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ahoma" w:hAnsi="FrankRuehl;Tahoma" w:cs="FrankRuehl;Tahoma"/>
        <w:sz w:val="24"/>
      </w:rPr>
    </w:pPr>
    <w:r>
      <w:rPr>
        <w:rFonts w:cs="FrankRuehl;Tahoma" w:ascii="FrankRuehl;Tahoma" w:hAnsi="FrankRuehl;Tahoma"/>
        <w:sz w:val="24"/>
        <w:rtl w:val="true"/>
      </w:rPr>
      <w:fldChar w:fldCharType="begin"/>
    </w:r>
    <w:r>
      <w:rPr>
        <w:rtl w:val="true"/>
        <w:sz w:val="24"/>
        <w:rFonts w:cs="FrankRuehl;Tahoma" w:ascii="FrankRuehl;Tahoma" w:hAnsi="FrankRuehl;Tahoma"/>
      </w:rPr>
      <w:instrText xml:space="preserve"> PAGE </w:instrText>
    </w:r>
    <w:r>
      <w:rPr>
        <w:rtl w:val="true"/>
        <w:sz w:val="24"/>
        <w:rFonts w:cs="FrankRuehl;Tahoma" w:ascii="FrankRuehl;Tahoma" w:hAnsi="FrankRuehl;Tahoma"/>
      </w:rPr>
      <w:fldChar w:fldCharType="separate"/>
    </w:r>
    <w:r>
      <w:rPr>
        <w:rtl w:val="true"/>
        <w:sz w:val="24"/>
        <w:rFonts w:cs="FrankRuehl;Tahoma" w:ascii="FrankRuehl;Tahoma" w:hAnsi="FrankRuehl;Tahoma"/>
      </w:rPr>
      <w:t>20</w:t>
    </w:r>
    <w:r>
      <w:rPr>
        <w:rtl w:val="true"/>
        <w:sz w:val="24"/>
        <w:rFonts w:cs="FrankRuehl;Tahoma" w:ascii="FrankRuehl;Tahoma" w:hAnsi="FrankRuehl;Tahoma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ahoma" w:hAnsi="FrankRuehl;Tahoma" w:cs="FrankRuehl;Tahoma"/>
        <w:color w:val="000000"/>
        <w:sz w:val="24"/>
        <w:lang w:val="en-IL" w:eastAsia="en-IL"/>
      </w:rPr>
    </w:pPr>
    <w:r>
      <w:rPr>
        <w:rFonts w:cs="FrankRuehl;Tahoma" w:ascii="FrankRuehl;Tahoma" w:hAnsi="FrankRuehl;Tahoma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241/17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ascii="Garamond" w:hAnsi="Garamond" w:cs="Garamond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Garamond" w:hAnsi="Garamond" w:cs="Garamond"/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ahoma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ahoma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;Tahoma"/>
      <w:spacing w:val="10"/>
      <w:sz w:val="24"/>
      <w:szCs w:val="28"/>
    </w:rPr>
  </w:style>
  <w:style w:type="character" w:styleId="Ruller5">
    <w:name w:val="Ruller5 תו"/>
    <w:qFormat/>
    <w:rPr>
      <w:rFonts w:ascii="Arial TUR;Arial" w:hAnsi="Arial TUR;Arial" w:cs="FrankRuehl;Tahoma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ahoma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ahoma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ahoma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ahoma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;Times New Roman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msolistparagraphcxspfirst">
    <w:name w:val="msolistparagraphcxspfirst"/>
    <w:basedOn w:val="Normal"/>
    <w:qFormat/>
    <w:pPr>
      <w:spacing w:lineRule="auto" w:line="360"/>
      <w:ind w:hanging="0" w:start="720" w:end="0"/>
      <w:textAlignment w:val="auto"/>
    </w:pPr>
    <w:rPr>
      <w:rFonts w:ascii="Century" w:hAnsi="Century" w:cs="Times New Roman;Times New Roman"/>
      <w:spacing w:val="10"/>
      <w:szCs w:val="20"/>
    </w:rPr>
  </w:style>
  <w:style w:type="paragraph" w:styleId="1">
    <w:name w:val="סגנון1"/>
    <w:basedOn w:val="Normal"/>
    <w:qFormat/>
    <w:pPr>
      <w:spacing w:lineRule="auto" w:line="360"/>
      <w:ind w:hanging="0" w:start="100" w:end="0"/>
      <w:jc w:val="both"/>
      <w:textAlignment w:val="auto"/>
    </w:pPr>
    <w:rPr>
      <w:rFonts w:ascii="Century" w:hAnsi="Century" w:cs="FrankRuehl;Tahoma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602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i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c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82.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i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://www.nevo.co.il/law/70301/380" TargetMode="External"/><Relationship Id="rId20" Type="http://schemas.openxmlformats.org/officeDocument/2006/relationships/hyperlink" Target="http://www.nevo.co.il/law/70301/382.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nevo.co.il/case/20028610" TargetMode="External"/><Relationship Id="rId24" Type="http://schemas.openxmlformats.org/officeDocument/2006/relationships/hyperlink" Target="http://www.nevo.co.il/case/16900372" TargetMode="External"/><Relationship Id="rId25" Type="http://schemas.openxmlformats.org/officeDocument/2006/relationships/hyperlink" Target="http://www.nevo.co.il/case/5573130" TargetMode="External"/><Relationship Id="rId26" Type="http://schemas.openxmlformats.org/officeDocument/2006/relationships/hyperlink" Target="http://www.nevo.co.il/case/5739234" TargetMode="External"/><Relationship Id="rId27" Type="http://schemas.openxmlformats.org/officeDocument/2006/relationships/hyperlink" Target="http://www.nevo.co.il/case/6151033" TargetMode="External"/><Relationship Id="rId28" Type="http://schemas.openxmlformats.org/officeDocument/2006/relationships/hyperlink" Target="http://www.nevo.co.il/case/17942669" TargetMode="External"/><Relationship Id="rId29" Type="http://schemas.openxmlformats.org/officeDocument/2006/relationships/hyperlink" Target="http://www.nevo.co.il/case/6237133" TargetMode="External"/><Relationship Id="rId30" Type="http://schemas.openxmlformats.org/officeDocument/2006/relationships/hyperlink" Target="http://www.nevo.co.il/case/5767813" TargetMode="External"/><Relationship Id="rId31" Type="http://schemas.openxmlformats.org/officeDocument/2006/relationships/hyperlink" Target="http://www.nevo.co.il/case/22495714" TargetMode="External"/><Relationship Id="rId32" Type="http://schemas.openxmlformats.org/officeDocument/2006/relationships/hyperlink" Target="http://www.nevo.co.il/case/5601930" TargetMode="External"/><Relationship Id="rId33" Type="http://schemas.openxmlformats.org/officeDocument/2006/relationships/hyperlink" Target="http://www.nevo.co.il/case/5601930" TargetMode="External"/><Relationship Id="rId34" Type="http://schemas.openxmlformats.org/officeDocument/2006/relationships/hyperlink" Target="http://www.nevo.co.il/case/5704544" TargetMode="External"/><Relationship Id="rId35" Type="http://schemas.openxmlformats.org/officeDocument/2006/relationships/hyperlink" Target="http://www.nevo.co.il/case/22972733" TargetMode="External"/><Relationship Id="rId36" Type="http://schemas.openxmlformats.org/officeDocument/2006/relationships/hyperlink" Target="http://www.nevo.co.il/case/5573266" TargetMode="External"/><Relationship Id="rId37" Type="http://schemas.openxmlformats.org/officeDocument/2006/relationships/hyperlink" Target="http://www.nevo.co.il/case/6193167" TargetMode="External"/><Relationship Id="rId38" Type="http://schemas.openxmlformats.org/officeDocument/2006/relationships/hyperlink" Target="http://www.nevo.co.il/case/22536272" TargetMode="External"/><Relationship Id="rId39" Type="http://schemas.openxmlformats.org/officeDocument/2006/relationships/hyperlink" Target="http://www.nevo.co.il/case/20243566" TargetMode="External"/><Relationship Id="rId40" Type="http://schemas.openxmlformats.org/officeDocument/2006/relationships/hyperlink" Target="http://www.nevo.co.il/case/7680922" TargetMode="External"/><Relationship Id="rId41" Type="http://schemas.openxmlformats.org/officeDocument/2006/relationships/hyperlink" Target="http://www.nevo.co.il/case/7680922" TargetMode="External"/><Relationship Id="rId42" Type="http://schemas.openxmlformats.org/officeDocument/2006/relationships/hyperlink" Target="http://supreme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2019-07-17T09:56:00Z</dcterms:created>
  <dc:creator>h4</dc:creator>
  <dc:description/>
  <cp:keywords/>
  <dc:language>en-IL</dc:language>
  <cp:lastModifiedBy>orly</cp:lastModifiedBy>
  <cp:lastPrinted>2019-07-16T11:04:00Z</cp:lastPrinted>
  <dcterms:modified xsi:type="dcterms:W3CDTF">2019-07-17T09:56:00Z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20560240;20028610;16900372;5573130;5739234;6151033;17942669;6237133;5767813;22495714;5601930:2;5704544;22972733;5573266;6193167;22536272;20243566;7680922:2</vt:lpwstr>
  </property>
  <property fmtid="{D5CDD505-2E9C-101B-9397-08002B2CF9AE}" pid="9" name="CITY">
    <vt:lpwstr/>
  </property>
  <property fmtid="{D5CDD505-2E9C-101B-9397-08002B2CF9AE}" pid="10" name="DATE">
    <vt:lpwstr>20190716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מינץ;א' שטיין</vt:lpwstr>
  </property>
  <property fmtid="{D5CDD505-2E9C-101B-9397-08002B2CF9AE}" pid="14" name="LAWLISTTMP1">
    <vt:lpwstr>70301/305.1:2;380:3;382.c:3;034i</vt:lpwstr>
  </property>
  <property fmtid="{D5CDD505-2E9C-101B-9397-08002B2CF9AE}" pid="15" name="LAWYER">
    <vt:lpwstr>סיגל בלום;גיימן דמיטרי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עונשין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עבירת הרצח</vt:lpwstr>
  </property>
  <property fmtid="{D5CDD505-2E9C-101B-9397-08002B2CF9AE}" pid="41" name="NOSE24">
    <vt:lpwstr>אחריות פלילית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ענישה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504;1443;12455;1428;1446;1446;1446</vt:lpwstr>
  </property>
  <property fmtid="{D5CDD505-2E9C-101B-9397-08002B2CF9AE}" pid="48" name="NOSE31">
    <vt:lpwstr>אי-התערבות בממצאים עובדתיים</vt:lpwstr>
  </property>
  <property fmtid="{D5CDD505-2E9C-101B-9397-08002B2CF9AE}" pid="49" name="NOSE310">
    <vt:lpwstr/>
  </property>
  <property fmtid="{D5CDD505-2E9C-101B-9397-08002B2CF9AE}" pid="50" name="NOSE32">
    <vt:lpwstr>ניסיון לרצח</vt:lpwstr>
  </property>
  <property fmtid="{D5CDD505-2E9C-101B-9397-08002B2CF9AE}" pid="51" name="NOSE33">
    <vt:lpwstr>כוונה להמית</vt:lpwstr>
  </property>
  <property fmtid="{D5CDD505-2E9C-101B-9397-08002B2CF9AE}" pid="52" name="NOSE34">
    <vt:lpwstr>התמזגות יסודות העבירה</vt:lpwstr>
  </property>
  <property fmtid="{D5CDD505-2E9C-101B-9397-08002B2CF9AE}" pid="53" name="NOSE35">
    <vt:lpwstr>מדיניות ענישה: ניסיון לרצח</vt:lpwstr>
  </property>
  <property fmtid="{D5CDD505-2E9C-101B-9397-08002B2CF9AE}" pid="54" name="NOSE36">
    <vt:lpwstr>מדיניות ענישה: אלימות במשפחה</vt:lpwstr>
  </property>
  <property fmtid="{D5CDD505-2E9C-101B-9397-08002B2CF9AE}" pid="55" name="NOSE37">
    <vt:lpwstr>מדיניות ענישה: עבירות אלימות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3849;8867;13936;8650;18350;15628;8984</vt:lpwstr>
  </property>
  <property fmtid="{D5CDD505-2E9C-101B-9397-08002B2CF9AE}" pid="59" name="PADIDATE">
    <vt:lpwstr>20190717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241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410120190716</vt:lpwstr>
  </property>
  <property fmtid="{D5CDD505-2E9C-101B-9397-08002B2CF9AE}" pid="69" name="TYPE_N_DATE">
    <vt:lpwstr>41020190716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