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2433/18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>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גזר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22337-11-16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13.2.2018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סגן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הנשיא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נועם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,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ר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פרידמן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פלדמן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והשופט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אברבנאל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21.11.2018</w:t>
      </w:r>
      <w:r>
        <w:rPr>
          <w:rtl w:val="true"/>
        </w:rPr>
        <w:t>)</w:t>
        <w:tab/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ברהום</w:t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bookmarkStart w:id="3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bookmarkEnd w:id="3"/>
      <w:r>
        <w:rPr>
          <w:rtl w:val="true"/>
        </w:rPr>
        <w:t>ה</w:t>
      </w:r>
      <w:r>
        <w:rPr>
          <w:rtl w:val="true"/>
        </w:rPr>
        <w:t>: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מושקוביץ</w:t>
      </w:r>
      <w:bookmarkStart w:id="4" w:name="LawTable"/>
      <w:bookmarkEnd w:id="4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הגנת הפרטיות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5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6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התייחסותו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לתאר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העקרונית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ומתיישב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ליישומן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החורגת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החורגת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התייחסותו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לתאר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העקרונית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ומתיישב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ליישומן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פיסית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גלומה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ורמיסת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כאדם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הודגשה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המתבצעות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המוגן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בטובתה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וטיפח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וביזוי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רגילה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להיפך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מפגינים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זלזול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לאוטונומיה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תרופות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שאכלה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האמבטיה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השיטתית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והאכזרית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ולהפכו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מאווייו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בצעירותם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יפגעו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המגיעים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לפתחו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בהרחקת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מסביבתו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ולהרחיק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רצדיביסטיים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מהציבור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  <w:bookmarkStart w:id="12" w:name="_GoBack"/>
      <w:bookmarkStart w:id="13" w:name="_GoBack"/>
      <w:bookmarkEnd w:id="13"/>
    </w:p>
    <w:p>
      <w:pPr>
        <w:pStyle w:val="Ruller4"/>
        <w:ind w:end="0"/>
        <w:jc w:val="both"/>
        <w:rPr>
          <w:rFonts w:cs="Miriam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כב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rtl w:val="true"/>
        </w:rPr>
        <w:t>:</w:t>
      </w:r>
    </w:p>
    <w:p>
      <w:pPr>
        <w:pStyle w:val="Ruller4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ערעור על גזר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נועם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b/>
          <w:rtl w:val="true"/>
        </w:rPr>
        <w:t xml:space="preserve">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פלדמן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tl w:val="true"/>
        </w:rPr>
        <w:t xml:space="preserve">והשופט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אברבנאל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22337-11-16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13.2.2018</w:t>
      </w:r>
      <w:r>
        <w:rPr>
          <w:rtl w:val="true"/>
        </w:rPr>
        <w:t xml:space="preserve">, </w:t>
      </w:r>
      <w:r>
        <w:rPr>
          <w:rtl w:val="true"/>
        </w:rPr>
        <w:t xml:space="preserve">בגדרו נגזר על המערער עונש של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שתי שנות מאסר על תנאי לבל יעבור עבירה מן העבירות שבהן הורשע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עבירת מין מסוג פשע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Fonts w:cs="Times New Roman" w:ascii="Times New Roman" w:hAnsi="Times New Roman"/>
          <w:sz w:val="22"/>
        </w:rPr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על אחת מן העבירות שבהן הורשע לפי 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הפרטיות</w:t>
        </w:r>
      </w:hyperlink>
      <w:r>
        <w:rPr>
          <w:rtl w:val="true"/>
        </w:rPr>
        <w:t xml:space="preserve">; </w:t>
      </w:r>
      <w:r>
        <w:rPr>
          <w:rtl w:val="true"/>
        </w:rPr>
        <w:t xml:space="preserve">וכן פיצוי לנפגעת העבירה בסך </w:t>
      </w:r>
      <w:r>
        <w:rPr/>
        <w:t>120,000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המערער הורשע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על פי הודאתו במסגרת הסדר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טיעון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</w:t>
      </w:r>
      <w:r>
        <w:rPr>
          <w:rFonts w:cs="Franklin Gothic Medium" w:ascii="Franklin Gothic Medium" w:hAnsi="Franklin Gothic Medium"/>
          <w:sz w:val="28"/>
          <w:rtl w:val="true"/>
        </w:rPr>
        <w:t>-</w:t>
      </w:r>
      <w:r>
        <w:rPr>
          <w:rFonts w:cs="Franklin Gothic Medium" w:ascii="Franklin Gothic Medium" w:hAnsi="Franklin Gothic Medium"/>
          <w:sz w:val="28"/>
        </w:rPr>
        <w:t>13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עבירות של</w:t>
      </w:r>
      <w:r>
        <w:rPr>
          <w:rtl w:val="true"/>
        </w:rPr>
        <w:t xml:space="preserve"> אינוס בת משפחה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עבירות של מעשה סדום בבן משפחה</w:t>
      </w:r>
      <w:r>
        <w:rPr>
          <w:rtl w:val="true"/>
        </w:rPr>
        <w:t xml:space="preserve">, </w:t>
      </w:r>
      <w:r>
        <w:rPr>
          <w:rtl w:val="true"/>
        </w:rPr>
        <w:t>וריבוי עבירות של מעשים מגונים</w:t>
      </w:r>
      <w:r>
        <w:rPr>
          <w:rtl w:val="true"/>
        </w:rPr>
        <w:t xml:space="preserve">, </w:t>
      </w:r>
      <w:r>
        <w:rPr>
          <w:rtl w:val="true"/>
        </w:rPr>
        <w:t>תוך ניצול חוסר יכולת לתת הסכמה חופשית וללא הסכמה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19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20">
        <w:r>
          <w:rPr>
            <w:rStyle w:val="Hyperlink"/>
            <w:color w:val="0000FF"/>
            <w:u w:val="single"/>
          </w:rPr>
          <w:t>347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21"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22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23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24"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5"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וב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עבירות של פגיעה בפרטיות לפי </w:t>
      </w:r>
      <w:hyperlink r:id="rId2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8">
        <w:r>
          <w:rPr>
            <w:rStyle w:val="Hyperlink"/>
            <w:color w:val="0000FF"/>
            <w:u w:val="single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הפרטיות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1981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שנכתב בגזר דינו של בית משפט קמא</w:t>
      </w:r>
      <w:r>
        <w:rPr>
          <w:rtl w:val="true"/>
        </w:rPr>
        <w:t xml:space="preserve">, </w:t>
      </w:r>
      <w:r>
        <w:rPr>
          <w:rtl w:val="true"/>
        </w:rPr>
        <w:t>המערער ביצע את העבירות בבתו החורגת</w:t>
      </w:r>
      <w:r>
        <w:rPr>
          <w:rtl w:val="true"/>
        </w:rPr>
        <w:t xml:space="preserve">, </w:t>
      </w:r>
      <w:r>
        <w:rPr>
          <w:rtl w:val="true"/>
        </w:rPr>
        <w:t xml:space="preserve">ילידת </w:t>
      </w:r>
      <w:r>
        <w:rPr/>
        <w:t>1993</w:t>
      </w:r>
      <w:r>
        <w:rPr>
          <w:rtl w:val="true"/>
        </w:rPr>
        <w:t xml:space="preserve">, </w:t>
      </w:r>
      <w:r>
        <w:rPr>
          <w:rtl w:val="true"/>
        </w:rPr>
        <w:t xml:space="preserve">שהתגוררה עימו החל משנת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מאז נישא לאימה</w:t>
      </w:r>
      <w:r>
        <w:rPr>
          <w:rtl w:val="true"/>
        </w:rPr>
        <w:t xml:space="preserve">. </w:t>
      </w:r>
      <w:r>
        <w:rPr>
          <w:rtl w:val="true"/>
        </w:rPr>
        <w:t xml:space="preserve">המעשים בוצעו בתקופה של כשלוש שנים מחודש אוגוסט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 xml:space="preserve">בהיות המתלוננת בת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 xml:space="preserve">לבין חודש אוגוסט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 xml:space="preserve">בהיותה בת </w:t>
      </w:r>
      <w:r>
        <w:rPr/>
        <w:t>18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פי החלק הכללי שבכתב האישום</w:t>
      </w:r>
      <w:r>
        <w:rPr>
          <w:rtl w:val="true"/>
        </w:rPr>
        <w:t xml:space="preserve">, </w:t>
      </w:r>
      <w:r>
        <w:rPr>
          <w:rtl w:val="true"/>
        </w:rPr>
        <w:t>במהלך שלוש השנים האמורות ביצע המערער במתלוננת מעשים מיניים רבים</w:t>
      </w:r>
      <w:r>
        <w:rPr>
          <w:rtl w:val="true"/>
        </w:rPr>
        <w:t xml:space="preserve">, </w:t>
      </w:r>
      <w:r>
        <w:rPr>
          <w:rtl w:val="true"/>
        </w:rPr>
        <w:t>שלא בהסכמתה</w:t>
      </w:r>
      <w:r>
        <w:rPr>
          <w:rtl w:val="true"/>
        </w:rPr>
        <w:t xml:space="preserve">, </w:t>
      </w:r>
      <w:r>
        <w:rPr>
          <w:rtl w:val="true"/>
        </w:rPr>
        <w:t>ופגע בפרטיותה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tl w:val="true"/>
        </w:rPr>
        <w:t>-</w:t>
      </w:r>
      <w:r>
        <w:rPr>
          <w:rtl w:val="true"/>
        </w:rPr>
        <w:t>השאר נטען כי המערער אנס את המתלוננת</w:t>
      </w:r>
      <w:r>
        <w:rPr>
          <w:rtl w:val="true"/>
        </w:rPr>
        <w:t xml:space="preserve">, </w:t>
      </w:r>
      <w:r>
        <w:rPr>
          <w:rtl w:val="true"/>
        </w:rPr>
        <w:t>ביצע בה מעשי סדום</w:t>
      </w:r>
      <w:r>
        <w:rPr>
          <w:rtl w:val="true"/>
        </w:rPr>
        <w:t xml:space="preserve">, </w:t>
      </w:r>
      <w:r>
        <w:rPr>
          <w:rtl w:val="true"/>
        </w:rPr>
        <w:t>ליקק את איבר מינה</w:t>
      </w:r>
      <w:r>
        <w:rPr>
          <w:rtl w:val="true"/>
        </w:rPr>
        <w:t xml:space="preserve">, </w:t>
      </w:r>
      <w:r>
        <w:rPr>
          <w:rtl w:val="true"/>
        </w:rPr>
        <w:t>חיכך את איבר מינו החשוף בגופה החשוף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נהג לשים באוכל שהכין למתלוננת תרופה מסוג ברוטיזולאם</w:t>
      </w:r>
      <w:r>
        <w:rPr>
          <w:rtl w:val="true"/>
        </w:rPr>
        <w:t xml:space="preserve">, </w:t>
      </w:r>
      <w:r>
        <w:rPr>
          <w:rtl w:val="true"/>
        </w:rPr>
        <w:t>ללא ידיעתה</w:t>
      </w:r>
      <w:r>
        <w:rPr>
          <w:rtl w:val="true"/>
        </w:rPr>
        <w:t xml:space="preserve">, </w:t>
      </w:r>
      <w:r>
        <w:rPr>
          <w:rtl w:val="true"/>
        </w:rPr>
        <w:t>כך שיוכל לבצע בה את זממו מבלי שתוכל להתנגד למעשיו</w:t>
      </w:r>
      <w:r>
        <w:rPr>
          <w:rtl w:val="true"/>
        </w:rPr>
        <w:t xml:space="preserve">, </w:t>
      </w:r>
      <w:r>
        <w:rPr>
          <w:rtl w:val="true"/>
        </w:rPr>
        <w:t>אשר נעשו כולם לשם סיפוק וגירוי מיני</w:t>
      </w:r>
      <w:r>
        <w:rPr>
          <w:rtl w:val="true"/>
        </w:rPr>
        <w:t xml:space="preserve">. </w:t>
      </w:r>
      <w:r>
        <w:rPr>
          <w:rtl w:val="true"/>
        </w:rPr>
        <w:t>החומר הפעיל בתקופה שבה עשה המערער שימוש</w:t>
      </w:r>
      <w:r>
        <w:rPr>
          <w:rtl w:val="true"/>
        </w:rPr>
        <w:t xml:space="preserve">, </w:t>
      </w:r>
      <w:r>
        <w:rPr>
          <w:rtl w:val="true"/>
        </w:rPr>
        <w:t>הנו חזק וממכר</w:t>
      </w:r>
      <w:r>
        <w:rPr>
          <w:rtl w:val="true"/>
        </w:rPr>
        <w:t xml:space="preserve">, </w:t>
      </w:r>
      <w:r>
        <w:rPr>
          <w:rtl w:val="true"/>
        </w:rPr>
        <w:t>עם פוטנציאל רב לגרום תלות פיזית ופיזיולוגית</w:t>
      </w:r>
      <w:r>
        <w:rPr>
          <w:rtl w:val="true"/>
        </w:rPr>
        <w:t xml:space="preserve">. </w:t>
      </w:r>
      <w:r>
        <w:rPr>
          <w:rtl w:val="true"/>
        </w:rPr>
        <w:t>התרופה משמשת בעיקר לטיפול קצר טווח במצב של חוסר שינה וחרדה</w:t>
      </w:r>
      <w:r>
        <w:rPr>
          <w:rtl w:val="true"/>
        </w:rPr>
        <w:t xml:space="preserve">; </w:t>
      </w:r>
      <w:r>
        <w:rPr>
          <w:rtl w:val="true"/>
        </w:rPr>
        <w:t>והשפעתה עלולה להתבטא בחולשה</w:t>
      </w:r>
      <w:r>
        <w:rPr>
          <w:rtl w:val="true"/>
        </w:rPr>
        <w:t xml:space="preserve">, </w:t>
      </w:r>
      <w:r>
        <w:rPr>
          <w:rtl w:val="true"/>
        </w:rPr>
        <w:t>נמנום</w:t>
      </w:r>
      <w:r>
        <w:rPr>
          <w:rtl w:val="true"/>
        </w:rPr>
        <w:t xml:space="preserve">, </w:t>
      </w:r>
      <w:r>
        <w:rPr>
          <w:rtl w:val="true"/>
        </w:rPr>
        <w:t>בלבול נפשי</w:t>
      </w:r>
      <w:r>
        <w:rPr>
          <w:rtl w:val="true"/>
        </w:rPr>
        <w:t xml:space="preserve">, </w:t>
      </w:r>
      <w:r>
        <w:rPr>
          <w:rtl w:val="true"/>
        </w:rPr>
        <w:t>ירידת לחץ דם</w:t>
      </w:r>
      <w:r>
        <w:rPr>
          <w:rtl w:val="true"/>
        </w:rPr>
        <w:t xml:space="preserve">, </w:t>
      </w:r>
      <w:r>
        <w:rPr>
          <w:rtl w:val="true"/>
        </w:rPr>
        <w:t>הפרעות נשימה ואף להביא לכדי תרדמת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המגונים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, </w:t>
      </w:r>
      <w:r>
        <w:rPr>
          <w:rtl w:val="true"/>
        </w:rPr>
        <w:t>לצפייה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פורנוגרפיה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;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האינטימיים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", </w:t>
      </w:r>
      <w:r>
        <w:rPr>
          <w:rtl w:val="true"/>
        </w:rPr>
        <w:t>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לשאלתו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tl w:val="true"/>
        </w:rPr>
        <w:t>-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מועדים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משאכלה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הסלט</w:t>
      </w:r>
      <w:r>
        <w:rPr>
          <w:rtl w:val="true"/>
        </w:rPr>
        <w:t xml:space="preserve">, </w:t>
      </w:r>
      <w:r>
        <w:rPr>
          <w:rtl w:val="true"/>
        </w:rPr>
        <w:t>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בסחרחורות</w:t>
      </w:r>
      <w:r>
        <w:rPr>
          <w:rtl w:val="true"/>
        </w:rPr>
        <w:t xml:space="preserve">, </w:t>
      </w:r>
      <w:r>
        <w:rPr>
          <w:rtl w:val="true"/>
        </w:rPr>
        <w:t>בעייפות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ובבחילות</w:t>
      </w:r>
      <w:r>
        <w:rPr>
          <w:rtl w:val="true"/>
        </w:rPr>
        <w:t xml:space="preserve">, </w:t>
      </w:r>
      <w:r>
        <w:rPr>
          <w:rtl w:val="true"/>
        </w:rPr>
        <w:t>שלעתים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להקאות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ובהשפעת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התרופה</w:t>
      </w:r>
      <w:r>
        <w:rPr>
          <w:rtl w:val="true"/>
        </w:rPr>
        <w:t xml:space="preserve">, </w:t>
      </w:r>
      <w:r>
        <w:rPr>
          <w:rtl w:val="true"/>
        </w:rPr>
        <w:t>נהגה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ולבצע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רדומה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התחתונים</w:t>
      </w:r>
      <w:r>
        <w:rPr>
          <w:rtl w:val="true"/>
        </w:rPr>
        <w:t xml:space="preserve">, </w:t>
      </w:r>
      <w:r>
        <w:rPr>
          <w:rtl w:val="true"/>
        </w:rPr>
        <w:t>הפשיל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הסתיימו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מעליה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ומגעילים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בשפתיה</w:t>
      </w:r>
      <w:r>
        <w:rPr>
          <w:rtl w:val="true"/>
        </w:rPr>
        <w:t xml:space="preserve">, </w:t>
      </w:r>
      <w:r>
        <w:rPr>
          <w:rtl w:val="true"/>
        </w:rPr>
        <w:t>וליטף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לבגדיה</w:t>
      </w:r>
      <w:r>
        <w:rPr>
          <w:rtl w:val="true"/>
        </w:rPr>
        <w:t xml:space="preserve">.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 xml:space="preserve">, </w:t>
      </w:r>
      <w:r>
        <w:rPr>
          <w:rtl w:val="true"/>
        </w:rPr>
        <w:t>כשהמתלוננת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ועזבה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מועדים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שישנה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התרופה</w:t>
      </w:r>
      <w:r>
        <w:rPr>
          <w:rtl w:val="true"/>
        </w:rPr>
        <w:t xml:space="preserve">, </w:t>
      </w:r>
      <w:r>
        <w:rPr>
          <w:rtl w:val="true"/>
        </w:rPr>
        <w:t>וביצע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6.8.2008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>, "</w:t>
      </w:r>
      <w:r>
        <w:rPr>
          <w:rtl w:val="true"/>
        </w:rPr>
        <w:t>הציץ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האמבטיה</w:t>
      </w:r>
      <w:r>
        <w:rPr>
          <w:rtl w:val="true"/>
        </w:rPr>
        <w:t xml:space="preserve">, </w:t>
      </w:r>
      <w:r>
        <w:rPr>
          <w:rtl w:val="true"/>
        </w:rPr>
        <w:t>וצילם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עירומה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ידיעתה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6.8.2008</w:t>
      </w:r>
      <w:r>
        <w:rPr>
          <w:rtl w:val="true"/>
        </w:rPr>
        <w:t xml:space="preserve">, </w:t>
      </w:r>
      <w:r>
        <w:rPr>
          <w:rtl w:val="true"/>
        </w:rPr>
        <w:t>הזהירה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עובר לגזר הדין הוגש לעיונו של בית משפט קמא תסקיר מטעם שירות המבחן למבוגרים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 נכתב כי לחובת המערער שתי הרשעות קודמות</w:t>
      </w:r>
      <w:r>
        <w:rPr>
          <w:rtl w:val="true"/>
        </w:rPr>
        <w:t xml:space="preserve">: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 xml:space="preserve">משנת 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 xml:space="preserve">בגדרה הורשע המערער בביצוע מעשים מגונים באישה אחרת </w:t>
      </w:r>
      <w:r>
        <w:rPr>
          <w:rtl w:val="true"/>
        </w:rPr>
        <w:t>(</w:t>
      </w:r>
      <w:r>
        <w:rPr>
          <w:rtl w:val="true"/>
        </w:rPr>
        <w:t>להם הוא מתכחש עד היום</w:t>
      </w:r>
      <w:r>
        <w:rPr>
          <w:rtl w:val="true"/>
        </w:rPr>
        <w:t xml:space="preserve">); </w:t>
      </w:r>
      <w:r>
        <w:rPr>
          <w:rtl w:val="true"/>
        </w:rPr>
        <w:t>והשנייה</w:t>
      </w:r>
      <w:r>
        <w:rPr>
          <w:rtl w:val="true"/>
        </w:rPr>
        <w:t xml:space="preserve">, </w:t>
      </w:r>
      <w:r>
        <w:rPr>
          <w:rtl w:val="true"/>
        </w:rPr>
        <w:t xml:space="preserve">משנת </w:t>
      </w:r>
      <w:r>
        <w:rPr/>
        <w:t>1992</w:t>
      </w:r>
      <w:r>
        <w:rPr>
          <w:rtl w:val="true"/>
        </w:rPr>
        <w:t xml:space="preserve">, </w:t>
      </w:r>
      <w:r>
        <w:rPr>
          <w:rtl w:val="true"/>
        </w:rPr>
        <w:t>בגדרה הורשע בביצוע מספר עבירות רכוש ומרמה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שירות המבחן התרשם כי המערער נטל אחריות </w:t>
      </w:r>
      <w:r>
        <w:rPr>
          <w:rtl w:val="true"/>
        </w:rPr>
        <w:t>"</w:t>
      </w:r>
      <w:r>
        <w:rPr>
          <w:rtl w:val="true"/>
        </w:rPr>
        <w:t>חלקית ופורמאלית</w:t>
      </w:r>
      <w:r>
        <w:rPr>
          <w:rtl w:val="true"/>
        </w:rPr>
        <w:t xml:space="preserve">" </w:t>
      </w:r>
      <w:r>
        <w:rPr>
          <w:rtl w:val="true"/>
        </w:rPr>
        <w:t>על מעשיו</w:t>
      </w:r>
      <w:r>
        <w:rPr>
          <w:rtl w:val="true"/>
        </w:rPr>
        <w:t xml:space="preserve">; </w:t>
      </w:r>
      <w:r>
        <w:rPr>
          <w:rtl w:val="true"/>
        </w:rPr>
        <w:t>נטה למזער את חומרתם</w:t>
      </w:r>
      <w:r>
        <w:rPr>
          <w:rtl w:val="true"/>
        </w:rPr>
        <w:t xml:space="preserve">; </w:t>
      </w:r>
      <w:r>
        <w:rPr>
          <w:rtl w:val="true"/>
        </w:rPr>
        <w:t xml:space="preserve">נטה </w:t>
      </w:r>
      <w:r>
        <w:rPr>
          <w:rtl w:val="true"/>
        </w:rPr>
        <w:t>"</w:t>
      </w:r>
      <w:r>
        <w:rPr>
          <w:rtl w:val="true"/>
        </w:rPr>
        <w:t>להאשים</w:t>
      </w:r>
      <w:r>
        <w:rPr>
          <w:rtl w:val="true"/>
        </w:rPr>
        <w:t xml:space="preserve">" </w:t>
      </w:r>
      <w:r>
        <w:rPr>
          <w:rtl w:val="true"/>
        </w:rPr>
        <w:t>את המתלוננת בכך ש</w:t>
      </w:r>
      <w:r>
        <w:rPr>
          <w:rtl w:val="true"/>
        </w:rPr>
        <w:t>"</w:t>
      </w:r>
      <w:r>
        <w:rPr>
          <w:rtl w:val="true"/>
        </w:rPr>
        <w:t>התנהגותה הפרובוקטיבית</w:t>
      </w:r>
      <w:r>
        <w:rPr>
          <w:rtl w:val="true"/>
        </w:rPr>
        <w:t xml:space="preserve">" </w:t>
      </w:r>
      <w:r>
        <w:rPr>
          <w:rtl w:val="true"/>
        </w:rPr>
        <w:t>ולבושהּ ה</w:t>
      </w:r>
      <w:r>
        <w:rPr>
          <w:rtl w:val="true"/>
        </w:rPr>
        <w:t>"</w:t>
      </w:r>
      <w:r>
        <w:rPr>
          <w:rtl w:val="true"/>
        </w:rPr>
        <w:t>לא צנוע</w:t>
      </w:r>
      <w:r>
        <w:rPr>
          <w:rtl w:val="true"/>
        </w:rPr>
        <w:t xml:space="preserve">" </w:t>
      </w:r>
      <w:r>
        <w:rPr>
          <w:rtl w:val="true"/>
        </w:rPr>
        <w:t xml:space="preserve">הביאו אותו </w:t>
      </w:r>
      <w:r>
        <w:rPr>
          <w:rtl w:val="true"/>
        </w:rPr>
        <w:t>"</w:t>
      </w:r>
      <w:r>
        <w:rPr>
          <w:rtl w:val="true"/>
        </w:rPr>
        <w:t>לעוררות מינית</w:t>
      </w:r>
      <w:r>
        <w:rPr>
          <w:rtl w:val="true"/>
        </w:rPr>
        <w:t xml:space="preserve">, </w:t>
      </w:r>
      <w:r>
        <w:rPr>
          <w:rtl w:val="true"/>
        </w:rPr>
        <w:t>עמה לא הצליח להתמודד</w:t>
      </w:r>
      <w:r>
        <w:rPr>
          <w:rtl w:val="true"/>
        </w:rPr>
        <w:t xml:space="preserve">", </w:t>
      </w:r>
      <w:r>
        <w:rPr>
          <w:rtl w:val="true"/>
        </w:rPr>
        <w:t>וכי פנייתו של המערער לטיפול והצער שהביע על מעשיו נבעו מהחשש מפני ההליך הפלילי</w:t>
      </w:r>
      <w:r>
        <w:rPr>
          <w:rtl w:val="true"/>
        </w:rPr>
        <w:t xml:space="preserve">, </w:t>
      </w:r>
      <w:r>
        <w:rPr>
          <w:rtl w:val="true"/>
        </w:rPr>
        <w:t>ואינם מבטאים מוטיבציה כנה מצדו לשיקום ולטיפול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ומותאמות</w:t>
      </w:r>
      <w:r>
        <w:rPr>
          <w:rtl w:val="true"/>
        </w:rPr>
        <w:t xml:space="preserve">" </w:t>
      </w:r>
      <w:r>
        <w:rPr>
          <w:rtl w:val="true"/>
        </w:rPr>
        <w:t>ופועל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" </w:t>
      </w:r>
      <w:r>
        <w:rPr>
          <w:rtl w:val="true"/>
        </w:rPr>
        <w:t>כדרך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שיטתיים</w:t>
      </w:r>
      <w:r>
        <w:rPr>
          <w:rtl w:val="true"/>
        </w:rPr>
        <w:t xml:space="preserve">, </w:t>
      </w:r>
      <w:r>
        <w:rPr>
          <w:rtl w:val="true"/>
        </w:rPr>
        <w:t>מתוחכמים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"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הפוגעניים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ולהשלכותיהן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הניח בפני בית המשפט חוות דעת פסיכולוגית מטעם ד</w:t>
      </w:r>
      <w:r>
        <w:rPr>
          <w:rtl w:val="true"/>
        </w:rPr>
        <w:t>"</w:t>
      </w:r>
      <w:r>
        <w:rPr>
          <w:rtl w:val="true"/>
        </w:rPr>
        <w:t>ר ליזה צבי</w:t>
      </w:r>
      <w:r>
        <w:rPr>
          <w:rtl w:val="true"/>
        </w:rPr>
        <w:t xml:space="preserve">. </w:t>
      </w:r>
      <w:r>
        <w:rPr>
          <w:rtl w:val="true"/>
        </w:rPr>
        <w:t>בחוות הדעת צוינה טענת המערער כי עבר התעללות מינית בילדותו</w:t>
      </w:r>
      <w:r>
        <w:rPr>
          <w:rtl w:val="true"/>
        </w:rPr>
        <w:t xml:space="preserve">, </w:t>
      </w:r>
      <w:r>
        <w:rPr>
          <w:rtl w:val="true"/>
        </w:rPr>
        <w:t>והומלץ לשלבו בטיפול קבוצתי ובטיפול פסיכו</w:t>
      </w:r>
      <w:r>
        <w:rPr>
          <w:rtl w:val="true"/>
        </w:rPr>
        <w:t>-</w:t>
      </w:r>
      <w:r>
        <w:rPr>
          <w:rtl w:val="true"/>
        </w:rPr>
        <w:t>חינוכי</w:t>
      </w:r>
      <w:r>
        <w:rPr>
          <w:rtl w:val="true"/>
        </w:rPr>
        <w:t xml:space="preserve">, </w:t>
      </w:r>
      <w:r>
        <w:rPr>
          <w:rtl w:val="true"/>
        </w:rPr>
        <w:t xml:space="preserve">וזאת בהסתמך על </w:t>
      </w:r>
      <w:r>
        <w:rPr>
          <w:rtl w:val="true"/>
        </w:rPr>
        <w:t xml:space="preserve">ספרות מקצועית המצביעה על </w:t>
      </w:r>
      <w:r>
        <w:rPr>
          <w:rtl w:val="true"/>
        </w:rPr>
        <w:t>כך ש</w:t>
      </w:r>
      <w:r>
        <w:rPr>
          <w:rtl w:val="true"/>
        </w:rPr>
        <w:t>"</w:t>
      </w:r>
      <w:r>
        <w:rPr>
          <w:rtl w:val="true"/>
        </w:rPr>
        <w:t xml:space="preserve">ילדים שהיו קורבן לניצול מיני עשויים לפתח </w:t>
      </w:r>
      <w:r>
        <w:rPr>
          <w:rtl w:val="true"/>
        </w:rPr>
        <w:t xml:space="preserve">[...] </w:t>
      </w:r>
      <w:r>
        <w:rPr>
          <w:rtl w:val="true"/>
        </w:rPr>
        <w:t>התנהגויות מיניות פוגעניות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לבית משפט קמא הוגש גם </w:t>
      </w:r>
      <w:r>
        <w:rPr>
          <w:rtl w:val="true"/>
        </w:rPr>
        <w:t>"</w:t>
      </w:r>
      <w:r>
        <w:rPr>
          <w:rtl w:val="true"/>
        </w:rPr>
        <w:t>תסקיר נפגע עבירה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שהתייחס בפירוט רב למצב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 xml:space="preserve">הנוכחי </w:t>
      </w:r>
      <w:r>
        <w:rPr>
          <w:rtl w:val="true"/>
        </w:rPr>
        <w:t xml:space="preserve">של </w:t>
      </w:r>
      <w:r>
        <w:rPr>
          <w:rtl w:val="true"/>
        </w:rPr>
        <w:t>המתלוננת ולהשלכות מעשיו של המערער על חייה</w:t>
      </w:r>
      <w:r>
        <w:rPr>
          <w:rtl w:val="true"/>
        </w:rPr>
        <w:t xml:space="preserve">. </w:t>
      </w:r>
      <w:r>
        <w:rPr>
          <w:rtl w:val="true"/>
        </w:rPr>
        <w:t>מפאת צנעת הפרט</w:t>
      </w:r>
      <w:r>
        <w:rPr>
          <w:rtl w:val="true"/>
        </w:rPr>
        <w:t xml:space="preserve"> </w:t>
      </w:r>
      <w:r>
        <w:rPr>
          <w:rtl w:val="true"/>
        </w:rPr>
        <w:t xml:space="preserve">ייאמר רק כי </w:t>
      </w:r>
      <w:r>
        <w:rPr>
          <w:rtl w:val="true"/>
        </w:rPr>
        <w:t>על פי האמור בתסקיר</w:t>
      </w:r>
      <w:r>
        <w:rPr>
          <w:rtl w:val="true"/>
        </w:rPr>
        <w:t xml:space="preserve">, </w:t>
      </w:r>
      <w:r>
        <w:rPr>
          <w:rtl w:val="true"/>
        </w:rPr>
        <w:t>למתלוננת נגרם נזק קשה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 משפיע באופן מתמשך על מצבה ה</w:t>
      </w:r>
      <w:r>
        <w:rPr>
          <w:rtl w:val="true"/>
        </w:rPr>
        <w:t>נפשי ו</w:t>
      </w:r>
      <w:r>
        <w:rPr>
          <w:rtl w:val="true"/>
        </w:rPr>
        <w:t xml:space="preserve">על </w:t>
      </w:r>
      <w:r>
        <w:rPr>
          <w:rtl w:val="true"/>
        </w:rPr>
        <w:t>תפקוד</w:t>
      </w:r>
      <w:r>
        <w:rPr>
          <w:rtl w:val="true"/>
        </w:rPr>
        <w:t>ה היומיומי</w:t>
      </w:r>
      <w:r>
        <w:rPr>
          <w:rtl w:val="true"/>
        </w:rPr>
        <w:t xml:space="preserve"> </w:t>
      </w:r>
      <w:r>
        <w:rPr>
          <w:rtl w:val="true"/>
        </w:rPr>
        <w:t>במגוון רחב של היבטים</w:t>
      </w:r>
      <w:r>
        <w:rPr>
          <w:rtl w:val="true"/>
        </w:rPr>
        <w:t xml:space="preserve">. </w:t>
      </w:r>
      <w:r>
        <w:rPr>
          <w:rtl w:val="true"/>
        </w:rPr>
        <w:t>עוד עולה מהתסקיר כי הפגיעה במתלוננת הובילה להפרעות אכילה ומחשבות אובדניות שבעקבותיהן אף ניסתה לשים קץ לחייה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צוין כי המתלוננת החליטה לחשוף את מעשיו של המערער מחשש כי יפגע בעתיד בנשים ונערות אחרות</w:t>
      </w:r>
      <w:r>
        <w:rPr>
          <w:rtl w:val="true"/>
        </w:rPr>
        <w:t xml:space="preserve">. </w:t>
      </w:r>
      <w:r>
        <w:rPr>
          <w:rtl w:val="true"/>
        </w:rPr>
        <w:t xml:space="preserve">על רקע </w:t>
      </w:r>
      <w:r>
        <w:rPr>
          <w:rtl w:val="true"/>
        </w:rPr>
        <w:t>"</w:t>
      </w:r>
      <w:r>
        <w:rPr>
          <w:rtl w:val="true"/>
        </w:rPr>
        <w:t>עומק הפגיעות</w:t>
      </w:r>
      <w:r>
        <w:rPr>
          <w:rtl w:val="true"/>
        </w:rPr>
        <w:t xml:space="preserve">" </w:t>
      </w:r>
      <w:r>
        <w:rPr>
          <w:rtl w:val="true"/>
        </w:rPr>
        <w:t>בה</w:t>
      </w:r>
      <w:r>
        <w:rPr>
          <w:rtl w:val="true"/>
        </w:rPr>
        <w:t xml:space="preserve">; </w:t>
      </w:r>
      <w:r>
        <w:rPr>
          <w:rtl w:val="true"/>
        </w:rPr>
        <w:t>הצורך שלה בהכרה בנזקים שנגרמו לה</w:t>
      </w:r>
      <w:r>
        <w:rPr>
          <w:rtl w:val="true"/>
        </w:rPr>
        <w:t xml:space="preserve">; </w:t>
      </w:r>
      <w:r>
        <w:rPr>
          <w:rtl w:val="true"/>
        </w:rPr>
        <w:t xml:space="preserve">והערכת עורכת התסקיר את </w:t>
      </w:r>
      <w:r>
        <w:rPr>
          <w:rtl w:val="true"/>
        </w:rPr>
        <w:t>"</w:t>
      </w:r>
      <w:r>
        <w:rPr>
          <w:rtl w:val="true"/>
        </w:rPr>
        <w:t>הדרך השיקומית הארוכה</w:t>
      </w:r>
      <w:r>
        <w:rPr>
          <w:rtl w:val="true"/>
        </w:rPr>
        <w:t xml:space="preserve">" </w:t>
      </w:r>
      <w:r>
        <w:rPr>
          <w:rtl w:val="true"/>
        </w:rPr>
        <w:t>שעומדת בפניה</w:t>
      </w:r>
      <w:r>
        <w:rPr>
          <w:rtl w:val="true"/>
        </w:rPr>
        <w:t xml:space="preserve">, </w:t>
      </w:r>
      <w:r>
        <w:rPr>
          <w:rtl w:val="true"/>
        </w:rPr>
        <w:t>הומלץ בתסקיר לחייב את המערער בפיצוי כספי משמעותי לטובתה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דינו קבע בית משפט קמא שני מתחמי ענישה נפרדים בגין עבירות המין ועבירות הפגיעה בפרטיות מושא כתב האישום</w:t>
      </w:r>
      <w:r>
        <w:rPr>
          <w:rtl w:val="true"/>
        </w:rPr>
        <w:t xml:space="preserve">, </w:t>
      </w:r>
      <w:r>
        <w:rPr>
          <w:rtl w:val="true"/>
        </w:rPr>
        <w:t>ולאחר מכן הטיל על המערער עונש אחד כולל בגין העבירות כולן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וכבודו</w:t>
      </w:r>
      <w:r>
        <w:rPr>
          <w:rtl w:val="true"/>
        </w:rPr>
        <w:t xml:space="preserve">" </w:t>
      </w:r>
      <w:r>
        <w:rPr>
          <w:rtl w:val="true"/>
        </w:rPr>
        <w:t>ובערך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", </w:t>
      </w:r>
      <w:r>
        <w:rPr>
          <w:rtl w:val="true"/>
        </w:rPr>
        <w:t>בציינו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החורג</w:t>
      </w:r>
      <w:r>
        <w:rPr>
          <w:rtl w:val="true"/>
        </w:rPr>
        <w:t xml:space="preserve">;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ערמה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ומניפולציה</w:t>
      </w:r>
      <w:r>
        <w:rPr>
          <w:rtl w:val="true"/>
        </w:rPr>
        <w:t xml:space="preserve">" </w:t>
      </w:r>
      <w:r>
        <w:rPr>
          <w:rtl w:val="true"/>
        </w:rPr>
        <w:t>והבאת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טשטוש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חושים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מורדם</w:t>
      </w:r>
      <w:r>
        <w:rPr>
          <w:rtl w:val="true"/>
        </w:rPr>
        <w:t xml:space="preserve">,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חפץ</w:t>
      </w:r>
      <w:r>
        <w:rPr>
          <w:rtl w:val="true"/>
        </w:rPr>
        <w:t xml:space="preserve">'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",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" </w:t>
      </w:r>
      <w:r>
        <w:rPr>
          <w:rtl w:val="true"/>
        </w:rPr>
        <w:t>ע</w:t>
      </w:r>
      <w:r>
        <w:rPr>
          <w:rtl w:val="true"/>
        </w:rPr>
        <w:t>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הכישלון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בהרתעתו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; </w:t>
      </w:r>
      <w:r>
        <w:rPr>
          <w:rtl w:val="true"/>
        </w:rPr>
        <w:t>החרטה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; </w:t>
      </w:r>
      <w:r>
        <w:rPr>
          <w:rtl w:val="true"/>
        </w:rPr>
        <w:t>הרצון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המערער טוען בערעורו כי בית משפט קמא קבע את מתחם הענישה לעבירות המין שביצע באופן שגוי ותוך סטייה מהוראות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נטען כי בית המשפט שגה בכך שבמסגרת קביעת מתחם הענישה הביא בחשבון את עונשי המאסר המרביים הקבועים בחוק בגין העבירות שבהן הורשע המערער</w:t>
      </w:r>
      <w:r>
        <w:rPr>
          <w:rtl w:val="true"/>
        </w:rPr>
        <w:t xml:space="preserve">. </w:t>
      </w:r>
      <w:r>
        <w:rPr>
          <w:rtl w:val="true"/>
        </w:rPr>
        <w:t>עוד נטען כי בית משפט קמא ייחס למעשיו של המערער חומרה מופרזת</w:t>
      </w:r>
      <w:r>
        <w:rPr>
          <w:rtl w:val="true"/>
        </w:rPr>
        <w:t xml:space="preserve">, </w:t>
      </w:r>
      <w:r>
        <w:rPr>
          <w:rtl w:val="true"/>
        </w:rPr>
        <w:t>ושגה בקביעתו כי מעשיו חמורים מביצוע עבירות מין תוך שימוש באלימות פיזית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מוסיף ומעלה בערעורו טענות בדבר האופן שבו גזר בית משפט קמא את עונשו בתוך מתחם העונש ההולם את מעשיו</w:t>
      </w:r>
      <w:r>
        <w:rPr>
          <w:rtl w:val="true"/>
        </w:rPr>
        <w:t xml:space="preserve">. </w:t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>נטען כי בית המשפט שגה בכך ששקל לחומרא את הכישלון בהרתעתו של המערער מביצוע עבירות מין</w:t>
      </w:r>
      <w:r>
        <w:rPr>
          <w:rtl w:val="true"/>
        </w:rPr>
        <w:t xml:space="preserve">, </w:t>
      </w:r>
      <w:r>
        <w:rPr>
          <w:rtl w:val="true"/>
        </w:rPr>
        <w:t xml:space="preserve">וזאת מאחר שהעונש שהושת עליו בגין הרשעתו הקודמת בביצוע מעשים מגונים לא כלל </w:t>
      </w:r>
      <w:r>
        <w:rPr>
          <w:rtl w:val="true"/>
        </w:rPr>
        <w:t>"</w:t>
      </w:r>
      <w:r>
        <w:rPr>
          <w:rtl w:val="true"/>
        </w:rPr>
        <w:t>אלמנט טיפולי</w:t>
      </w:r>
      <w:r>
        <w:rPr>
          <w:rtl w:val="true"/>
        </w:rPr>
        <w:t xml:space="preserve">", </w:t>
      </w:r>
      <w:r>
        <w:rPr>
          <w:rtl w:val="true"/>
        </w:rPr>
        <w:t>כהגדרתו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מן הדין היה להקל בעונשו לנוכח מכלול נסיבות העניין</w:t>
      </w:r>
      <w:r>
        <w:rPr>
          <w:rtl w:val="true"/>
        </w:rPr>
        <w:t xml:space="preserve">, </w:t>
      </w:r>
      <w:r>
        <w:rPr>
          <w:rtl w:val="true"/>
        </w:rPr>
        <w:t>ובכללן חוות הדעת הפסיכולוגית שהגיש והפגיעות המיניות שחווה בילדותו</w:t>
      </w:r>
      <w:r>
        <w:rPr>
          <w:rtl w:val="true"/>
        </w:rPr>
        <w:t xml:space="preserve">; </w:t>
      </w:r>
      <w:r>
        <w:rPr>
          <w:rtl w:val="true"/>
        </w:rPr>
        <w:t>הודאתו במעשים</w:t>
      </w:r>
      <w:r>
        <w:rPr>
          <w:rtl w:val="true"/>
        </w:rPr>
        <w:t xml:space="preserve">; </w:t>
      </w:r>
      <w:r>
        <w:rPr>
          <w:rtl w:val="true"/>
        </w:rPr>
        <w:t>חלוף הזמן ממועד ביצוע העבירות ועד למועד הגשת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במהלכו </w:t>
      </w:r>
      <w:r>
        <w:rPr>
          <w:rtl w:val="true"/>
        </w:rPr>
        <w:t>"</w:t>
      </w:r>
      <w:r>
        <w:rPr>
          <w:rtl w:val="true"/>
        </w:rPr>
        <w:t>לא פגע ואין טענה שפגע במתלוננת</w:t>
      </w:r>
      <w:r>
        <w:rPr>
          <w:rtl w:val="true"/>
        </w:rPr>
        <w:t xml:space="preserve">"; </w:t>
      </w:r>
      <w:r>
        <w:rPr>
          <w:rtl w:val="true"/>
        </w:rPr>
        <w:t xml:space="preserve">התרשמותו של שירות המבחן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מסגרת ה</w:t>
      </w:r>
      <w:r>
        <w:rPr>
          <w:rtl w:val="true"/>
        </w:rPr>
        <w:t xml:space="preserve">תסקיר המשלים שהוגש לקראת הדיון </w:t>
      </w:r>
      <w:r>
        <w:rPr>
          <w:rtl w:val="true"/>
        </w:rPr>
        <w:t xml:space="preserve">לפנינו </w:t>
      </w:r>
      <w:r>
        <w:rPr>
          <w:rtl w:val="true"/>
        </w:rPr>
        <w:t>–</w:t>
      </w:r>
      <w:r>
        <w:rPr>
          <w:rtl w:val="true"/>
        </w:rPr>
        <w:t xml:space="preserve"> כי הוא מפגין מידת מה של אמפתיה כלפי המתלוננת</w:t>
      </w:r>
      <w:r>
        <w:rPr>
          <w:rtl w:val="true"/>
        </w:rPr>
        <w:t xml:space="preserve">; </w:t>
      </w:r>
      <w:r>
        <w:rPr>
          <w:rtl w:val="true"/>
        </w:rPr>
        <w:t>וכן נכונותו להשתתף בתכניות שיקום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סומכת את ידיה על גזר דינו של בית משפט קמא וטוענת כי העונש שנגזר על המערער הולם את חומרת מעשיו ואת משך ביצועם</w:t>
      </w:r>
      <w:r>
        <w:rPr>
          <w:rtl w:val="true"/>
        </w:rPr>
        <w:t xml:space="preserve">. </w:t>
      </w:r>
      <w:r>
        <w:rPr>
          <w:rtl w:val="true"/>
        </w:rPr>
        <w:t>בהקשר זה מדגישה המשיבה את ההסלמה באופי פעולותיו של המערער</w:t>
      </w:r>
      <w:r>
        <w:rPr>
          <w:rtl w:val="true"/>
        </w:rPr>
        <w:t xml:space="preserve">, </w:t>
      </w:r>
      <w:r>
        <w:rPr>
          <w:rtl w:val="true"/>
        </w:rPr>
        <w:t>אשר החלו בפגיעה בפרטיותה של המתלוננת והגיעו לכדי אינוס</w:t>
      </w:r>
      <w:r>
        <w:rPr>
          <w:rtl w:val="true"/>
        </w:rPr>
        <w:t xml:space="preserve">, </w:t>
      </w:r>
      <w:r>
        <w:rPr>
          <w:rtl w:val="true"/>
        </w:rPr>
        <w:t>מעשי סדום ומעשים מגונים אשר בוצעו במתלוננת באופן שיטתי</w:t>
      </w:r>
      <w:r>
        <w:rPr>
          <w:rtl w:val="true"/>
        </w:rPr>
        <w:t xml:space="preserve">, </w:t>
      </w:r>
      <w:r>
        <w:rPr>
          <w:rtl w:val="true"/>
        </w:rPr>
        <w:t>תוך ניצול מעמדו של המערער כאביה החורג והחדרת תרופה מרדימה למזון שהכין עבורה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דין הערעור 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אין דרכה של ערכאת הערעור להתערב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בחומרת העונש שקבעה הערכאה הדיונית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אלא במקרים חריגים שבהם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נפלה טעות מהותית ובולטת בגזר הדין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או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כאשר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העונש שהוטל חורג באופן קיצוני מהענישה המקובלת במקרים דומים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sz w:val="28"/>
          <w:sz w:val="28"/>
          <w:rtl w:val="true"/>
        </w:rPr>
        <w:t xml:space="preserve">ראו למשל </w:t>
      </w:r>
      <w:hyperlink r:id="rId3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6807/17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Fonts w:cs="Century" w:ascii="Century" w:hAnsi="Century"/>
          <w:sz w:val="22"/>
        </w:rPr>
        <w:t>24</w:t>
      </w:r>
      <w:r>
        <w:rPr>
          <w:rFonts w:cs="Century" w:ascii="Century" w:hAnsi="Century"/>
          <w:sz w:val="22"/>
        </w:rPr>
        <w:t>.4.2018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עניינו של המערער אינו נמנה עם אותם מקרים חריגים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לא מצאנו פגם בגזר דינו של בית משפט קמא ואיננו סבורים כי בית המשפט שגה בשיקוליו לקביעת מתחם העונש ההולם את מעשיו של 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התייחסותו של בית המשפט לעונש המרבי הקבוע בצד העבירות מושא כתב האישום נועדה לתאר את חומרתן העקרונית</w:t>
      </w:r>
      <w:r>
        <w:rPr>
          <w:rtl w:val="true"/>
        </w:rPr>
        <w:t xml:space="preserve">, </w:t>
      </w:r>
      <w:r>
        <w:rPr>
          <w:rtl w:val="true"/>
        </w:rPr>
        <w:t>ולשמש נקודת מוצא לקביעת מתחם הענישה</w:t>
      </w:r>
      <w:r>
        <w:rPr>
          <w:rtl w:val="true"/>
        </w:rPr>
        <w:t xml:space="preserve">. </w:t>
      </w:r>
      <w:r>
        <w:rPr>
          <w:rtl w:val="true"/>
        </w:rPr>
        <w:t xml:space="preserve">הדבר עולה בקנה אחד עם הוראות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ומתיישב עם פסיקתו של בית משפט זה באשר ליישומן</w:t>
      </w:r>
      <w:r>
        <w:rPr>
          <w:rtl w:val="true"/>
        </w:rPr>
        <w:t xml:space="preserve">, </w:t>
      </w:r>
      <w:r>
        <w:rPr>
          <w:rtl w:val="true"/>
        </w:rPr>
        <w:t xml:space="preserve">ויפים לעניין זה דבריו של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רובינשטיין</w:t>
      </w:r>
      <w:r>
        <w:rPr>
          <w:rtl w:val="true"/>
        </w:rPr>
        <w:t xml:space="preserve"> בעניין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סעד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ab/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קבע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המחוקק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עונש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מירבי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ויחסן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לעונש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מירבי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", </w:t>
      </w:r>
      <w:r>
        <w:rPr>
          <w:rtl w:val="true"/>
        </w:rPr>
        <w:t>והנה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הגיאומטרי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" (</w:t>
      </w:r>
      <w:hyperlink r:id="rId33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8641/12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יח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5.8.2013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ההדגשות אינן מופיעות במקור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לאחר עיון בערעור על נספחיו ובחינת מכלול נסיבות העניין</w:t>
      </w:r>
      <w:r>
        <w:rPr>
          <w:rtl w:val="true"/>
        </w:rPr>
        <w:t xml:space="preserve">, </w:t>
      </w:r>
      <w:r>
        <w:rPr>
          <w:rtl w:val="true"/>
        </w:rPr>
        <w:t>נחה דעתנו כי העונש שנגזר על המערער הולם את חומרת מעשיו</w:t>
      </w:r>
      <w:r>
        <w:rPr>
          <w:rtl w:val="true"/>
        </w:rPr>
        <w:t xml:space="preserve">, </w:t>
      </w:r>
      <w:r>
        <w:rPr>
          <w:rtl w:val="true"/>
        </w:rPr>
        <w:t>ומבטא איזון ראוי בין מגוון השיקולים המתקיימים בעניינו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משפט זה עמד לא אחת בפסיקתו על החומרה היתרה הטמונה בעבירות מין</w:t>
      </w:r>
      <w:r>
        <w:rPr>
          <w:rtl w:val="true"/>
        </w:rPr>
        <w:t xml:space="preserve">, </w:t>
      </w:r>
      <w:r>
        <w:rPr>
          <w:rtl w:val="true"/>
        </w:rPr>
        <w:t xml:space="preserve">בהיותן עבירות אשר </w:t>
      </w:r>
      <w:r>
        <w:rPr>
          <w:rtl w:val="true"/>
        </w:rPr>
        <w:t>"</w:t>
      </w:r>
      <w:r>
        <w:rPr>
          <w:rtl w:val="true"/>
        </w:rPr>
        <w:t>לא רק פגיעה פיסית גלומה בהן</w:t>
      </w:r>
      <w:r>
        <w:rPr>
          <w:rtl w:val="true"/>
        </w:rPr>
        <w:t xml:space="preserve">, </w:t>
      </w:r>
      <w:r>
        <w:rPr>
          <w:rtl w:val="true"/>
        </w:rPr>
        <w:t>אלא גם פגיעה נפשית ורמיסת כבודה של הקורבן כאדם</w:t>
      </w:r>
      <w:r>
        <w:rPr>
          <w:rtl w:val="true"/>
        </w:rPr>
        <w:t>" 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701/06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/>
        <w:t>4.7.2007</w:t>
      </w:r>
      <w:r>
        <w:rPr>
          <w:rtl w:val="true"/>
        </w:rPr>
        <w:t xml:space="preserve">)). </w:t>
      </w:r>
      <w:r>
        <w:rPr>
          <w:rtl w:val="true"/>
        </w:rPr>
        <w:t>בפרט הודגשה חומרתן של עבירות מין המתבצעות בתוך משפחה</w:t>
      </w:r>
      <w:r>
        <w:rPr>
          <w:rtl w:val="true"/>
        </w:rPr>
        <w:t xml:space="preserve">, </w:t>
      </w:r>
      <w:r>
        <w:rPr>
          <w:rtl w:val="true"/>
        </w:rPr>
        <w:t>במסגרת אשר אמורה לספק לבני המשפחה הקטינים את מבצרם המוגן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בשל חומרה זו</w:t>
      </w:r>
      <w:r>
        <w:rPr>
          <w:rtl w:val="true"/>
        </w:rPr>
        <w:t xml:space="preserve">, </w:t>
      </w:r>
      <w:r>
        <w:rPr>
          <w:rtl w:val="true"/>
        </w:rPr>
        <w:t>קבעה הפסיקה כי יש ל</w:t>
      </w:r>
      <w:r>
        <w:rPr>
          <w:rtl w:val="true"/>
        </w:rPr>
        <w:t>נקוט במדיניות ענישה קשה</w:t>
      </w:r>
      <w:r>
        <w:rPr>
          <w:rtl w:val="true"/>
        </w:rPr>
        <w:t xml:space="preserve"> במיוחד עם עבירות מ</w:t>
      </w:r>
      <w:r>
        <w:rPr>
          <w:rtl w:val="true"/>
        </w:rPr>
        <w:t>ן ה</w:t>
      </w:r>
      <w:r>
        <w:rPr>
          <w:rtl w:val="true"/>
        </w:rPr>
        <w:t>סוג שביצע המערער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9058/16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(‏</w:t>
      </w:r>
      <w:r>
        <w:rPr/>
        <w:t>7.3.2018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מעשיו של המערער חמורים במיוחד</w:t>
      </w:r>
      <w:r>
        <w:rPr>
          <w:rtl w:val="true"/>
        </w:rPr>
        <w:t xml:space="preserve">. </w:t>
      </w:r>
      <w:r>
        <w:rPr>
          <w:rtl w:val="true"/>
        </w:rPr>
        <w:t>לאחר שגרם למתלוננת לחוש כי הוא מעוניין בטובתה וטיפח את דמותו בעיניה כמעין דמות אב</w:t>
      </w:r>
      <w:r>
        <w:rPr>
          <w:rtl w:val="true"/>
        </w:rPr>
        <w:t xml:space="preserve">, </w:t>
      </w:r>
      <w:r>
        <w:rPr>
          <w:rtl w:val="true"/>
        </w:rPr>
        <w:t xml:space="preserve">עשק ממנה את ילדותה ואת שנות נעוריה </w:t>
      </w:r>
      <w:r>
        <w:rPr>
          <w:rtl w:val="true"/>
        </w:rPr>
        <w:t>–</w:t>
      </w:r>
      <w:r>
        <w:rPr>
          <w:rtl w:val="true"/>
        </w:rPr>
        <w:t xml:space="preserve"> וגזר עליה חיים בצל ההשפלה והביזוי שהפגין כלפיה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העובדה כי המערער לא הפעיל </w:t>
      </w:r>
      <w:r>
        <w:rPr>
          <w:rtl w:val="true"/>
        </w:rPr>
        <w:t>"</w:t>
      </w:r>
      <w:r>
        <w:rPr>
          <w:rtl w:val="true"/>
        </w:rPr>
        <w:t>אלימות פיזית רגילה</w:t>
      </w:r>
      <w:r>
        <w:rPr>
          <w:rtl w:val="true"/>
        </w:rPr>
        <w:t xml:space="preserve">" </w:t>
      </w:r>
      <w:r>
        <w:rPr>
          <w:rtl w:val="true"/>
        </w:rPr>
        <w:t xml:space="preserve">אינה מורידה כהוא זה מחומרת מעשיו </w:t>
      </w:r>
      <w:r>
        <w:rPr>
          <w:rtl w:val="true"/>
        </w:rPr>
        <w:t>–</w:t>
      </w:r>
      <w:r>
        <w:rPr>
          <w:rtl w:val="true"/>
        </w:rPr>
        <w:t xml:space="preserve"> ואף להיפך</w:t>
      </w:r>
      <w:r>
        <w:rPr>
          <w:rtl w:val="true"/>
        </w:rPr>
        <w:t xml:space="preserve">: </w:t>
      </w:r>
      <w:r>
        <w:rPr>
          <w:rtl w:val="true"/>
        </w:rPr>
        <w:t>מעשיו מפגינים זלזול מוחלט בזכותה של המתלוננת לאוטונומיה על גופה</w:t>
      </w:r>
      <w:r>
        <w:rPr>
          <w:rtl w:val="true"/>
        </w:rPr>
        <w:t xml:space="preserve">, </w:t>
      </w:r>
      <w:r>
        <w:rPr>
          <w:rtl w:val="true"/>
        </w:rPr>
        <w:t>תוך החדרת תרופות למזון שאכלה והתקנת מצלמות בחדר האמבטיה ללא ידיעתה</w:t>
      </w:r>
      <w:r>
        <w:rPr>
          <w:rtl w:val="true"/>
        </w:rPr>
        <w:t xml:space="preserve">. </w:t>
      </w:r>
      <w:r>
        <w:rPr>
          <w:rtl w:val="true"/>
        </w:rPr>
        <w:t>אין להקל ראש בהתנהלותו השיטתית והאכזרית של המערער</w:t>
      </w:r>
      <w:r>
        <w:rPr>
          <w:rtl w:val="true"/>
        </w:rPr>
        <w:t xml:space="preserve">, </w:t>
      </w:r>
      <w:r>
        <w:rPr>
          <w:rtl w:val="true"/>
        </w:rPr>
        <w:t>אשר כל כולה נועדה לקנות בעלות באדם אחר ולהופכו לכלי למימוש מאוויי</w:t>
      </w:r>
      <w:r>
        <w:rPr>
          <w:rtl w:val="true"/>
        </w:rPr>
        <w:t>ו</w:t>
      </w:r>
      <w:r>
        <w:rPr>
          <w:rtl w:val="true"/>
        </w:rPr>
        <w:t xml:space="preserve"> המיניים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טענותיו של המערער כי הוא עצמו קורבן לעבירות מין שבוצעו בו</w:t>
      </w:r>
      <w:r>
        <w:rPr>
          <w:rtl w:val="true"/>
        </w:rPr>
        <w:t xml:space="preserve">, </w:t>
      </w:r>
      <w:r>
        <w:rPr>
          <w:rtl w:val="true"/>
        </w:rPr>
        <w:t xml:space="preserve">וכי מעשיו מבטאים את התיאוריה באשר לקיומו של </w:t>
      </w:r>
      <w:r>
        <w:rPr>
          <w:rtl w:val="true"/>
        </w:rPr>
        <w:t>"</w:t>
      </w:r>
      <w:r>
        <w:rPr>
          <w:rtl w:val="true"/>
        </w:rPr>
        <w:t>מעגל פגיעות מיניות בילדים</w:t>
      </w:r>
      <w:r>
        <w:rPr>
          <w:rtl w:val="true"/>
        </w:rPr>
        <w:t xml:space="preserve">" </w:t>
      </w:r>
      <w:r>
        <w:rPr>
          <w:rtl w:val="true"/>
        </w:rPr>
        <w:t>אינן מועילות לו</w:t>
      </w:r>
      <w:r>
        <w:rPr>
          <w:rtl w:val="true"/>
        </w:rPr>
        <w:t xml:space="preserve">. </w:t>
      </w:r>
      <w:r>
        <w:rPr>
          <w:rtl w:val="true"/>
        </w:rPr>
        <w:t>גם אם ייתכן שקטינים אשר נפלו קורבן לעבירות מין מועדים לפגיעה באחרים</w:t>
      </w:r>
      <w:r>
        <w:rPr>
          <w:rtl w:val="true"/>
        </w:rPr>
        <w:t xml:space="preserve">, </w:t>
      </w:r>
      <w:r>
        <w:rPr>
          <w:rtl w:val="true"/>
        </w:rPr>
        <w:t xml:space="preserve">אין חולק כי לא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tl w:val="true"/>
        </w:rPr>
        <w:t xml:space="preserve"> אלו שחוו פגיעה מינית בצעירותם יפגעו בעתיד באחרים </w:t>
      </w:r>
      <w:r>
        <w:rPr>
          <w:rtl w:val="true"/>
        </w:rPr>
        <w:t>–</w:t>
      </w:r>
      <w:r>
        <w:rPr>
          <w:rtl w:val="true"/>
        </w:rPr>
        <w:t xml:space="preserve"> ועל כן לא מדובר בגזרת שמיים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מסביבתו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הרחקתם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רצדיביסטיים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מהציבור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תושייתה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הערעור 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eastAsia="Arial TUR;Arial" w:cs="Arial TUR;Arial" w:ascii="Arial TUR;Arial" w:hAnsi="Arial TUR;Arial"/>
          <w:rtl w:val="true"/>
        </w:rPr>
        <w:t xml:space="preserve"> </w:t>
      </w:r>
      <w:r>
        <w:rPr>
          <w:rFonts w:ascii="Arial TUR;Arial" w:hAnsi="Arial TUR;Arial" w:cs="Arial TUR;Arial"/>
          <w:rtl w:val="true"/>
        </w:rPr>
        <w:t>ניתן היום</w:t>
      </w:r>
      <w:r>
        <w:rPr>
          <w:rFonts w:cs="Arial TUR;Arial" w:ascii="Arial TUR;Arial" w:hAnsi="Arial TUR;Arial"/>
          <w:rtl w:val="true"/>
        </w:rPr>
        <w:t>, ‏</w:t>
      </w:r>
      <w:r>
        <w:rPr>
          <w:rFonts w:ascii="Arial TUR;Arial" w:hAnsi="Arial TUR;Arial" w:cs="Arial TUR;Arial"/>
          <w:rtl w:val="true"/>
        </w:rPr>
        <w:t>כ</w:t>
      </w:r>
      <w:r>
        <w:rPr>
          <w:rFonts w:cs="Arial TUR;Arial" w:ascii="Arial TUR;Arial" w:hAnsi="Arial TUR;Arial"/>
          <w:rtl w:val="true"/>
        </w:rPr>
        <w:t>"</w:t>
      </w:r>
      <w:r>
        <w:rPr>
          <w:rFonts w:ascii="Arial TUR;Arial" w:hAnsi="Arial TUR;Arial" w:cs="Arial TUR;Arial"/>
          <w:rtl w:val="true"/>
        </w:rPr>
        <w:t>ד בכסלו התשע</w:t>
      </w:r>
      <w:r>
        <w:rPr>
          <w:rFonts w:cs="Arial TUR;Arial" w:ascii="Arial TUR;Arial" w:hAnsi="Arial TUR;Arial"/>
          <w:rtl w:val="true"/>
        </w:rPr>
        <w:t>"</w:t>
      </w:r>
      <w:r>
        <w:rPr>
          <w:rFonts w:ascii="Arial TUR;Arial" w:hAnsi="Arial TUR;Arial" w:cs="Arial TUR;Arial"/>
          <w:rtl w:val="true"/>
        </w:rPr>
        <w:t xml:space="preserve">ט </w:t>
      </w:r>
      <w:r>
        <w:rPr>
          <w:rFonts w:cs="Arial TUR;Arial" w:ascii="Arial TUR;Arial" w:hAnsi="Arial TUR;Arial"/>
          <w:rtl w:val="true"/>
        </w:rPr>
        <w:t>(‏</w:t>
      </w:r>
      <w:r>
        <w:rPr>
          <w:rFonts w:cs="Arial TUR;Arial" w:ascii="Arial TUR;Arial" w:hAnsi="Arial TUR;Arial"/>
        </w:rPr>
        <w:t>2.12.2018</w:t>
      </w:r>
      <w:r>
        <w:rPr>
          <w:rFonts w:cs="Arial TUR;Arial" w:ascii="Arial TUR;Arial" w:hAnsi="Arial TUR;Arial"/>
          <w:rtl w:val="true"/>
        </w:rPr>
        <w:t xml:space="preserve">). 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tabs>
                <w:tab w:val="left" w:pos="467" w:leader="none"/>
                <w:tab w:val="left" w:pos="800" w:leader="none"/>
                <w:tab w:val="right" w:pos="2627" w:leader="none"/>
              </w:tabs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color w:val="FFFFFF"/>
          <w:spacing w:val="10"/>
          <w:sz w:val="2"/>
          <w:szCs w:val="2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 TUR;Arial" w:hAnsi="Arial TUR;Arial" w:cs="FrankRuehl"/>
          <w:color w:val="FFFFFF"/>
          <w:spacing w:val="10"/>
          <w:sz w:val="2"/>
          <w:szCs w:val="2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 TUR;Arial" w:hAnsi="Arial TUR;Arial" w:cs="FrankRuehl"/>
          <w:color w:val="FFFFFF"/>
          <w:spacing w:val="10"/>
          <w:sz w:val="2"/>
          <w:szCs w:val="16"/>
        </w:rPr>
      </w:pPr>
      <w:r>
        <w:rPr>
          <w:rFonts w:cs="FrankRuehl" w:ascii="Arial TUR;Arial" w:hAnsi="Arial TUR;Arial"/>
          <w:color w:val="FFFFFF"/>
          <w:spacing w:val="10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</w:t>
      </w:r>
      <w:r>
        <w:rPr>
          <w:sz w:val="16"/>
        </w:rPr>
        <w:t>18024330</w:t>
      </w:r>
      <w:r>
        <w:rPr>
          <w:sz w:val="16"/>
          <w:rtl w:val="true"/>
        </w:rPr>
        <w:t>_</w:t>
      </w:r>
      <w:r>
        <w:rPr>
          <w:sz w:val="16"/>
        </w:rPr>
        <w:t>J02.doc</w:t>
      </w:r>
      <w:r>
        <w:rPr>
          <w:sz w:val="16"/>
          <w:rtl w:val="true"/>
        </w:rPr>
        <w:t xml:space="preserve"> 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36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54678313-2433/18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color w:val="000000"/>
          <w:sz w:val="24"/>
          <w:sz w:val="24"/>
          <w:szCs w:val="18"/>
          <w:rtl w:val="true"/>
        </w:rPr>
        <w:t>נוסח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מסמך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כפוף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לשינויי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ניסוח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ועריכה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sz w:val="24"/>
          <w:szCs w:val="18"/>
          <w:rtl w:val="true"/>
        </w:rPr>
      </w:r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hyperlink r:id="rId37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lin Gothic Mediu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2433/18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597818" TargetMode="External"/><Relationship Id="rId3" Type="http://schemas.openxmlformats.org/officeDocument/2006/relationships/hyperlink" Target="http://www.nevo.co.il/law/71631" TargetMode="External"/><Relationship Id="rId4" Type="http://schemas.openxmlformats.org/officeDocument/2006/relationships/hyperlink" Target="http://www.nevo.co.il/law/71631/2.3" TargetMode="External"/><Relationship Id="rId5" Type="http://schemas.openxmlformats.org/officeDocument/2006/relationships/hyperlink" Target="http://www.nevo.co.il/law/71631/5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45.a.1" TargetMode="External"/><Relationship Id="rId8" Type="http://schemas.openxmlformats.org/officeDocument/2006/relationships/hyperlink" Target="http://www.nevo.co.il/law/70301/345.a.1.4" TargetMode="External"/><Relationship Id="rId9" Type="http://schemas.openxmlformats.org/officeDocument/2006/relationships/hyperlink" Target="http://www.nevo.co.il/law/70301/345.b.1" TargetMode="External"/><Relationship Id="rId10" Type="http://schemas.openxmlformats.org/officeDocument/2006/relationships/hyperlink" Target="http://www.nevo.co.il/law/70301/345.b.4" TargetMode="External"/><Relationship Id="rId11" Type="http://schemas.openxmlformats.org/officeDocument/2006/relationships/hyperlink" Target="http://www.nevo.co.il/law/70301/347.a.1" TargetMode="External"/><Relationship Id="rId12" Type="http://schemas.openxmlformats.org/officeDocument/2006/relationships/hyperlink" Target="http://www.nevo.co.il/law/70301/348.b" TargetMode="External"/><Relationship Id="rId13" Type="http://schemas.openxmlformats.org/officeDocument/2006/relationships/hyperlink" Target="http://www.nevo.co.il/law/70301/351.a" TargetMode="External"/><Relationship Id="rId14" Type="http://schemas.openxmlformats.org/officeDocument/2006/relationships/hyperlink" Target="http://www.nevo.co.il/law/70301/351.c.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1597818" TargetMode="External"/><Relationship Id="rId17" Type="http://schemas.openxmlformats.org/officeDocument/2006/relationships/hyperlink" Target="http://www.nevo.co.il/law/71631" TargetMode="External"/><Relationship Id="rId18" Type="http://schemas.openxmlformats.org/officeDocument/2006/relationships/hyperlink" Target="http://www.nevo.co.il/law/70301/345.a.1" TargetMode="External"/><Relationship Id="rId19" Type="http://schemas.openxmlformats.org/officeDocument/2006/relationships/hyperlink" Target="http://www.nevo.co.il/law/70301/345.a.1.4" TargetMode="External"/><Relationship Id="rId20" Type="http://schemas.openxmlformats.org/officeDocument/2006/relationships/hyperlink" Target="http://www.nevo.co.il/law/70301/347.a.1" TargetMode="External"/><Relationship Id="rId21" Type="http://schemas.openxmlformats.org/officeDocument/2006/relationships/hyperlink" Target="http://www.nevo.co.il/law/70301/348.b" TargetMode="External"/><Relationship Id="rId22" Type="http://schemas.openxmlformats.org/officeDocument/2006/relationships/hyperlink" Target="http://www.nevo.co.il/law/70301/345.b.1" TargetMode="External"/><Relationship Id="rId23" Type="http://schemas.openxmlformats.org/officeDocument/2006/relationships/hyperlink" Target="http://www.nevo.co.il/law/70301/345.b.4" TargetMode="External"/><Relationship Id="rId24" Type="http://schemas.openxmlformats.org/officeDocument/2006/relationships/hyperlink" Target="http://www.nevo.co.il/law/70301/351.a" TargetMode="External"/><Relationship Id="rId25" Type="http://schemas.openxmlformats.org/officeDocument/2006/relationships/hyperlink" Target="http://www.nevo.co.il/law/70301/351.c.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1631/2.3" TargetMode="External"/><Relationship Id="rId28" Type="http://schemas.openxmlformats.org/officeDocument/2006/relationships/hyperlink" Target="http://www.nevo.co.il/law/71631/5" TargetMode="External"/><Relationship Id="rId29" Type="http://schemas.openxmlformats.org/officeDocument/2006/relationships/hyperlink" Target="http://www.nevo.co.il/law/7163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3507449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5573417" TargetMode="External"/><Relationship Id="rId34" Type="http://schemas.openxmlformats.org/officeDocument/2006/relationships/hyperlink" Target="http://www.nevo.co.il/case/6194147" TargetMode="External"/><Relationship Id="rId35" Type="http://schemas.openxmlformats.org/officeDocument/2006/relationships/hyperlink" Target="http://www.nevo.co.il/case/23613030" TargetMode="External"/><Relationship Id="rId36" Type="http://schemas.openxmlformats.org/officeDocument/2006/relationships/hyperlink" Target="https://supreme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2018-12-03T12:30:00Z</dcterms:created>
  <dc:creator> </dc:creator>
  <dc:description/>
  <cp:keywords/>
  <dc:language>en-IL</dc:language>
  <cp:lastModifiedBy>orly</cp:lastModifiedBy>
  <cp:lastPrinted>2018-11-29T15:41:00Z</cp:lastPrinted>
  <dcterms:modified xsi:type="dcterms:W3CDTF">2018-12-03T12:30:00Z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21597818:2;23507449;5573417;6194147;23613030</vt:lpwstr>
  </property>
  <property fmtid="{D5CDD505-2E9C-101B-9397-08002B2CF9AE}" pid="9" name="CITY">
    <vt:lpwstr/>
  </property>
  <property fmtid="{D5CDD505-2E9C-101B-9397-08002B2CF9AE}" pid="10" name="DATE">
    <vt:lpwstr>20181202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פוגלמן;י' אלרון;א' שטיין</vt:lpwstr>
  </property>
  <property fmtid="{D5CDD505-2E9C-101B-9397-08002B2CF9AE}" pid="14" name="LAWLISTTMP1">
    <vt:lpwstr>71631/002.3;005</vt:lpwstr>
  </property>
  <property fmtid="{D5CDD505-2E9C-101B-9397-08002B2CF9AE}" pid="15" name="LAWLISTTMP2">
    <vt:lpwstr>70301/345.a.1;345.a.1.4;347.a.1;348.b;345.b.1;345.b.4;351.a;351.c.2</vt:lpwstr>
  </property>
  <property fmtid="{D5CDD505-2E9C-101B-9397-08002B2CF9AE}" pid="16" name="LAWYER">
    <vt:lpwstr>קובי מושקוביץ;דוד ברהום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18;77;77;77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504;1446;1446;1446</vt:lpwstr>
  </property>
  <property fmtid="{D5CDD505-2E9C-101B-9397-08002B2CF9AE}" pid="49" name="NOSE31">
    <vt:lpwstr>אי-התערבות במידת העונש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מין במשפחה</vt:lpwstr>
  </property>
  <property fmtid="{D5CDD505-2E9C-101B-9397-08002B2CF9AE}" pid="52" name="NOSE33">
    <vt:lpwstr>מתחם הענישה</vt:lpwstr>
  </property>
  <property fmtid="{D5CDD505-2E9C-101B-9397-08002B2CF9AE}" pid="53" name="NOSE34">
    <vt:lpwstr>שיקולי ענישה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17039;16241;14985;15506</vt:lpwstr>
  </property>
  <property fmtid="{D5CDD505-2E9C-101B-9397-08002B2CF9AE}" pid="60" name="PADIDATE">
    <vt:lpwstr>20181203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2433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410120181202</vt:lpwstr>
  </property>
  <property fmtid="{D5CDD505-2E9C-101B-9397-08002B2CF9AE}" pid="70" name="TYPE_N_DATE">
    <vt:lpwstr>41020181202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