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2"/>
          <w:szCs w:val="16"/>
        </w:rPr>
      </w:pPr>
      <w:r>
        <w:rPr>
          <w:rFonts w:cs="Miriam"/>
          <w:b/>
          <w:bCs/>
          <w:sz w:val="12"/>
          <w:szCs w:val="16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12"/>
          <w:szCs w:val="16"/>
        </w:rPr>
      </w:pPr>
      <w:r>
        <w:rPr>
          <w:rFonts w:cs="Miriam"/>
          <w:b/>
          <w:bCs/>
          <w:sz w:val="12"/>
          <w:szCs w:val="16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2457/18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2"/>
          <w:szCs w:val="16"/>
        </w:rPr>
      </w:pPr>
      <w:r>
        <w:rPr>
          <w:rFonts w:cs="Miriam"/>
          <w:b/>
          <w:bCs/>
          <w:sz w:val="12"/>
          <w:szCs w:val="16"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  <w:sz w:val="12"/>
          <w:szCs w:val="16"/>
        </w:rPr>
      </w:pPr>
      <w:r>
        <w:rPr>
          <w:rFonts w:cs="Miriam"/>
          <w:b/>
          <w:bCs/>
          <w:sz w:val="12"/>
          <w:szCs w:val="16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  <w:sz w:val="16"/>
          <w:szCs w:val="22"/>
        </w:rPr>
      </w:pPr>
      <w:r>
        <w:rPr>
          <w:rFonts w:cs="Miriam"/>
          <w:b/>
          <w:bCs/>
          <w:sz w:val="16"/>
          <w:szCs w:val="22"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שמעון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נתנאל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אסרף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8.03.2018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56248-08-16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סבאג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בתמוז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24.6.18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>
          <w:sz w:val="2"/>
          <w:szCs w:val="4"/>
        </w:rPr>
      </w:pPr>
      <w:r>
        <w:rPr>
          <w:sz w:val="2"/>
          <w:szCs w:val="4"/>
          <w:rtl w:val="true"/>
        </w:rPr>
      </w:r>
    </w:p>
    <w:p>
      <w:pPr>
        <w:pStyle w:val="Ruller31"/>
        <w:ind w:end="0"/>
        <w:jc w:val="start"/>
        <w:rPr>
          <w:sz w:val="16"/>
          <w:szCs w:val="22"/>
        </w:rPr>
      </w:pPr>
      <w:r>
        <w:rPr>
          <w:sz w:val="16"/>
          <w:szCs w:val="22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שפיגל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סיוון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רוסו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82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13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5" w:name="ABSTRACT_START"/>
      <w:bookmarkEnd w:id="5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גמילה‏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2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82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בהתמכרותו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שגזרה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לאפשר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טיפול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לכלא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ישנם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בטיפול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והרשעתו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קודמת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82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ויודגש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התחתון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וההרתעה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"/>
          <w:szCs w:val="2"/>
        </w:rPr>
      </w:pPr>
      <w:r>
        <w:rPr>
          <w:rFonts w:cs="FrankRuehl" w:ascii="FrankRuehl" w:hAnsi="FrankRuehl"/>
          <w:sz w:val="2"/>
          <w:szCs w:val="2"/>
          <w:rtl w:val="true"/>
        </w:rPr>
      </w:r>
      <w:bookmarkStart w:id="8" w:name="LawTable_End"/>
      <w:bookmarkStart w:id="9" w:name="LawTable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"/>
          <w:szCs w:val="8"/>
          <w:u w:val="single"/>
        </w:rPr>
      </w:pPr>
      <w:r>
        <w:rPr>
          <w:rFonts w:cs="Miriam"/>
          <w:sz w:val="2"/>
          <w:szCs w:val="8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"/>
        <w:ind w:end="0"/>
        <w:jc w:val="both"/>
        <w:rPr>
          <w:sz w:val="2"/>
          <w:szCs w:val="8"/>
        </w:rPr>
      </w:pPr>
      <w:r>
        <w:rPr>
          <w:sz w:val="2"/>
          <w:szCs w:val="8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בנצרת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חנא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סבאג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56248-08-16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8.3.2018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תושב קריית שמונה</w:t>
      </w:r>
      <w:r>
        <w:rPr>
          <w:rtl w:val="true"/>
        </w:rPr>
        <w:t xml:space="preserve">, </w:t>
      </w:r>
      <w:r>
        <w:rPr>
          <w:rtl w:val="true"/>
        </w:rPr>
        <w:t xml:space="preserve">נסע בשלוש הזדמנויות שונות ליבנה על מנת לרכוש תמורת סכום כולל של </w:t>
      </w:r>
      <w:r>
        <w:rPr/>
        <w:t>42,000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מנות סם מסוכן מסוג קוקאין</w:t>
      </w:r>
      <w:r>
        <w:rPr>
          <w:rtl w:val="true"/>
        </w:rPr>
        <w:t xml:space="preserve">, </w:t>
      </w:r>
      <w:r>
        <w:rPr>
          <w:rtl w:val="true"/>
        </w:rPr>
        <w:t>במשקל מצטבר של כ</w:t>
      </w:r>
      <w:r>
        <w:rPr>
          <w:rtl w:val="true"/>
        </w:rPr>
        <w:t>-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tl w:val="true"/>
        </w:rPr>
        <w:t xml:space="preserve">, </w:t>
      </w:r>
      <w:r>
        <w:rPr>
          <w:rtl w:val="true"/>
        </w:rPr>
        <w:t>אשר בחלקן השתמש בעצמו</w:t>
      </w:r>
      <w:r>
        <w:rPr>
          <w:rtl w:val="true"/>
        </w:rPr>
        <w:t xml:space="preserve">, </w:t>
      </w:r>
      <w:r>
        <w:rPr>
          <w:rtl w:val="true"/>
        </w:rPr>
        <w:t>ואת חלקן מכר יחד עם חברו לאחרים</w:t>
      </w:r>
      <w:r>
        <w:rPr>
          <w:rtl w:val="true"/>
        </w:rPr>
        <w:t xml:space="preserve">. </w:t>
      </w:r>
      <w:r>
        <w:rPr>
          <w:rtl w:val="true"/>
        </w:rPr>
        <w:t xml:space="preserve">בהזדמנות השלישית אסף יחד עם מנות הסם אקדח </w:t>
      </w:r>
      <w:r>
        <w:rPr>
          <w:rtl w:val="true"/>
        </w:rPr>
        <w:t>"</w:t>
      </w:r>
      <w:r>
        <w:rPr>
          <w:rtl w:val="true"/>
        </w:rPr>
        <w:t>ברטה</w:t>
      </w:r>
      <w:r>
        <w:rPr>
          <w:rtl w:val="true"/>
        </w:rPr>
        <w:t xml:space="preserve">" </w:t>
      </w:r>
      <w:r>
        <w:rPr>
          <w:rtl w:val="true"/>
        </w:rPr>
        <w:t xml:space="preserve">בקוטר </w:t>
      </w:r>
      <w:r>
        <w:rPr/>
        <w:t>0.22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מחסנית וכדורים</w:t>
      </w:r>
      <w:r>
        <w:rPr>
          <w:rtl w:val="true"/>
        </w:rPr>
        <w:t xml:space="preserve">, </w:t>
      </w:r>
      <w:r>
        <w:rPr>
          <w:rtl w:val="true"/>
        </w:rPr>
        <w:t>וזאת לבקשת חברו ובכוונה להעבירם אליו</w:t>
      </w:r>
      <w:r>
        <w:rPr>
          <w:rtl w:val="true"/>
        </w:rPr>
        <w:t xml:space="preserve">. </w:t>
      </w:r>
      <w:r>
        <w:rPr>
          <w:rtl w:val="true"/>
        </w:rPr>
        <w:t xml:space="preserve">בנסיעה זו התלווה למערער קטין בן </w:t>
      </w:r>
      <w:r>
        <w:rPr/>
        <w:t>16</w:t>
      </w:r>
      <w:r>
        <w:rPr>
          <w:rtl w:val="true"/>
        </w:rPr>
        <w:t xml:space="preserve">. </w:t>
      </w:r>
      <w:r>
        <w:rPr>
          <w:rtl w:val="true"/>
        </w:rPr>
        <w:t>המערער נעצר בדרכו מיבנה לקריית שמונה</w:t>
      </w:r>
      <w:r>
        <w:rPr>
          <w:rtl w:val="true"/>
        </w:rPr>
        <w:t xml:space="preserve">, </w:t>
      </w:r>
      <w:r>
        <w:rPr>
          <w:rtl w:val="true"/>
        </w:rPr>
        <w:t>כאשר ברכבו נתפס בנוסף סם מסוכן מסוג קנאבוס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ביום </w:t>
      </w:r>
      <w:r>
        <w:rPr/>
        <w:t>3.11.2016</w:t>
      </w:r>
      <w:r>
        <w:rPr>
          <w:rtl w:val="true"/>
        </w:rPr>
        <w:t xml:space="preserve">, </w:t>
      </w:r>
      <w:r>
        <w:rPr>
          <w:rtl w:val="true"/>
        </w:rPr>
        <w:t>ובטרם ניתנה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החליט בית משפט קמא לשחרר את המערער ממעצר לשם שילובו בתהליך גמילה משימוש בסמים בקהילה הטיפולית 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 xml:space="preserve">", </w:t>
      </w:r>
      <w:r>
        <w:rPr>
          <w:rtl w:val="true"/>
        </w:rPr>
        <w:t>לתקופת מבחן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12.1.2017</w:t>
      </w:r>
      <w:r>
        <w:rPr>
          <w:rtl w:val="true"/>
        </w:rPr>
        <w:t xml:space="preserve"> </w:t>
      </w:r>
      <w:r>
        <w:rPr>
          <w:rtl w:val="true"/>
        </w:rPr>
        <w:t>הודה המערער במסגרת הסדר טיעון בעובדות המופיעות בכתב האישום המתוקן והורשע בעבירה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; </w:t>
      </w:r>
      <w:r>
        <w:rPr>
          <w:rtl w:val="true"/>
        </w:rPr>
        <w:t>מספר עבירות של סחר בסם מסוכן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8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</w:rPr>
          <w:t>19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tl w:val="true"/>
        </w:rPr>
        <w:t xml:space="preserve"> ל</w:t>
      </w:r>
      <w:hyperlink r:id="rId2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; </w:t>
      </w:r>
      <w:r>
        <w:rPr>
          <w:rtl w:val="true"/>
        </w:rPr>
        <w:t>מספר עבירות של החזקת סם שלא לצריכה עצמית בלבד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לפקודת הסמים המסוכנים</w:t>
      </w:r>
      <w:r>
        <w:rPr>
          <w:rtl w:val="true"/>
        </w:rPr>
        <w:t xml:space="preserve">; </w:t>
      </w:r>
      <w:r>
        <w:rPr>
          <w:rtl w:val="true"/>
        </w:rPr>
        <w:t>ועבירה של נשיאה והובלת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כ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חודשים בהם שהה המערער בקהילת </w:t>
      </w:r>
      <w:r>
        <w:rPr>
          <w:rtl w:val="true"/>
        </w:rPr>
        <w:t>"</w:t>
      </w:r>
      <w:r>
        <w:rPr>
          <w:rtl w:val="true"/>
        </w:rPr>
        <w:t>מלכישוע</w:t>
      </w:r>
      <w:r>
        <w:rPr>
          <w:rtl w:val="true"/>
        </w:rPr>
        <w:t>" (</w:t>
      </w:r>
      <w:r>
        <w:rPr>
          <w:rtl w:val="true"/>
        </w:rPr>
        <w:t>אותה עזב על דעת עצמו ולא הסכים לחזור אליה</w:t>
      </w:r>
      <w:r>
        <w:rPr>
          <w:rtl w:val="true"/>
        </w:rPr>
        <w:t xml:space="preserve">),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חודשים נוספים בהם שהה במסגרת של </w:t>
      </w:r>
      <w:r>
        <w:rPr>
          <w:rtl w:val="true"/>
        </w:rPr>
        <w:t>"</w:t>
      </w:r>
      <w:r>
        <w:rPr>
          <w:rtl w:val="true"/>
        </w:rPr>
        <w:t>בית חם</w:t>
      </w:r>
      <w:r>
        <w:rPr>
          <w:rtl w:val="true"/>
        </w:rPr>
        <w:t xml:space="preserve">"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 xml:space="preserve">מרכז לטיפול בהתמכרויות </w:t>
      </w:r>
      <w:r>
        <w:rPr>
          <w:rtl w:val="true"/>
        </w:rPr>
        <w:t>–</w:t>
      </w:r>
      <w:r>
        <w:rPr>
          <w:rtl w:val="true"/>
        </w:rPr>
        <w:t xml:space="preserve"> גזר בית משפט את דינו של המערער ביום </w:t>
      </w:r>
      <w:r>
        <w:rPr/>
        <w:t>8.3.2018</w:t>
      </w:r>
      <w:r>
        <w:rPr>
          <w:rtl w:val="true"/>
        </w:rPr>
        <w:t xml:space="preserve">. </w:t>
      </w:r>
      <w:r>
        <w:rPr>
          <w:rtl w:val="true"/>
        </w:rPr>
        <w:t>בית המשפט ציין כי עבירות הסמים והנשק של המערער מהוות סכנה ממשית ופוגעות בערכים החברתיים של שלום הציבור</w:t>
      </w:r>
      <w:r>
        <w:rPr>
          <w:rtl w:val="true"/>
        </w:rPr>
        <w:t xml:space="preserve">, </w:t>
      </w:r>
      <w:r>
        <w:rPr>
          <w:rtl w:val="true"/>
        </w:rPr>
        <w:t>בריאותו</w:t>
      </w:r>
      <w:r>
        <w:rPr>
          <w:rtl w:val="true"/>
        </w:rPr>
        <w:t xml:space="preserve">, </w:t>
      </w:r>
      <w:r>
        <w:rPr>
          <w:rtl w:val="true"/>
        </w:rPr>
        <w:t>ביטחונו</w:t>
      </w:r>
      <w:r>
        <w:rPr>
          <w:rtl w:val="true"/>
        </w:rPr>
        <w:t xml:space="preserve">, </w:t>
      </w:r>
      <w:r>
        <w:rPr>
          <w:rtl w:val="true"/>
        </w:rPr>
        <w:t>הגנה על חיי אדם ועל הסדר הציבורי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בית המשפט הצביע על מדיניות הענישה המחמירה הנהוגה בעבירות של נשק ושל סחר בסמים</w:t>
      </w:r>
      <w:r>
        <w:rPr>
          <w:rtl w:val="true"/>
        </w:rPr>
        <w:t xml:space="preserve">. </w:t>
      </w:r>
      <w:r>
        <w:rPr>
          <w:rtl w:val="true"/>
        </w:rPr>
        <w:t>בהתייחסו לנסיבות הקשורות לביצוע העבירה</w:t>
      </w:r>
      <w:r>
        <w:rPr>
          <w:rtl w:val="true"/>
        </w:rPr>
        <w:t xml:space="preserve">, </w:t>
      </w:r>
      <w:r>
        <w:rPr>
          <w:rtl w:val="true"/>
        </w:rPr>
        <w:t>הצביע בית המשפט על כך שהמערער חזר וביצע את העבירות מספר פעמים</w:t>
      </w:r>
      <w:r>
        <w:rPr>
          <w:rtl w:val="true"/>
        </w:rPr>
        <w:t xml:space="preserve">, </w:t>
      </w:r>
      <w:r>
        <w:rPr>
          <w:rtl w:val="true"/>
        </w:rPr>
        <w:t>בשיתוף עם אחרים</w:t>
      </w:r>
      <w:r>
        <w:rPr>
          <w:rtl w:val="true"/>
        </w:rPr>
        <w:t xml:space="preserve">, </w:t>
      </w:r>
      <w:r>
        <w:rPr>
          <w:rtl w:val="true"/>
        </w:rPr>
        <w:t>וכי עולה שהמערער היה מעורה בעסקי הסחר בסמים מסוכנים</w:t>
      </w:r>
      <w:r>
        <w:rPr>
          <w:rtl w:val="true"/>
        </w:rPr>
        <w:t xml:space="preserve">. </w:t>
      </w:r>
      <w:r>
        <w:rPr>
          <w:rtl w:val="true"/>
        </w:rPr>
        <w:t>על רקע נסיבות אלו</w:t>
      </w:r>
      <w:r>
        <w:rPr>
          <w:rtl w:val="true"/>
        </w:rPr>
        <w:t xml:space="preserve">, </w:t>
      </w:r>
      <w:r>
        <w:rPr>
          <w:rtl w:val="true"/>
        </w:rPr>
        <w:t>ונוכח הסכנה הגלומה לציבור בשל סוג והיקף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כי מתחם הענישה ההולם לעניין עבירות הסמים עומד על </w:t>
      </w:r>
      <w:r>
        <w:rPr/>
        <w:t>48-18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ולעניין עבירת הנשק עומד על </w:t>
      </w:r>
      <w:r>
        <w:rPr/>
        <w:t>30-12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שקל בית המשפט האם 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>שאינן קשורות לביצוע העבירות</w:t>
      </w:r>
      <w:r>
        <w:rPr>
          <w:rtl w:val="true"/>
        </w:rPr>
        <w:t xml:space="preserve">, </w:t>
      </w:r>
      <w:r>
        <w:rPr>
          <w:rtl w:val="true"/>
        </w:rPr>
        <w:t xml:space="preserve">מצדיקות להורות באמצעות צו מבחן על המשך הטיפול בהתמכרות המערער לסמים בהתאם </w:t>
      </w:r>
      <w:hyperlink r:id="rId2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חלף הטלת עונש מאסר</w:t>
      </w:r>
      <w:r>
        <w:rPr>
          <w:rtl w:val="true"/>
        </w:rPr>
        <w:t xml:space="preserve">. </w:t>
      </w:r>
      <w:r>
        <w:rPr>
          <w:rtl w:val="true"/>
        </w:rPr>
        <w:t>בית המשפט ציין כי על אף רצונו של המערער להשתקם מהתמכרותו</w:t>
      </w:r>
      <w:r>
        <w:rPr>
          <w:rtl w:val="true"/>
        </w:rPr>
        <w:t xml:space="preserve">, </w:t>
      </w:r>
      <w:r>
        <w:rPr>
          <w:rtl w:val="true"/>
        </w:rPr>
        <w:t>והפגיעה האפשרית שתיגרם לו בשל עונש מאסר</w:t>
      </w:r>
      <w:r>
        <w:rPr>
          <w:rtl w:val="true"/>
        </w:rPr>
        <w:t xml:space="preserve">, </w:t>
      </w:r>
      <w:r>
        <w:rPr>
          <w:rtl w:val="true"/>
        </w:rPr>
        <w:t>הרי שנוכח עבירות קודמות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הפרת צו המבחן שהוטל עליו בשל הרשעה קודמת ביום </w:t>
      </w:r>
      <w:r>
        <w:rPr/>
        <w:t>21.1.2016</w:t>
      </w:r>
      <w:r>
        <w:rPr>
          <w:rtl w:val="true"/>
        </w:rPr>
        <w:t xml:space="preserve">, </w:t>
      </w:r>
      <w:r>
        <w:rPr>
          <w:rtl w:val="true"/>
        </w:rPr>
        <w:t>ובשל חומרת העבירות שביצע כעת</w:t>
      </w:r>
      <w:r>
        <w:rPr>
          <w:rtl w:val="true"/>
        </w:rPr>
        <w:t xml:space="preserve">, </w:t>
      </w:r>
      <w:r>
        <w:rPr>
          <w:rtl w:val="true"/>
        </w:rPr>
        <w:t>אין הצדקה להורות על מתן צו מבחן להמשך טיפול הגמילה בעניינו</w:t>
      </w:r>
      <w:r>
        <w:rPr>
          <w:rtl w:val="true"/>
        </w:rPr>
        <w:t xml:space="preserve">. </w:t>
      </w:r>
      <w:r>
        <w:rPr>
          <w:rtl w:val="true"/>
        </w:rPr>
        <w:t>בית המשפט ציין כי מעשיו של המערער לא נבעו רק מהתמכרותו לסם</w:t>
      </w:r>
      <w:r>
        <w:rPr>
          <w:rtl w:val="true"/>
        </w:rPr>
        <w:t xml:space="preserve">, </w:t>
      </w:r>
      <w:r>
        <w:rPr>
          <w:rtl w:val="true"/>
        </w:rPr>
        <w:t>אלא גם ממניעים כלכליים</w:t>
      </w:r>
      <w:r>
        <w:rPr>
          <w:rtl w:val="true"/>
        </w:rPr>
        <w:t xml:space="preserve">, </w:t>
      </w:r>
      <w:r>
        <w:rPr>
          <w:rtl w:val="true"/>
        </w:rPr>
        <w:t>ודאי לעניין עבירת הנשק</w:t>
      </w:r>
      <w:r>
        <w:rPr>
          <w:rtl w:val="true"/>
        </w:rPr>
        <w:t xml:space="preserve">. </w:t>
      </w:r>
      <w:r>
        <w:rPr>
          <w:rtl w:val="true"/>
        </w:rPr>
        <w:t>על כן ביכר בית המשפט את שיקול ההרתעה על פני שיקול השיקום</w:t>
      </w:r>
      <w:r>
        <w:rPr>
          <w:rtl w:val="true"/>
        </w:rPr>
        <w:t xml:space="preserve">, </w:t>
      </w:r>
      <w:r>
        <w:rPr>
          <w:rtl w:val="true"/>
        </w:rPr>
        <w:t>וגזר עליו את העונשים המצוינים 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עיקרם של דברים</w:t>
      </w:r>
      <w:r>
        <w:rPr>
          <w:rtl w:val="true"/>
        </w:rPr>
        <w:t xml:space="preserve">, </w:t>
      </w:r>
      <w:r>
        <w:rPr>
          <w:rtl w:val="true"/>
        </w:rPr>
        <w:t xml:space="preserve">טוען המערער כי שגה בית משפט קמא כאשר לא החיל על מקרהו את </w:t>
      </w:r>
      <w:hyperlink r:id="rId2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והורה על המשך הטיפול בהתמכרותו לסמים באמצעות צו מבחן</w:t>
      </w:r>
      <w:r>
        <w:rPr>
          <w:rtl w:val="true"/>
        </w:rPr>
        <w:t xml:space="preserve">. </w:t>
      </w:r>
      <w:r>
        <w:rPr>
          <w:rtl w:val="true"/>
        </w:rPr>
        <w:t>המערער טוען כי נוכח מכלול נסיבותיו האישיות</w:t>
      </w:r>
      <w:r>
        <w:rPr>
          <w:rtl w:val="true"/>
        </w:rPr>
        <w:t xml:space="preserve">, </w:t>
      </w:r>
      <w:r>
        <w:rPr>
          <w:rtl w:val="true"/>
        </w:rPr>
        <w:t>היה מקום לתת משקל לשיקול השיקום</w:t>
      </w:r>
      <w:r>
        <w:rPr>
          <w:rtl w:val="true"/>
        </w:rPr>
        <w:t xml:space="preserve">, </w:t>
      </w:r>
      <w:r>
        <w:rPr>
          <w:rtl w:val="true"/>
        </w:rPr>
        <w:t>ולאפשר לו להמשיך בתהליך הגמילה שהתמיד בו בהצלחה לאורך תקופה הארוכה</w:t>
      </w:r>
      <w:r>
        <w:rPr>
          <w:rtl w:val="true"/>
        </w:rPr>
        <w:t xml:space="preserve">.  </w:t>
      </w: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סמכה ידיה על 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וטענה כי יש לבחון את נסיבות המקרה הפרטני בטרם החלה של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לעניינו של המערער</w:t>
      </w:r>
      <w:r>
        <w:rPr>
          <w:rtl w:val="true"/>
        </w:rPr>
        <w:t xml:space="preserve">, </w:t>
      </w:r>
      <w:r>
        <w:rPr>
          <w:rtl w:val="true"/>
        </w:rPr>
        <w:t>נטען כי בשל חומרת מעשיו</w:t>
      </w:r>
      <w:r>
        <w:rPr>
          <w:rtl w:val="true"/>
        </w:rPr>
        <w:t xml:space="preserve">, </w:t>
      </w:r>
      <w:r>
        <w:rPr>
          <w:rtl w:val="true"/>
        </w:rPr>
        <w:t>בשל הפרת צו המבחן שהוטל עליו</w:t>
      </w:r>
      <w:r>
        <w:rPr>
          <w:rtl w:val="true"/>
        </w:rPr>
        <w:t xml:space="preserve">, </w:t>
      </w:r>
      <w:r>
        <w:rPr>
          <w:rtl w:val="true"/>
        </w:rPr>
        <w:t>בשל עבירות קודמות שעבר</w:t>
      </w:r>
      <w:r>
        <w:rPr>
          <w:rtl w:val="true"/>
        </w:rPr>
        <w:t xml:space="preserve">, </w:t>
      </w:r>
      <w:r>
        <w:rPr>
          <w:rtl w:val="true"/>
        </w:rPr>
        <w:t>ובשל ביצוע המעשים על רקע של מניעים כלכליים</w:t>
      </w:r>
      <w:r>
        <w:rPr>
          <w:rtl w:val="true"/>
        </w:rPr>
        <w:t xml:space="preserve">, </w:t>
      </w:r>
      <w:r>
        <w:rPr>
          <w:rtl w:val="true"/>
        </w:rPr>
        <w:t>אין הצדקה להתערב בגזר הדין שהוטל על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תסקיר שירות המבחן העדכני שהוגש בעניינו של המערער ביום </w:t>
      </w:r>
      <w:r>
        <w:rPr/>
        <w:t>20.6.2018</w:t>
      </w:r>
      <w:r>
        <w:rPr>
          <w:rtl w:val="true"/>
        </w:rPr>
        <w:t xml:space="preserve">, </w:t>
      </w:r>
      <w:r>
        <w:rPr>
          <w:rtl w:val="true"/>
        </w:rPr>
        <w:t>כמו גם התסקירים הקודמים שהוגשו בעניינו</w:t>
      </w:r>
      <w:r>
        <w:rPr>
          <w:rtl w:val="true"/>
        </w:rPr>
        <w:t xml:space="preserve">, </w:t>
      </w:r>
      <w:r>
        <w:rPr>
          <w:rtl w:val="true"/>
        </w:rPr>
        <w:t>מלמדים על כך שעבר הליך טיפול משמעותי</w:t>
      </w:r>
      <w:r>
        <w:rPr>
          <w:rtl w:val="true"/>
        </w:rPr>
        <w:t xml:space="preserve">, </w:t>
      </w:r>
      <w:r>
        <w:rPr>
          <w:rtl w:val="true"/>
        </w:rPr>
        <w:t xml:space="preserve">כי הוא משתף פעולה עם התוכנית השיקומית כשהוא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מונע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ממוטיבציה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גבוהה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לשמירה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ניקיון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מסמים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איזון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בחייו</w:t>
      </w:r>
      <w:r>
        <w:rPr>
          <w:rtl w:val="true"/>
        </w:rPr>
        <w:t xml:space="preserve">" </w:t>
      </w:r>
      <w:r>
        <w:rPr>
          <w:rtl w:val="true"/>
        </w:rPr>
        <w:t xml:space="preserve">וכי יש לו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לשקם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tl w:val="true"/>
        </w:rPr>
        <w:t xml:space="preserve">". </w:t>
      </w:r>
      <w:r>
        <w:rPr>
          <w:rtl w:val="true"/>
        </w:rPr>
        <w:t>בדיון שהתקיים בעניינו מסרה נציגת שירות המבחן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ברכה וייס</w:t>
      </w:r>
      <w:r>
        <w:rPr>
          <w:rtl w:val="true"/>
        </w:rPr>
        <w:t xml:space="preserve">, </w:t>
      </w:r>
      <w:r>
        <w:rPr>
          <w:rtl w:val="true"/>
        </w:rPr>
        <w:t>כי למרות חומרת העבירות וקשיים מסוימים בהליך הטיפול</w:t>
      </w:r>
      <w:r>
        <w:rPr>
          <w:rtl w:val="true"/>
        </w:rPr>
        <w:t xml:space="preserve">, </w:t>
      </w:r>
      <w:r>
        <w:rPr>
          <w:rtl w:val="true"/>
        </w:rPr>
        <w:t>עמדת שירות המבחן היא שראוי לתת קדימות להליך השיקומי בעניינו של המערער</w:t>
      </w:r>
      <w:r>
        <w:rPr>
          <w:rtl w:val="true"/>
        </w:rPr>
        <w:t xml:space="preserve">, </w:t>
      </w:r>
      <w:r>
        <w:rPr>
          <w:rtl w:val="true"/>
        </w:rPr>
        <w:t>ולא לשלוח אותו לבית הסוהר</w:t>
      </w:r>
      <w:r>
        <w:rPr>
          <w:rtl w:val="true"/>
        </w:rPr>
        <w:t xml:space="preserve">, </w:t>
      </w:r>
      <w:r>
        <w:rPr>
          <w:rtl w:val="true"/>
        </w:rPr>
        <w:t>ולמצער להקל בעונשו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כפי שנקבע בבית משפט זה פעמים אין ספור בעבר</w:t>
      </w:r>
      <w:r>
        <w:rPr>
          <w:rtl w:val="true"/>
        </w:rPr>
        <w:t xml:space="preserve">, </w:t>
      </w:r>
      <w:r>
        <w:rPr>
          <w:rtl w:val="true"/>
        </w:rPr>
        <w:t>ערכאת הערעור תתערב בעונשים שנגזרו על ידי הערכאה הדיונית רק כאשר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כאשר העונש שנגזר חורג בצורה קיצונית ממדיניות הענישה המקובלת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6968/16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9</w:t>
      </w:r>
      <w:r>
        <w:rPr>
          <w:rtl w:val="true"/>
        </w:rPr>
        <w:t xml:space="preserve"> (</w:t>
      </w:r>
      <w:r>
        <w:rPr/>
        <w:t>22.5.2018</w:t>
      </w:r>
      <w:r>
        <w:rPr>
          <w:rtl w:val="true"/>
        </w:rPr>
        <w:t xml:space="preserve">)). </w:t>
      </w:r>
      <w:r>
        <w:rPr>
          <w:rtl w:val="true"/>
        </w:rPr>
        <w:t>הערעור שלפנינו אינו מגלה אחת מעילות אלו</w:t>
      </w:r>
      <w:r>
        <w:rPr>
          <w:rtl w:val="true"/>
        </w:rPr>
        <w:t xml:space="preserve">, </w:t>
      </w:r>
      <w:r>
        <w:rPr>
          <w:rtl w:val="true"/>
        </w:rPr>
        <w:t>ואני מוצא כי יש להותיר את גזר הדין על כנו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לגופם של דברים</w:t>
      </w:r>
      <w:r>
        <w:rPr>
          <w:rtl w:val="true"/>
        </w:rPr>
        <w:t xml:space="preserve">, </w:t>
      </w:r>
      <w:r>
        <w:rPr>
          <w:rtl w:val="true"/>
        </w:rPr>
        <w:t>אני סבור כי במקרה שלפנינו לא ניתן לקבל את בקשת המערער להימנע מלהטיל עליו עונש מאסר</w:t>
      </w:r>
      <w:r>
        <w:rPr>
          <w:rtl w:val="true"/>
        </w:rPr>
        <w:t xml:space="preserve">, </w:t>
      </w:r>
      <w:r>
        <w:rPr>
          <w:rtl w:val="true"/>
        </w:rPr>
        <w:t>כדי לאפשר את המשך טיפול הגמילה מסמים מחוץ לכלא</w:t>
      </w:r>
      <w:r>
        <w:rPr>
          <w:rtl w:val="true"/>
        </w:rPr>
        <w:t xml:space="preserve">. </w:t>
      </w:r>
      <w:r>
        <w:rPr>
          <w:rtl w:val="true"/>
        </w:rPr>
        <w:t>מקובלת עליי קביעתו של בית משפט קמא כי בעניינו של המערער ישנם שיקולים כבדי משקל המטים את הכף לטובת הטלת עונש מאסר על המערער</w:t>
      </w:r>
      <w:r>
        <w:rPr>
          <w:rtl w:val="true"/>
        </w:rPr>
        <w:t xml:space="preserve">, </w:t>
      </w:r>
      <w:r>
        <w:rPr>
          <w:rtl w:val="true"/>
        </w:rPr>
        <w:t>וזאת חרף הליך הגמילה המשמעותי שעבר</w:t>
      </w:r>
      <w:r>
        <w:rPr>
          <w:rtl w:val="true"/>
        </w:rPr>
        <w:t xml:space="preserve">. </w:t>
      </w:r>
      <w:r>
        <w:rPr>
          <w:rtl w:val="true"/>
        </w:rPr>
        <w:t>על אף השיפור שחל במצבו של המערער</w:t>
      </w:r>
      <w:r>
        <w:rPr>
          <w:rtl w:val="true"/>
        </w:rPr>
        <w:t xml:space="preserve">, </w:t>
      </w:r>
      <w:r>
        <w:rPr>
          <w:rtl w:val="true"/>
        </w:rPr>
        <w:t>ולמרות רצונו להמשיך בטיפול</w:t>
      </w:r>
      <w:r>
        <w:rPr>
          <w:rtl w:val="true"/>
        </w:rPr>
        <w:t xml:space="preserve">, </w:t>
      </w:r>
      <w:r>
        <w:rPr>
          <w:rtl w:val="true"/>
        </w:rPr>
        <w:t>לא ניתן להתעלם מחומרת מעשיו</w:t>
      </w:r>
      <w:r>
        <w:rPr>
          <w:rtl w:val="true"/>
        </w:rPr>
        <w:t xml:space="preserve">, </w:t>
      </w:r>
      <w:r>
        <w:rPr>
          <w:rtl w:val="true"/>
        </w:rPr>
        <w:t>על רקע סוג הסם שבו סחר</w:t>
      </w:r>
      <w:r>
        <w:rPr>
          <w:rtl w:val="true"/>
        </w:rPr>
        <w:t xml:space="preserve">, </w:t>
      </w:r>
      <w:r>
        <w:rPr>
          <w:rtl w:val="true"/>
        </w:rPr>
        <w:t>עבירת הנשק שבה היה מעורב</w:t>
      </w:r>
      <w:r>
        <w:rPr>
          <w:rtl w:val="true"/>
        </w:rPr>
        <w:t xml:space="preserve">, </w:t>
      </w:r>
      <w:r>
        <w:rPr>
          <w:rtl w:val="true"/>
        </w:rPr>
        <w:t>והרשעתו בדין בעבר</w:t>
      </w:r>
      <w:r>
        <w:rPr>
          <w:rtl w:val="true"/>
        </w:rPr>
        <w:t xml:space="preserve">, </w:t>
      </w:r>
      <w:r>
        <w:rPr>
          <w:rtl w:val="true"/>
        </w:rPr>
        <w:t>כל זאת תוך שהוא מפר צו מבחן שהוטל עליו בגין הרשעה קודמת</w:t>
      </w:r>
      <w:r>
        <w:rPr>
          <w:rtl w:val="true"/>
        </w:rPr>
        <w:t xml:space="preserve">. </w:t>
      </w:r>
      <w:r>
        <w:rPr>
          <w:rtl w:val="true"/>
        </w:rPr>
        <w:t xml:space="preserve">נסיבות אלה אף מבחינות מקרה זה ממקרים בהם הופעל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אליהם הפנה בא כוחו של המערער במהלך הדיון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Century" w:ascii="Century" w:hAnsi="Century"/>
          <w:sz w:val="22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4041/06</w:t>
        </w:r>
      </w:hyperlink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אשורוב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16.11.2006</w:t>
      </w:r>
      <w:r>
        <w:rPr>
          <w:rtl w:val="true"/>
        </w:rPr>
        <w:t xml:space="preserve">);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8092/04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חביב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10.9.2006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8087/03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1.2.2006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בית משפט קמא לא התעלם מההליך השיקומי שעבר המערער</w:t>
      </w:r>
      <w:r>
        <w:rPr>
          <w:rtl w:val="true"/>
        </w:rPr>
        <w:t xml:space="preserve">, </w:t>
      </w:r>
      <w:r>
        <w:rPr>
          <w:rtl w:val="true"/>
        </w:rPr>
        <w:t>אלא הביאו בחשבון עת גזר את עונשו של המערער ברף התחתון של מתחם העונש ההולם שקבע</w:t>
      </w:r>
      <w:r>
        <w:rPr>
          <w:rtl w:val="true"/>
        </w:rPr>
        <w:t xml:space="preserve">, </w:t>
      </w:r>
      <w:r>
        <w:rPr>
          <w:rtl w:val="true"/>
        </w:rPr>
        <w:t>ואף מתחת לו</w:t>
      </w:r>
      <w:r>
        <w:rPr>
          <w:rtl w:val="true"/>
        </w:rPr>
        <w:t xml:space="preserve">. </w:t>
      </w:r>
      <w:r>
        <w:rPr>
          <w:rtl w:val="true"/>
        </w:rPr>
        <w:t>בכך הושג איזון ראוי בין השיקול השיקומי לבין שיקולי הגמול וההרתעה</w:t>
      </w:r>
      <w:r>
        <w:rPr>
          <w:rtl w:val="true"/>
        </w:rPr>
        <w:t xml:space="preserve">, </w:t>
      </w:r>
      <w:r>
        <w:rPr>
          <w:rtl w:val="true"/>
        </w:rPr>
        <w:t>ואין הצדקה כי נתערב בו</w:t>
      </w:r>
      <w:r>
        <w:rPr>
          <w:rtl w:val="true"/>
        </w:rPr>
        <w:t xml:space="preserve">. </w:t>
      </w:r>
      <w:r>
        <w:rPr>
          <w:rtl w:val="true"/>
        </w:rPr>
        <w:t>יש לקוות כי על אף מאסרו ימשיך המערער בתהליך הגמילה החיובי אותו הוא עובר</w:t>
      </w:r>
      <w:r>
        <w:rPr>
          <w:rtl w:val="true"/>
        </w:rPr>
        <w:t xml:space="preserve">, </w:t>
      </w:r>
      <w:r>
        <w:rPr>
          <w:rtl w:val="true"/>
        </w:rPr>
        <w:t>ויתמיד בדרך עליה עלה לאחרונה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>ביום א</w:t>
      </w:r>
      <w:r>
        <w:rPr>
          <w:rtl w:val="true"/>
        </w:rPr>
        <w:t xml:space="preserve">', </w:t>
      </w:r>
      <w:r>
        <w:rPr/>
        <w:t>5.8.2018</w:t>
      </w:r>
      <w:r>
        <w:rPr>
          <w:rtl w:val="true"/>
        </w:rPr>
        <w:t xml:space="preserve">,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ימ</w:t>
      </w:r>
      <w:r>
        <w:rPr>
          <w:rtl w:val="true"/>
        </w:rPr>
        <w:t>"</w:t>
      </w:r>
      <w:r>
        <w:rPr>
          <w:rtl w:val="true"/>
        </w:rPr>
        <w:t>ר קישון</w:t>
      </w:r>
      <w:r>
        <w:rPr>
          <w:rtl w:val="true"/>
        </w:rPr>
        <w:t xml:space="preserve">, </w:t>
      </w:r>
      <w:r>
        <w:rPr>
          <w:rtl w:val="true"/>
        </w:rPr>
        <w:t>או 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8.7.2018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18024570</w:t>
      </w:r>
      <w:r>
        <w:rPr>
          <w:sz w:val="16"/>
          <w:rtl w:val="true"/>
        </w:rPr>
        <w:t>_</w:t>
      </w:r>
      <w:r>
        <w:rPr>
          <w:sz w:val="16"/>
        </w:rPr>
        <w:t>Y09.doc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5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ג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Cs w:val="22"/>
        </w:rPr>
        <w:t>54678313-2457/18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7"/>
      <w:footerReference w:type="default" r:id="rId3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2457/18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שמעון נתנאל אסרף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51683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8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/13" TargetMode="External"/><Relationship Id="rId11" Type="http://schemas.openxmlformats.org/officeDocument/2006/relationships/hyperlink" Target="http://www.nevo.co.il/law/4216/19a" TargetMode="External"/><Relationship Id="rId12" Type="http://schemas.openxmlformats.org/officeDocument/2006/relationships/hyperlink" Target="http://www.nevo.co.il/law/70301/8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82" TargetMode="External"/><Relationship Id="rId15" Type="http://schemas.openxmlformats.org/officeDocument/2006/relationships/hyperlink" Target="http://www.nevo.co.il/case/21551683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4216/13" TargetMode="External"/><Relationship Id="rId19" Type="http://schemas.openxmlformats.org/officeDocument/2006/relationships/hyperlink" Target="http://www.nevo.co.il/law/4216/19a" TargetMode="External"/><Relationship Id="rId20" Type="http://schemas.openxmlformats.org/officeDocument/2006/relationships/hyperlink" Target="http://www.nevo.co.il/law/4216" TargetMode="External"/><Relationship Id="rId21" Type="http://schemas.openxmlformats.org/officeDocument/2006/relationships/hyperlink" Target="http://www.nevo.co.il/law/4216/7.a" TargetMode="External"/><Relationship Id="rId22" Type="http://schemas.openxmlformats.org/officeDocument/2006/relationships/hyperlink" Target="http://www.nevo.co.il/law/4216/7.c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82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82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82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1479091" TargetMode="External"/><Relationship Id="rId31" Type="http://schemas.openxmlformats.org/officeDocument/2006/relationships/hyperlink" Target="http://www.nevo.co.il/law/70301/82" TargetMode="External"/><Relationship Id="rId32" Type="http://schemas.openxmlformats.org/officeDocument/2006/relationships/hyperlink" Target="http://www.nevo.co.il/case/5933865" TargetMode="External"/><Relationship Id="rId33" Type="http://schemas.openxmlformats.org/officeDocument/2006/relationships/hyperlink" Target="http://www.nevo.co.il/case/6120591" TargetMode="External"/><Relationship Id="rId34" Type="http://schemas.openxmlformats.org/officeDocument/2006/relationships/hyperlink" Target="http://www.nevo.co.il/case/6120447" TargetMode="External"/><Relationship Id="rId35" Type="http://schemas.openxmlformats.org/officeDocument/2006/relationships/hyperlink" Target="https://supreme.court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2018-07-09T11:13:00Z</dcterms:created>
  <dc:creator> </dc:creator>
  <dc:description/>
  <cp:keywords/>
  <dc:language>en-IL</dc:language>
  <cp:lastModifiedBy>orly</cp:lastModifiedBy>
  <cp:lastPrinted>2018-07-05T08:43:00Z</cp:lastPrinted>
  <dcterms:modified xsi:type="dcterms:W3CDTF">2018-07-09T11:13:00Z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שמעון נתנאל אסרף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ProcID=235&amp;PartA=48&amp;PartC=18</vt:lpwstr>
  </property>
  <property fmtid="{D5CDD505-2E9C-101B-9397-08002B2CF9AE}" pid="9" name="CASENOTES2">
    <vt:lpwstr>ProcID=235&amp;PartA=30&amp;PartC=12</vt:lpwstr>
  </property>
  <property fmtid="{D5CDD505-2E9C-101B-9397-08002B2CF9AE}" pid="10" name="CASESLISTTMP1">
    <vt:lpwstr>21551683:2;21479091;5933865;6120591;6120447</vt:lpwstr>
  </property>
  <property fmtid="{D5CDD505-2E9C-101B-9397-08002B2CF9AE}" pid="11" name="CITY">
    <vt:lpwstr/>
  </property>
  <property fmtid="{D5CDD505-2E9C-101B-9397-08002B2CF9AE}" pid="12" name="DATE">
    <vt:lpwstr>20180708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ג' קרא;ע' גרוסקופף;ח' מלצר</vt:lpwstr>
  </property>
  <property fmtid="{D5CDD505-2E9C-101B-9397-08002B2CF9AE}" pid="16" name="LAWLISTTMP1">
    <vt:lpwstr>70301/499.a.1;144.b;082:4</vt:lpwstr>
  </property>
  <property fmtid="{D5CDD505-2E9C-101B-9397-08002B2CF9AE}" pid="17" name="LAWLISTTMP2">
    <vt:lpwstr>4216/013;019a;007.a;007.c</vt:lpwstr>
  </property>
  <property fmtid="{D5CDD505-2E9C-101B-9397-08002B2CF9AE}" pid="18" name="LAWYER">
    <vt:lpwstr>סיוון רוסו;דוד שפיגל;ברכה וייס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>דיון פלילי</vt:lpwstr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77;77;18</vt:lpwstr>
  </property>
  <property fmtid="{D5CDD505-2E9C-101B-9397-08002B2CF9AE}" pid="40" name="NOSE21">
    <vt:lpwstr>ענישה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>ערעור</vt:lpwstr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1446;1446;504</vt:lpwstr>
  </property>
  <property fmtid="{D5CDD505-2E9C-101B-9397-08002B2CF9AE}" pid="51" name="NOSE31">
    <vt:lpwstr>דרכי ענישה: צו מבחן</vt:lpwstr>
  </property>
  <property fmtid="{D5CDD505-2E9C-101B-9397-08002B2CF9AE}" pid="52" name="NOSE310">
    <vt:lpwstr/>
  </property>
  <property fmtid="{D5CDD505-2E9C-101B-9397-08002B2CF9AE}" pid="53" name="NOSE32">
    <vt:lpwstr>טיפול גמילה‏</vt:lpwstr>
  </property>
  <property fmtid="{D5CDD505-2E9C-101B-9397-08002B2CF9AE}" pid="54" name="NOSE33">
    <vt:lpwstr>אי-התערבות במידת העונש</vt:lpwstr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8969;13225;17039</vt:lpwstr>
  </property>
  <property fmtid="{D5CDD505-2E9C-101B-9397-08002B2CF9AE}" pid="62" name="PADIDATE">
    <vt:lpwstr>20180709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2457</vt:lpwstr>
  </property>
  <property fmtid="{D5CDD505-2E9C-101B-9397-08002B2CF9AE}" pid="68" name="PROCYEAR">
    <vt:lpwstr>18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410120180708</vt:lpwstr>
  </property>
  <property fmtid="{D5CDD505-2E9C-101B-9397-08002B2CF9AE}" pid="72" name="TYPE_N_DATE">
    <vt:lpwstr>41020180708</vt:lpwstr>
  </property>
  <property fmtid="{D5CDD505-2E9C-101B-9397-08002B2CF9AE}" pid="73" name="VOLUME">
    <vt:lpwstr/>
  </property>
  <property fmtid="{D5CDD505-2E9C-101B-9397-08002B2CF9AE}" pid="74" name="WORDNUMPAGES">
    <vt:lpwstr>6</vt:lpwstr>
  </property>
</Properties>
</file>