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2459/21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פורום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נאמני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בליכוד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508" w:type="dxa"/>
        <w:jc w:val="start"/>
        <w:tblInd w:w="16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67"/>
        <w:gridCol w:w="5141"/>
      </w:tblGrid>
      <w:tr>
        <w:trPr/>
        <w:tc>
          <w:tcPr>
            <w:tcW w:w="336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הממשלה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נתניהו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אלוביץ</w:t>
            </w:r>
            <w:r>
              <w:rPr>
                <w:rtl w:val="true"/>
              </w:rPr>
              <w:t>'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אלוביץ</w:t>
            </w:r>
            <w:r>
              <w:rPr>
                <w:rtl w:val="true"/>
              </w:rPr>
              <w:t>'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ארנון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מוזס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4.4.2021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67104-01-20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רבקה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ועודד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שחם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ויסולי</w:t>
      </w:r>
    </w:p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חמודות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חדד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/>
        <w:t>3-4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פירר</w:t>
      </w:r>
      <w:r>
        <w:rPr>
          <w:rtl w:val="true"/>
        </w:rPr>
        <w:t>;</w:t>
      </w:r>
    </w:p>
    <w:p>
      <w:pPr>
        <w:pStyle w:val="Ruller31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דאר</w:t>
      </w: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סבאג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תקנות סמכויות מיוחדות להתמודדות עם נגיף הקורונה החדש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הגבלות במערכת בתי המשפט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הוראת שעה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תשפ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העליון דחה ערעור על החלטת 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 המחוזי לדחות את בקשת המערערים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שאינם צד להליך העיקרי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לאפשר לכל אדם המעוניין בכך להיות נוכח בדיוני ההוכחות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בהליך הפלילי המתנהל נגד רה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מ נתניהו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 ולאפשר לנוכחים בדיוני ההוכחות לצלמם ולפרסם צילומים אלו לציבור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התנהלות המערערים גובלת בשימוש לרעה בהליכי משפט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משפט – פומביות הדיון – הגבלתה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בריאות – בריאות הציבור – מניעת מחלות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משפט – שימוש לרעה בהליכי בית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משפט – קיומו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ערעור על החלטת 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 המחוזי בירושלים בגדרה נדחתה בקשת המערערים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שאינם צד להליך העיקרי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לאפשר לכל אדם המעוניין בכך להיות נוכח בדיוני ההוכחות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בהליך הפלילי המתנהל נגד רה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מ נתניהו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 ב</w:t>
      </w:r>
      <w:hyperlink r:id="rId5"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ת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>"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</w:rPr>
          <w:t>67104-01-20</w:t>
        </w:r>
      </w:hyperlink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ולאפשר לנוכחים בדיוני ההוכחות לצלמם ולפרסם צילומים אלו לציבור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בהחלטה נקבע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כי לנוכח הוראות משרד הבריאות להתמודדות עם נגיף הקורונה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לא ניתן להרחיב את מספר הנוכחים באולם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הודגש כי אין יסוד לטענת המערערים שלפיה המשפט מתנהל 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במחשכים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כלשון המערערים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וזאת בין היתר בשים לב לכך שהדיון במשפט משודר לאולמות סמוכים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באופן שמאפשר לעשרות אנשים לצפות בו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נקבע כי בקשות דומות לצילום הדיון ולשידורו כבר נדחו מספר פעמים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ואין מקום לסטות מההחלטות הקודמות בעניין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בהתייחס להחלטת 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 המחוזי שלא לסטות מהחלטתו להגביל את מספר הנוכחים באולם 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הרי שספק רב אם למערערים כל מעמד בהליך הפלילי דנן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אף לגופו של עניין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אין בטענות המערערים כדי להצדיק התערבות בהחלטת 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 המחוזי בעניין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אשר עולה בקנה אחד עם </w:t>
      </w:r>
      <w:hyperlink r:id="rId6"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תקנה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</w:rPr>
          <w:t>4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>(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>)</w:t>
        </w:r>
      </w:hyperlink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ל</w:t>
      </w:r>
      <w:hyperlink r:id="rId7"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תקנות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סמכויות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מיוחדות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להתמודדות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עם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נגיף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הקורונה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החדש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>(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הגבלות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במערכת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המשפט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>) (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הוראת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שעה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 xml:space="preserve">), 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התשפ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>"</w:t>
        </w:r>
        <w:r>
          <w:rPr>
            <w:rStyle w:val="Hyperlink"/>
            <w:rFonts w:cs="Garamond" w:ascii="Times New Roman" w:hAnsi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  <w:rtl w:val="true"/>
          </w:rPr>
          <w:t>-</w:t>
        </w:r>
        <w:r>
          <w:rPr>
            <w:rStyle w:val="Hyperlink"/>
            <w:rFonts w:ascii="Garamond" w:hAnsi="Garamond" w:cs="Times New Roman"/>
            <w:spacing w:val="0"/>
            <w:sz w:val="24"/>
            <w:sz w:val="24"/>
            <w:szCs w:val="26"/>
          </w:rPr>
          <w:t>2020</w:t>
        </w:r>
      </w:hyperlink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המורה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הדיון יתקיים בהשתתפות בעלי הדין ובאי כוחם בכפוף להוראות כל דין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הכניסה לאולמות הדיונים תינתן עדיפות להכנסתם של בעלי זיקה אחרים להליך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ורק אם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מספר מקומות הישיבה המאושר מאפשר זאת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תותר כניסתם של מבקרים נוספים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באשר להחלטה שלא לאפשר את שידור הדיון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הרי שהחלטה זו נדונה מספר פעמים בבימ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ש זה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 וביהמ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 אינו רואה מקום לסטות מהחלטותיו הקודמות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עצם התקדמות ההליך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והעובדה כי שלב ההוכחות החל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אין בהן כשלעצמן כדי להטות את הכף לטובת מתן רשות לצילום הדיונים המתנהלים באולם 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 סבור כי התנהלות המערערים במקרה דנן גובלת בשימוש לרעה בהליכי משפט ואין להשלים עם התנהלותם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אשר לא זו בלבד שעלולה להקשות על ניהולו התקין של ההליך העיקרי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אלא שיש בה כדי להטריח את הצדדים לו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אשר נדרשים להגיב לבקשות המערערים ולשאת בהוצאות הכרוכות בכך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6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הערעור נדחה תוך חיוב המערערים בהוצאות המשיבים </w:t>
      </w:r>
      <w:r>
        <w:rPr>
          <w:rStyle w:val="Style14"/>
          <w:rFonts w:cs="Times New Roman" w:ascii="Times New Roman" w:hAnsi="Times New Roman"/>
          <w:spacing w:val="0"/>
          <w:szCs w:val="26"/>
        </w:rPr>
        <w:t>1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cs="Times New Roman" w:ascii="Times New Roman" w:hAnsi="Times New Roman"/>
          <w:spacing w:val="0"/>
          <w:szCs w:val="26"/>
        </w:rPr>
        <w:t>2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Style w:val="Style14"/>
          <w:rFonts w:cs="Times New Roman" w:ascii="Times New Roman" w:hAnsi="Times New Roman"/>
          <w:spacing w:val="0"/>
          <w:szCs w:val="26"/>
        </w:rPr>
        <w:t>5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על סך </w:t>
      </w:r>
      <w:r>
        <w:rPr>
          <w:rStyle w:val="Style14"/>
          <w:rFonts w:cs="Times New Roman" w:ascii="Times New Roman" w:hAnsi="Times New Roman"/>
          <w:spacing w:val="0"/>
          <w:szCs w:val="26"/>
        </w:rPr>
        <w:t>1,500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ח כל אחד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וכן בהוצאות המשיבים </w:t>
      </w:r>
      <w:r>
        <w:rPr>
          <w:rStyle w:val="Style14"/>
          <w:rFonts w:cs="Times New Roman" w:ascii="Times New Roman" w:hAnsi="Times New Roman"/>
          <w:spacing w:val="0"/>
          <w:szCs w:val="26"/>
        </w:rPr>
        <w:t>3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Style w:val="Style14"/>
          <w:rFonts w:cs="Times New Roman" w:ascii="Times New Roman" w:hAnsi="Times New Roman"/>
          <w:spacing w:val="0"/>
          <w:szCs w:val="26"/>
        </w:rPr>
        <w:t>4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יחד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 xml:space="preserve">על סך </w:t>
      </w:r>
      <w:r>
        <w:rPr>
          <w:rStyle w:val="Style14"/>
          <w:rFonts w:cs="Times New Roman" w:ascii="Times New Roman" w:hAnsi="Times New Roman"/>
          <w:spacing w:val="0"/>
          <w:szCs w:val="26"/>
        </w:rPr>
        <w:t>1,500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Style w:val="Style14"/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Style w:val="Style14"/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Style w:val="Style14"/>
          <w:rFonts w:ascii="Times New Roman" w:hAnsi="Times New Roman" w:cs="Times New Roman"/>
          <w:spacing w:val="0"/>
          <w:szCs w:val="26"/>
        </w:rPr>
      </w:pPr>
      <w:r>
        <w:rPr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>
          <w:rStyle w:val="Style14"/>
        </w:rPr>
      </w:pPr>
      <w:bookmarkStart w:id="13" w:name="Writer_Name"/>
      <w:bookmarkEnd w:id="13"/>
      <w:r>
        <w:rPr>
          <w:rStyle w:val="Style14"/>
          <w:rtl w:val="true"/>
        </w:rPr>
        <w:t>לפניי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ערעור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על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החלטת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בית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המשפט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המחוזי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בירושלים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(</w:t>
      </w:r>
      <w:r>
        <w:rPr>
          <w:rStyle w:val="Style14"/>
          <w:rtl w:val="true"/>
        </w:rPr>
        <w:t>השופטים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-M"/>
          <w:rtl w:val="true"/>
        </w:rPr>
        <w:t>ר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פרידמן</w:t>
      </w:r>
      <w:r>
        <w:rPr>
          <w:rStyle w:val="-M"/>
          <w:rtl w:val="true"/>
        </w:rPr>
        <w:t>-</w:t>
      </w:r>
      <w:r>
        <w:rPr>
          <w:rStyle w:val="-M"/>
          <w:rtl w:val="true"/>
        </w:rPr>
        <w:t>פלדמן</w:t>
      </w:r>
      <w:r>
        <w:rPr>
          <w:rStyle w:val="Style14"/>
          <w:rtl w:val="true"/>
        </w:rPr>
        <w:t xml:space="preserve">, </w:t>
      </w:r>
      <w:r>
        <w:rPr>
          <w:rStyle w:val="-M"/>
          <w:rtl w:val="true"/>
        </w:rPr>
        <w:t>מ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בר</w:t>
      </w:r>
      <w:r>
        <w:rPr>
          <w:rStyle w:val="-M"/>
          <w:rtl w:val="true"/>
        </w:rPr>
        <w:t>-</w:t>
      </w:r>
      <w:r>
        <w:rPr>
          <w:rStyle w:val="-M"/>
          <w:rtl w:val="true"/>
        </w:rPr>
        <w:t>עם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ו</w:t>
      </w:r>
      <w:r>
        <w:rPr>
          <w:rStyle w:val="-M"/>
          <w:rtl w:val="true"/>
        </w:rPr>
        <w:t>ע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שחם</w:t>
      </w:r>
      <w:r>
        <w:rPr>
          <w:rStyle w:val="Style14"/>
          <w:rtl w:val="true"/>
        </w:rPr>
        <w:t xml:space="preserve">) </w:t>
      </w:r>
      <w:r>
        <w:rPr>
          <w:rStyle w:val="Style14"/>
          <w:rtl w:val="true"/>
        </w:rPr>
        <w:t>ב</w:t>
      </w:r>
      <w:hyperlink r:id="rId8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 w:eastAsia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</w:rPr>
          <w:t>67104-01-20</w:t>
        </w:r>
      </w:hyperlink>
      <w:r>
        <w:rPr>
          <w:rStyle w:val="Style14"/>
          <w:rtl w:val="true"/>
        </w:rPr>
        <w:t xml:space="preserve"> </w:t>
      </w:r>
      <w:r>
        <w:rPr>
          <w:rStyle w:val="Style14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yle14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yle14"/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4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yle14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yle14"/>
          <w:rtl w:val="true"/>
        </w:rPr>
        <w:t>מיום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</w:rPr>
        <w:t>4.4.2021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בגדרה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נדחתה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בקשת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המערערים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לאפשר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לכל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אדם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המעוניין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בכך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להיות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נוכח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בדיוני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ההוכחות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בהליך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זה</w:t>
      </w:r>
      <w:r>
        <w:rPr>
          <w:rStyle w:val="Style14"/>
          <w:rtl w:val="true"/>
        </w:rPr>
        <w:t xml:space="preserve">; </w:t>
      </w:r>
      <w:r>
        <w:rPr>
          <w:rStyle w:val="Style14"/>
          <w:rtl w:val="true"/>
        </w:rPr>
        <w:t>ולאפשר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לנוכחים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בדיוני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ההוכחות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לצלמם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ולפרסם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צילומים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אלו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לציבור</w:t>
      </w:r>
      <w:r>
        <w:rPr>
          <w:rStyle w:val="Style14"/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ומהתגובות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10.5.2020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יוגבל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יוקרן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בטלוויזיה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סגור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ישודר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בשידור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  <w:t>עתירה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Garamond" w:cs="Garamond"/>
          <w:rtl w:val="true"/>
        </w:rPr>
        <w:t xml:space="preserve"> </w:t>
      </w:r>
      <w:r>
        <w:rPr>
          <w:rStyle w:val="-M"/>
          <w:rtl w:val="true"/>
        </w:rPr>
        <w:t>ע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פוגלמן</w:t>
      </w:r>
      <w:r>
        <w:rPr>
          <w:rtl w:val="true"/>
        </w:rPr>
        <w:t>,</w:t>
      </w:r>
      <w:r>
        <w:rPr>
          <w:rStyle w:val="-M"/>
          <w:rtl w:val="true"/>
        </w:rPr>
        <w:t xml:space="preserve"> </w:t>
      </w:r>
      <w:r>
        <w:rPr>
          <w:rStyle w:val="-M"/>
          <w:rtl w:val="true"/>
        </w:rPr>
        <w:t>י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אלרון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Style w:val="-M"/>
          <w:rtl w:val="true"/>
        </w:rPr>
        <w:t>ע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גרוסקופף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3072/20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17.5.2020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7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" (</w:t>
      </w:r>
      <w:hyperlink r:id="rId1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3072/20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גרינצייג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בית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משפט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המחוזי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בירושלים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17.5.2020</w:t>
      </w:r>
      <w:r>
        <w:rPr>
          <w:rtl w:val="true"/>
        </w:rPr>
        <w:t>)).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הגישו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עיתונאים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21.5.2020</w:t>
      </w:r>
      <w:r>
        <w:rPr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Style w:val="-M"/>
          <w:rtl w:val="true"/>
        </w:rPr>
        <w:t>ע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גרוסקופף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3313/20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22.5.2020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7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3072/20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גרינצייג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בית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משפט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המחוזי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17.5.2020</w:t>
      </w:r>
      <w:r>
        <w:rPr>
          <w:rtl w:val="true"/>
        </w:rPr>
        <w:t xml:space="preserve">)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עיתונאים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גלובס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10.5.2020</w:t>
      </w:r>
      <w:r>
        <w:rPr>
          <w:rtl w:val="true"/>
        </w:rPr>
        <w:t xml:space="preserve">. </w:t>
      </w:r>
      <w:r>
        <w:rPr>
          <w:rtl w:val="true"/>
        </w:rPr>
        <w:t>משהערעור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והוכרעו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תלתא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..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' </w:t>
      </w:r>
      <w:r>
        <w:rPr>
          <w:rtl w:val="true"/>
        </w:rPr>
        <w:t>כבקשת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ופרסומם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בשידור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>'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גרינצייג</w:t>
      </w:r>
      <w:r>
        <w:rPr>
          <w:rtl w:val="true"/>
        </w:rPr>
        <w:t>" 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3313/20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בלוך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</w:t>
      </w:r>
      <w:r>
        <w:rPr>
          <w:rStyle w:val="-M"/>
          <w:rFonts w:eastAsia="Arial TUR" w:cs="Arial TUR"/>
          <w:rtl w:val="true"/>
        </w:rPr>
        <w:t xml:space="preserve"> </w:t>
      </w:r>
      <w:r>
        <w:rPr>
          <w:rStyle w:val="-M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22.5.2020</w:t>
      </w:r>
      <w:r>
        <w:rPr>
          <w:rtl w:val="true"/>
        </w:rPr>
        <w:t>)).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>
          <w:spacing w:val="8"/>
        </w:rPr>
      </w:pPr>
      <w:r>
        <w:rPr>
          <w:spacing w:val="8"/>
          <w:rtl w:val="true"/>
        </w:rPr>
        <w:t>ביום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</w:rPr>
        <w:t>2.4.2021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שבו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המערערים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והגישו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לבית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המשפט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המחוזי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"</w:t>
      </w:r>
      <w:r>
        <w:rPr>
          <w:spacing w:val="8"/>
          <w:rtl w:val="true"/>
        </w:rPr>
        <w:t>דרישה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לפומביות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הדיון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בתיק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זה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ובקשת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רשות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צילום</w:t>
      </w:r>
      <w:r>
        <w:rPr>
          <w:spacing w:val="8"/>
          <w:rtl w:val="true"/>
        </w:rPr>
        <w:t xml:space="preserve">" </w:t>
      </w:r>
      <w:r>
        <w:rPr>
          <w:spacing w:val="8"/>
          <w:rtl w:val="true"/>
        </w:rPr>
        <w:t>בבקשתם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טענו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המערערים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לאור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רגישותו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הציבורית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ההליך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דנן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יש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לאפשר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לציבור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להיות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נוכח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בדיוני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ההוכחות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לצלמם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ולפרסמם</w:t>
      </w:r>
      <w:r>
        <w:rPr>
          <w:spacing w:val="8"/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4.4.2021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במחשכים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סמוכים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ולשידורו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מההחלטות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בבקשתם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spacing w:val="6"/>
        </w:rPr>
      </w:pPr>
      <w:r>
        <w:rPr>
          <w:spacing w:val="6"/>
          <w:rtl w:val="true"/>
        </w:rPr>
        <w:t>בין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היתר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טוענים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המערערים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כי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קיימת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חשיבות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משמעותית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לשידור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דיוני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ההוכחות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לציבור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באופן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אשר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מצדיק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שינוי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מהחלטותיהם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הקודמות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בתי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המשפט</w:t>
      </w:r>
      <w:r>
        <w:rPr>
          <w:rFonts w:eastAsia="Garamond" w:cs="Garamond"/>
          <w:spacing w:val="6"/>
          <w:rtl w:val="true"/>
        </w:rPr>
        <w:t xml:space="preserve"> </w:t>
      </w:r>
      <w:r>
        <w:rPr>
          <w:spacing w:val="6"/>
          <w:rtl w:val="true"/>
        </w:rPr>
        <w:t>בעניין</w:t>
      </w:r>
      <w:r>
        <w:rPr>
          <w:spacing w:val="6"/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בתגובותיהם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; </w:t>
      </w:r>
      <w:r>
        <w:rPr>
          <w:rtl w:val="true"/>
        </w:rPr>
        <w:t>ובהודעותיהם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2.5.2021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בנוכחותם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שהדגישו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spacing w:val="8"/>
          <w:rtl w:val="true"/>
        </w:rPr>
        <w:t>בנסיבות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אלו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ומאחר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שכפי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שיובהר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להלן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אני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סבור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אין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ממש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בערעור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התנהלות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המערערים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במקרה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דנן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גובלת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בשימוש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לרעה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בהליכי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משפט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באופן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העלול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לפגוע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בצדדים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להליך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העיקרי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ראיתי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לנכון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להסתפק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בטענות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הצדדים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בכתב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לשם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הדיון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בערעור</w:t>
      </w:r>
      <w:r>
        <w:rPr>
          <w:spacing w:val="8"/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Style w:val="Style14"/>
        </w:rPr>
      </w:pPr>
      <w:r>
        <w:rPr>
          <w:rStyle w:val="Style14"/>
          <w:rtl w:val="true"/>
        </w:rPr>
        <w:t>בהתייחס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להחלטת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בית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המשפט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המחוזי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שלא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לסטות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מהחלטתו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להגביל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את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מספר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הנוכחים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באולם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בית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המשפט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הרי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שספק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רב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אם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למערערים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שבפניי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כל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מעמד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בהליך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הפלילי</w:t>
      </w:r>
      <w:r>
        <w:rPr>
          <w:rStyle w:val="Style14"/>
          <w:rFonts w:eastAsia="Garamond" w:cs="Garamond"/>
          <w:rtl w:val="true"/>
        </w:rPr>
        <w:t xml:space="preserve"> </w:t>
      </w:r>
      <w:r>
        <w:rPr>
          <w:rStyle w:val="Style14"/>
          <w:rtl w:val="true"/>
        </w:rPr>
        <w:t>דנן</w:t>
      </w:r>
      <w:r>
        <w:rPr>
          <w:rStyle w:val="Style14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מיוחדות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להתמודדות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עם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נגיף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הקורונה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החדש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הגבלות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במערכת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  <w:rtl w:val="true"/>
          </w:rPr>
          <w:t>הוראת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שעה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  <w:rtl w:val="true"/>
          </w:rPr>
          <w:t>התשפ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–</w:t>
        </w:r>
        <w:r>
          <w:rPr>
            <w:rStyle w:val="Hyperlink"/>
            <w:color w:val="0000FF"/>
            <w:u w:val="single"/>
          </w:rPr>
          <w:t>2020</w:t>
        </w:r>
      </w:hyperlink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tl w:val="true"/>
        </w:rPr>
        <w:t>:</w:t>
      </w:r>
    </w:p>
    <w:p>
      <w:pPr>
        <w:pStyle w:val="Style17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;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שידור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מהחלטותיו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אבהיר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ומעלים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שנדחו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להטריח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ולשאת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  <w:t>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שהעלויות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נוקטים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יוטלו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>.</w:t>
      </w:r>
    </w:p>
    <w:p>
      <w:pPr>
        <w:pStyle w:val="Style16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יישאו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Garamond" w:cs="Garamond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Garamond" w:cs="Garamond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bookmarkStart w:id="14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3.5.2021</w:t>
      </w:r>
      <w:r>
        <w:rPr>
          <w:rtl w:val="true"/>
        </w:rPr>
        <w:t xml:space="preserve">). </w:t>
      </w:r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21024590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54678313-2459/21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2459/21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פורום נאמני ארץ ישראל בליכוד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FrankRuehl"/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4">
    <w:name w:val="גופן_רגיל"/>
    <w:qFormat/>
    <w:rPr>
      <w:rFonts w:ascii="Garamond" w:hAnsi="Garamond" w:cs="Garamond"/>
      <w:sz w:val="24"/>
    </w:rPr>
  </w:style>
  <w:style w:type="character" w:styleId="-M">
    <w:name w:val="הדגשה-M"/>
    <w:qFormat/>
    <w:rPr>
      <w:rFonts w:ascii="Century" w:hAnsi="Century" w:cs="Miriam"/>
      <w:b/>
      <w:spacing w:val="0"/>
      <w:szCs w:val="24"/>
    </w:rPr>
  </w:style>
  <w:style w:type="character" w:styleId="QuoteChar">
    <w:name w:val="Quote Char"/>
    <w:qFormat/>
    <w:rPr>
      <w:rFonts w:cs="David"/>
      <w:i/>
      <w:iCs/>
      <w:color w:val="40404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5">
    <w:name w:val="פסקה לא ממוספרת"/>
    <w:basedOn w:val="Normal"/>
    <w:qFormat/>
    <w:pPr>
      <w:spacing w:lineRule="auto" w:line="360" w:before="0" w:after="420"/>
      <w:ind w:firstLine="799" w:start="0" w:end="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Style16">
    <w:name w:val="פסקה ממוספרת"/>
    <w:basedOn w:val="Style15"/>
    <w:next w:val="Style15"/>
    <w:qFormat/>
    <w:pPr>
      <w:numPr>
        <w:ilvl w:val="0"/>
        <w:numId w:val="1"/>
      </w:numPr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7">
    <w:name w:val="ציטוט ממורכז"/>
    <w:basedOn w:val="Quote"/>
    <w:qFormat/>
    <w:pPr>
      <w:spacing w:before="0" w:after="420"/>
      <w:ind w:hanging="0" w:start="1644" w:end="1276"/>
      <w:contextualSpacing/>
      <w:jc w:val="both"/>
    </w:pPr>
    <w:rPr>
      <w:rFonts w:ascii="Arial TUR" w:hAnsi="Arial TUR" w:cs="FrankRuehl"/>
      <w:i w:val="false"/>
      <w:iCs w:val="false"/>
      <w:color w:val="000000"/>
      <w:spacing w:val="10"/>
      <w:sz w:val="22"/>
      <w:szCs w:val="28"/>
    </w:rPr>
  </w:style>
  <w:style w:type="paragraph" w:styleId="Style18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403194" TargetMode="External"/><Relationship Id="rId3" Type="http://schemas.openxmlformats.org/officeDocument/2006/relationships/hyperlink" Target="http://www.nevo.co.il/law/189667" TargetMode="External"/><Relationship Id="rId4" Type="http://schemas.openxmlformats.org/officeDocument/2006/relationships/hyperlink" Target="http://www.nevo.co.il/law/189667/4.c" TargetMode="External"/><Relationship Id="rId5" Type="http://schemas.openxmlformats.org/officeDocument/2006/relationships/hyperlink" Target="http://www.nevo.co.il/case/26403194" TargetMode="External"/><Relationship Id="rId6" Type="http://schemas.openxmlformats.org/officeDocument/2006/relationships/hyperlink" Target="http://www.nevo.co.il/law/189667/4.c" TargetMode="External"/><Relationship Id="rId7" Type="http://schemas.openxmlformats.org/officeDocument/2006/relationships/hyperlink" Target="http://www.nevo.co.il/law/189667" TargetMode="External"/><Relationship Id="rId8" Type="http://schemas.openxmlformats.org/officeDocument/2006/relationships/hyperlink" Target="http://www.nevo.co.il/case/26403194" TargetMode="External"/><Relationship Id="rId9" Type="http://schemas.openxmlformats.org/officeDocument/2006/relationships/hyperlink" Target="http://www.nevo.co.il/case/26671029" TargetMode="External"/><Relationship Id="rId10" Type="http://schemas.openxmlformats.org/officeDocument/2006/relationships/hyperlink" Target="http://www.nevo.co.il/case/26671029" TargetMode="External"/><Relationship Id="rId11" Type="http://schemas.openxmlformats.org/officeDocument/2006/relationships/hyperlink" Target="http://www.nevo.co.il/case/26695021" TargetMode="External"/><Relationship Id="rId12" Type="http://schemas.openxmlformats.org/officeDocument/2006/relationships/hyperlink" Target="http://www.nevo.co.il/case/26671029" TargetMode="External"/><Relationship Id="rId13" Type="http://schemas.openxmlformats.org/officeDocument/2006/relationships/hyperlink" Target="http://www.nevo.co.il/case/26695021" TargetMode="External"/><Relationship Id="rId14" Type="http://schemas.openxmlformats.org/officeDocument/2006/relationships/hyperlink" Target="http://www.nevo.co.il/law/189667/4.c" TargetMode="External"/><Relationship Id="rId15" Type="http://schemas.openxmlformats.org/officeDocument/2006/relationships/hyperlink" Target="http://www.nevo.co.il/law/189667" TargetMode="External"/><Relationship Id="rId16" Type="http://schemas.openxmlformats.org/officeDocument/2006/relationships/hyperlink" Target="https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2021-05-04T11:27:00Z</dcterms:created>
  <dc:creator>h4</dc:creator>
  <dc:description/>
  <cp:keywords/>
  <dc:language>en-IL</dc:language>
  <cp:lastModifiedBy>orly</cp:lastModifiedBy>
  <cp:lastPrinted>2021-05-03T16:35:00Z</cp:lastPrinted>
  <dcterms:modified xsi:type="dcterms:W3CDTF">2021-05-04T11:27:00Z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פורום נאמני ארץ ישראל בליכוד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ישראל;ראש הממשלה בנימין נתניהו;שאול אלוביץ';איריס אלוביץ';ארנון מוזס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26403194:2;26671029:3;26695021:2</vt:lpwstr>
  </property>
  <property fmtid="{D5CDD505-2E9C-101B-9397-08002B2CF9AE}" pid="9" name="CITY">
    <vt:lpwstr/>
  </property>
  <property fmtid="{D5CDD505-2E9C-101B-9397-08002B2CF9AE}" pid="10" name="DATE">
    <vt:lpwstr>20210503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</vt:lpwstr>
  </property>
  <property fmtid="{D5CDD505-2E9C-101B-9397-08002B2CF9AE}" pid="14" name="LAWLISTTMP1">
    <vt:lpwstr>189667/004.c</vt:lpwstr>
  </property>
  <property fmtid="{D5CDD505-2E9C-101B-9397-08002B2CF9AE}" pid="15" name="LAWYER">
    <vt:lpwstr>יאיר חמודות;בעז בן צור;עמית חדד;ז'ק חן;מיכל רוזן עוזר;נעה פירר;נוית נגב;איריס ניב סבאג;אביעד ויסולי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בריאות</vt:lpwstr>
  </property>
  <property fmtid="{D5CDD505-2E9C-101B-9397-08002B2CF9AE}" pid="29" name="NOSE13">
    <vt:lpwstr>בתי-משפט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14;12;14</vt:lpwstr>
  </property>
  <property fmtid="{D5CDD505-2E9C-101B-9397-08002B2CF9AE}" pid="37" name="NOSE21">
    <vt:lpwstr>פומביות הדיון</vt:lpwstr>
  </property>
  <property fmtid="{D5CDD505-2E9C-101B-9397-08002B2CF9AE}" pid="38" name="NOSE210">
    <vt:lpwstr/>
  </property>
  <property fmtid="{D5CDD505-2E9C-101B-9397-08002B2CF9AE}" pid="39" name="NOSE22">
    <vt:lpwstr>בריאות הציבור</vt:lpwstr>
  </property>
  <property fmtid="{D5CDD505-2E9C-101B-9397-08002B2CF9AE}" pid="40" name="NOSE23">
    <vt:lpwstr>שימוש לרעה בהליכי בית-משפט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335;14052;343</vt:lpwstr>
  </property>
  <property fmtid="{D5CDD505-2E9C-101B-9397-08002B2CF9AE}" pid="48" name="NOSE31">
    <vt:lpwstr>הגבלתה</vt:lpwstr>
  </property>
  <property fmtid="{D5CDD505-2E9C-101B-9397-08002B2CF9AE}" pid="49" name="NOSE310">
    <vt:lpwstr/>
  </property>
  <property fmtid="{D5CDD505-2E9C-101B-9397-08002B2CF9AE}" pid="50" name="NOSE32">
    <vt:lpwstr>מניעת מחלות</vt:lpwstr>
  </property>
  <property fmtid="{D5CDD505-2E9C-101B-9397-08002B2CF9AE}" pid="51" name="NOSE33">
    <vt:lpwstr>קיומו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2750;18327;2816</vt:lpwstr>
  </property>
  <property fmtid="{D5CDD505-2E9C-101B-9397-08002B2CF9AE}" pid="59" name="PADIDATE">
    <vt:lpwstr>20210504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2459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410120210503</vt:lpwstr>
  </property>
  <property fmtid="{D5CDD505-2E9C-101B-9397-08002B2CF9AE}" pid="69" name="TYPE_N_DATE">
    <vt:lpwstr>41020210503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