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אהרון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30508-07-13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20.6.2018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</w:t>
            </w:r>
            <w:r>
              <w:rPr>
                <w:rtl w:val="true"/>
              </w:rPr>
              <w:t>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סרוגוביץ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שפיגלר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גושן</w:t>
            </w:r>
          </w:p>
        </w:tc>
      </w:tr>
    </w:tbl>
    <w:p>
      <w:pPr>
        <w:pStyle w:val="DocumentHead"/>
        <w:ind w:end="0"/>
        <w:jc w:val="center"/>
        <w:rPr>
          <w:bCs w:val="false"/>
          <w:u w:val="none"/>
        </w:rPr>
      </w:pPr>
      <w:r>
        <w:rPr>
          <w:bCs w:val="false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1982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186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11" w:name="ABSTRACT_START"/>
      <w:bookmarkStart w:id="12" w:name="LawTable_End"/>
      <w:bookmarkEnd w:id="11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הגבלים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מהרשעה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ולענישתו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הגיזום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החשמל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שתיווצר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DocumentHead"/>
        <w:ind w:end="0"/>
        <w:jc w:val="center"/>
        <w:rPr>
          <w:rFonts w:cs="FrankRuehl"/>
          <w:bCs w:val="false"/>
          <w:sz w:val="24"/>
          <w:szCs w:val="26"/>
          <w:u w:val="none"/>
        </w:rPr>
      </w:pPr>
      <w:r>
        <w:rPr>
          <w:rFonts w:cs="FrankRuehl"/>
          <w:bCs w:val="false"/>
          <w:sz w:val="24"/>
          <w:szCs w:val="26"/>
          <w:u w:val="none"/>
          <w:rtl w:val="true"/>
        </w:rPr>
      </w:r>
      <w:bookmarkStart w:id="13" w:name="ABSTRACT_END"/>
      <w:bookmarkStart w:id="14" w:name="ABSTRACT_END"/>
      <w:bookmarkEnd w:id="14"/>
    </w:p>
    <w:p>
      <w:pPr>
        <w:pStyle w:val="DocumentHead"/>
        <w:ind w:end="0"/>
        <w:jc w:val="center"/>
        <w:rPr/>
      </w:pPr>
      <w:bookmarkStart w:id="15" w:name="PsakDin"/>
      <w:bookmarkEnd w:id="15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6" w:name="PsakDin"/>
      <w:bookmarkStart w:id="17" w:name="PsakDin"/>
      <w:bookmarkEnd w:id="17"/>
    </w:p>
    <w:p>
      <w:pPr>
        <w:pStyle w:val="BODYVERDICT"/>
        <w:spacing w:lineRule="auto" w:line="480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ד</w:t>
      </w:r>
      <w:r>
        <w:rPr>
          <w:rFonts w:cs="Miriam" w:ascii="Times New Roman" w:hAnsi="Times New Roman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טפרברג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30508-07-13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4.12.2017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spacing w:before="0" w:after="0"/>
        <w:ind w:end="0"/>
        <w:contextualSpacing/>
        <w:jc w:val="both"/>
        <w:rPr>
          <w:rFonts w:ascii="Times New Roman" w:hAnsi="Times New Roman" w:cs="Miriam"/>
          <w:sz w:val="24"/>
          <w:szCs w:val="24"/>
        </w:rPr>
      </w:pPr>
      <w:r>
        <w:rPr>
          <w:rFonts w:ascii="Times New Roman" w:hAnsi="Times New Roman" w:cs="Miriam"/>
          <w:sz w:val="24"/>
          <w:sz w:val="24"/>
          <w:szCs w:val="24"/>
          <w:rtl w:val="true"/>
        </w:rPr>
        <w:t>רקע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ועיקרי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כתב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המתוקן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  <w:t xml:space="preserve"> </w:t>
      </w:r>
      <w:r>
        <w:rPr>
          <w:rFonts w:ascii="Century" w:hAnsi="Century" w:cs="Century"/>
          <w:rtl w:val="true"/>
        </w:rPr>
        <w:t>המערער הורשע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 שניתנה במסגרת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בעבירות של הסדר כובל וקבלת דבר במרמה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והחברה שבניהולו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אהרן גבאי גיזום ועבודות מנוף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>להלן ביחד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גבאי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הועמדו לדין כחלק מפרשה רחבת היקף של הסדרים כובלים שנעשו בין בעלי חברות גיזום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לקראת הגשת הצעות לחמישה מכרזי גיזום שפרסמה חברת החשמל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פי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גבאי וחמישה נאשמים אחרים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תיאמו ביניהם את ההצעות למכרזים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וחילקו מראש את הזכייה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השתתף גבאי בשתי פגישות תיאום בין חברי ההסדר הכובל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מעורב בשלוש הצעות גיבוי למכרזים שתואמו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וזכה בזכות ההסדר במכרז לגיזום קו המתח העליון באזור חיפה והצפון לפי מחיר שנתי בסך של </w:t>
      </w:r>
      <w:r>
        <w:rPr>
          <w:rFonts w:cs="Century" w:ascii="Century" w:hAnsi="Century"/>
        </w:rPr>
        <w:t>699,400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גבאי ביצע את עבודות הגיזום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המכרז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וקיבל בפועל תשלום בסך של </w:t>
      </w:r>
      <w:r>
        <w:rPr>
          <w:rFonts w:cs="Century" w:ascii="Century" w:hAnsi="Century"/>
        </w:rPr>
        <w:t>1,464,966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 הפחות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Times New Roman" w:hAnsi="Times New Roman" w:cs="Miriam"/>
          <w:sz w:val="24"/>
          <w:szCs w:val="24"/>
        </w:rPr>
      </w:pPr>
      <w:r>
        <w:rPr>
          <w:rFonts w:ascii="Times New Roman" w:hAnsi="Times New Roman" w:cs="Miriam"/>
          <w:sz w:val="24"/>
          <w:sz w:val="24"/>
          <w:szCs w:val="24"/>
          <w:rtl w:val="true"/>
        </w:rPr>
        <w:t>עיקרי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גזר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המחוזי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ציין את החומרה הרבה הטמונה בעבירות על דיני ההגבלים העסקיים ועל החשיבות שבהרתעה מפני ביצוען מחמת פגיעתן בתחרות החופשית ובמשק כולו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בבחינת 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כך שהיא בוצעה באופן מחושב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תכנון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השתתפותו של המערער בשתי פגישות תיאום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ומעורבותו בשלוש הצעות גיבוי נוסף להצעה שבה זכה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התרשם שהמניע למעשה מצד המערער היה היותו </w:t>
      </w:r>
      <w:r>
        <w:rPr>
          <w:rFonts w:cs="Miriam" w:ascii="Century" w:hAnsi="Century"/>
          <w:b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נתון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תחת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לחץ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קולגיאלי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והוא לא היה </w:t>
      </w:r>
      <w:r>
        <w:rPr>
          <w:rFonts w:cs="Miriam" w:ascii="Century" w:hAnsi="Century"/>
          <w:b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הרוח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החיה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מאחורי התכנון שקדם לביצוע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עמד על מגמת ההחמרה בענישה על עבירות כלכליות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והביא בחשבון גם את העונשים המרביים הקבועים בחוק על המעשים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בבחינת הנסיבות שאינן קשורות לביצוע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את עברו הפלילי הנקי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תרומתו לחברה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עברו הצבאי המפואר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כאב את כאבו של המערער על נפילת בנו במלחמת לבנון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 כך ביקש גם תסקיר מאת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ציין עם זאת שעבירות כלכליות מתבצעות לעיתים מזומנות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אנשים נורמטיביי</w:t>
      </w:r>
      <w:r>
        <w:rPr>
          <w:rFonts w:ascii="Century" w:hAnsi="Century" w:cs="Century"/>
          <w:rtl w:val="true"/>
        </w:rPr>
        <w:t>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מוכרים בקהילותיהם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דווקא בשל כך יש לדקדק עמהם </w:t>
      </w:r>
      <w:r>
        <w:rPr>
          <w:rFonts w:cs="Miriam" w:ascii="Century" w:hAnsi="Century"/>
          <w:b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בבחינת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קל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וחומר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ציין בית המשפט כי פרק הזמן שבו נוהלו ההליכים היה סביר ביחס לגודל הפרשה ומורכבותה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התרשם שהמערער מבטא חרטה כנה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לקח אחריות בשלב מאוחר יחסית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לבקשתו של המערער לביטול הרשעתו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היחס בין הנזק שיגרם לו כתוצאה מההרשעה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לעומת התועלת שתיצמח ממנה לאינטרס הציבורי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אין מקום לבטלה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שלפנינו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Times New Roman" w:hAnsi="Times New Roman" w:cs="Miriam"/>
          <w:sz w:val="24"/>
          <w:szCs w:val="24"/>
        </w:rPr>
      </w:pPr>
      <w:r>
        <w:rPr>
          <w:rFonts w:ascii="Times New Roman" w:hAnsi="Times New Roman" w:cs="Miriam"/>
          <w:sz w:val="24"/>
          <w:sz w:val="24"/>
          <w:szCs w:val="24"/>
          <w:rtl w:val="true"/>
        </w:rPr>
        <w:t>עיקרי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טענות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עותר לביטול הרשעתו ולענישתו 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שעות 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ולחלופין לביטול עונש המאסר בעבודות שירות שנגזר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עומד המערער תחילה על כך שבית המשפט המחוזי לא קבע בגזר הדין את מתחם העונש ההולם לעבירה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גם לא התייחס למיקומה של העבירה בגדרי מתחם הענישה ולשיקולים לסטייה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טעות זו היא טעות מהותית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כשלעצמה מהווה עילה להתערבותה של ערכאת הערעור בעונש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 כי הורשע בגין אותם מעשים בעבירת קבלת דבר במרמה ובעבירת ההסדר הכובל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להעניש אותו בענישה כפולה בגין העבירות הללו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לגופו של 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זניחותו של ענף הגיזום ביחס למשק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היקפו הקטן של ההסדר הכובל והעובדה שההסדר בוצע רק אל מול צרכן אחד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מלמדים על כך שהעבירה פגעה בערך התחרות החופשית במידה מוגבלת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שהעבירה התבצעה בלא תכנון ממשי וכי חלקו היחסי בה ומניעיו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מצביעים על כך שנסיבות ביצועה קלות יחסית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גורס גם שלא הוכח כי העבירה גרמה לנזק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שלא היה מקום להתחשב בנזקי העבירה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מטעים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לקבל את החלת מדיניות ההחמרה בענישה על עבירות כלכליות על 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הוא איש </w:t>
      </w:r>
      <w:r>
        <w:rPr>
          <w:rFonts w:cs="Miriam" w:ascii="Century" w:hAnsi="Century"/>
          <w:b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צווארון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כחול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אשר </w:t>
      </w:r>
      <w:r>
        <w:rPr>
          <w:rFonts w:cs="Miriam" w:ascii="Century" w:hAnsi="Century"/>
          <w:b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נמנה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סוגם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הנאשמים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הקלאסים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אלה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מוסיף וטוען כי ראוי למקם את עונשו בתחתית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גילו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עובדת היותו נכה צה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משנת 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והפגיעה החמורה שתיגרם לעסקו במידה ויבצע שלושה חודשי מאסר בעבודות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קיבל אחריות מלאה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לא היה מקום לייחס לחובתו את בחירתו לנהל את ההליכים המשפטיים עד לשלב מאוחר יחסית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בכך שכתב האישום תוקן בעקבותיהם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מפנה גם לנסיבות חייו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שפורטו בתסקיר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לחלוף הזמן מעת ביצוע העבירה ולכך שהוא נעדר עבר 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 הפגיעה הנטענת בעבודתו ובשיקומו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 כי מתקיימים בעניינו שיקולי שיקום המצדיקים חריגה ממתחם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לביטול הרשעתו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גורס המערער כי הרשעתו מובילה לפגיעה חמורה בתדמיתו וביכולת הפרנסה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היא מונעת ממנו לגשת למכרזים של רשויות וארגונים המתנים גישה למכרזיהם בהעדר עבר 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טוען המערער כי ביטול ההרשעה לא יגרום לפגיעה של ממש באינטרס הציבורי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אינו בעל מעמד בכיר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אין חשש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Miriam" w:ascii="Century" w:hAnsi="Century"/>
          <w:b/>
          <w:rtl w:val="true"/>
        </w:rPr>
        <w:t>"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מוטעה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לציבור</w:t>
      </w:r>
      <w:r>
        <w:rPr>
          <w:rFonts w:cs="Miriam" w:ascii="Century" w:hAnsi="Century"/>
          <w:b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בעקבותיה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before="0" w:after="0"/>
        <w:ind w:end="0"/>
        <w:contextualSpacing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20.6.2018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מינוריות</w:t>
      </w:r>
      <w:r>
        <w:rPr>
          <w:rtl w:val="true"/>
        </w:rPr>
        <w:t xml:space="preserve">"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ונזקיה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כי לא הוכח שהעבירה גרמה לנזק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על פי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צורך להוכיח זאת בעבירות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מעבר לנזקים הכלכליים שלהם גרמה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יצרה נזק להליך התקין של המכרז ולאפשרות לבחור מדעת את הזוכים בו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במכרזים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קרטל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הגיזום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במכרזיה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>.</w:t>
      </w:r>
    </w:p>
    <w:p>
      <w:pPr>
        <w:pStyle w:val="Ruller41"/>
        <w:spacing w:lineRule="auto" w:line="480" w:before="0" w:after="0"/>
        <w:ind w:end="0"/>
        <w:contextualSpacing/>
        <w:jc w:val="both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</w:r>
    </w:p>
    <w:p>
      <w:pPr>
        <w:pStyle w:val="Ruller41"/>
        <w:spacing w:lineRule="auto" w:line="480" w:before="0" w:after="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Miriam"/>
          <w:sz w:val="24"/>
          <w:sz w:val="24"/>
          <w:szCs w:val="24"/>
          <w:rtl w:val="true"/>
        </w:rPr>
        <w:t>דיון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אֵלו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ואֵלו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וגזרי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והגעתי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9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פסוקה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גוזרת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זולת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חריגות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3091/18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טרייגר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וההפניות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29.1.2009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דידן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הגד</w:t>
      </w:r>
      <w:r>
        <w:rPr>
          <w:rFonts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זוהי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/>
          <w:spacing w:val="10"/>
          <w:sz w:val="22"/>
          <w:szCs w:val="28"/>
          <w:rtl w:val="true"/>
        </w:rPr>
        <w:t>;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ערכאת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בוחנת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בראש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ובראשונה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הסופית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וגם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נפלה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שגגה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באופן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הפעלת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מנגנון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הבניית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שעוגן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בהוראות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תיקון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</w:rPr>
        <w:t>113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להצדיק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קבלת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מצדיקה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התערבות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hyperlink r:id="rId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8109/15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אהרון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אביטן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8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9.6.2016</w:t>
      </w:r>
      <w:r>
        <w:rPr>
          <w:rFonts w:cs="FrankRueh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10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כלכליות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ההגבלים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העסקיים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פוגעות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הכלכלית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במדינה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ובכיסם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אזרחיה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ההגבלים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העסקיים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ובראשונה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ולעודד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שומה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ולנקוט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המבקשים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לשקף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הגדולה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הרובצת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לפיתחה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העבריינות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הכלכלית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המתוחכמת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הקרבנות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העלולים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להיפגע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ממנה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הקושי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והמורכבות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שבאיתורה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ההוקעה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הברורה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יסודות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השחיתות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וניצול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עמדות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הכח</w:t>
      </w:r>
      <w:r>
        <w:rPr>
          <w:rFonts w:cs="Miriam"/>
          <w:sz w:val="28"/>
          <w:rtl w:val="true"/>
        </w:rPr>
        <w:t xml:space="preserve">, </w:t>
      </w:r>
      <w:r>
        <w:rPr>
          <w:rFonts w:cs="Miriam"/>
          <w:sz w:val="28"/>
          <w:sz w:val="28"/>
          <w:rtl w:val="true"/>
        </w:rPr>
        <w:t>השליטה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והמידע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הכרוכים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בביצועה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לשקף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בבירור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תגובתה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המחמירה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החברה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הפרת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נאמנות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בשימוש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בכספי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הזולת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ניצול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המשרה</w:t>
      </w:r>
      <w:r>
        <w:rPr>
          <w:rFonts w:cs="Miriam"/>
          <w:sz w:val="28"/>
          <w:rtl w:val="true"/>
        </w:rPr>
        <w:t xml:space="preserve">"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9788/03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גולן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25.2.2004</w:t>
      </w:r>
      <w:r>
        <w:rPr>
          <w:rFonts w:cs="FrankRuehl"/>
          <w:spacing w:val="10"/>
          <w:sz w:val="22"/>
          <w:szCs w:val="28"/>
          <w:rtl w:val="true"/>
        </w:rPr>
        <w:t>))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התבצעה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שיטתי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והובילה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לזכיה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בהיקף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בתכנון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הכובל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גיבוי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למכרזים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להצעה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במכרז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זכה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הכוב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ויצר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נזקים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לפעולתו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התקינה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הגיזום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ולחברת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החשמל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11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נוגעות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ללב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להכביר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מילים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להערכה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פועלו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ולהתחשבות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השכול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מעונשם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שחלקם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שתיווצר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בעסקיו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מההרשעה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שוכנענו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Miriam"/>
          <w:sz w:val="28"/>
          <w:rtl w:val="true"/>
        </w:rPr>
        <w:t>"</w:t>
      </w:r>
      <w:r>
        <w:rPr>
          <w:rFonts w:cs="Miriam"/>
          <w:sz w:val="28"/>
          <w:sz w:val="28"/>
          <w:rtl w:val="true"/>
        </w:rPr>
        <w:t>אכן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עשויה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להקשות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המורשע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ברם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המבחן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בהנחה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שנזק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ייגרם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 xml:space="preserve">[...] </w:t>
      </w:r>
      <w:r>
        <w:rPr>
          <w:rFonts w:cs="Miriam"/>
          <w:sz w:val="28"/>
          <w:sz w:val="28"/>
          <w:rtl w:val="true"/>
        </w:rPr>
        <w:t>עדיין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הנזק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חייב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להיות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בעוצמה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שתצדיק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rtl w:val="true"/>
        </w:rPr>
        <w:t>[</w:t>
      </w:r>
      <w:r>
        <w:rPr>
          <w:rFonts w:cs="Miriam"/>
          <w:sz w:val="28"/>
          <w:sz w:val="28"/>
          <w:rtl w:val="true"/>
        </w:rPr>
        <w:t>ההרשעה</w:t>
      </w:r>
      <w:r>
        <w:rPr>
          <w:rFonts w:cs="Miriam"/>
          <w:sz w:val="28"/>
          <w:rtl w:val="true"/>
        </w:rPr>
        <w:t xml:space="preserve">] </w:t>
      </w:r>
      <w:r>
        <w:rPr>
          <w:rFonts w:cs="Miriam"/>
          <w:sz w:val="28"/>
          <w:sz w:val="28"/>
          <w:rtl w:val="true"/>
        </w:rPr>
        <w:t>חרף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שבוצעו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בל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נשכח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הרשעה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התוצאה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הטבעית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העבירה</w:t>
      </w:r>
      <w:r>
        <w:rPr>
          <w:rFonts w:cs="Miriam"/>
          <w:sz w:val="28"/>
          <w:rtl w:val="true"/>
        </w:rPr>
        <w:t>"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hyperlink r:id="rId11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1840/12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יהודה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עוזר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30.4.2013</w:t>
      </w:r>
      <w:r>
        <w:rPr>
          <w:rFonts w:cs="FrankRueh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דוחים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1.8.2018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2.7.2018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16"/>
        </w:rPr>
      </w:pPr>
      <w:r>
        <w:rPr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18002480</w:t>
      </w:r>
      <w:r>
        <w:rPr>
          <w:sz w:val="16"/>
          <w:rtl w:val="true"/>
        </w:rPr>
        <w:t>_</w:t>
      </w:r>
      <w:r>
        <w:rPr>
          <w:sz w:val="16"/>
        </w:rPr>
        <w:t>O04.doc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  <w:r>
        <w:rPr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54678313-248/18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אהרון גבאי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93745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86" TargetMode="External"/><Relationship Id="rId5" Type="http://schemas.openxmlformats.org/officeDocument/2006/relationships/hyperlink" Target="http://www.nevo.co.il/case/7793745" TargetMode="External"/><Relationship Id="rId6" Type="http://schemas.openxmlformats.org/officeDocument/2006/relationships/hyperlink" Target="http://www.nevo.co.il/law/74903/186" TargetMode="External"/><Relationship Id="rId7" Type="http://schemas.openxmlformats.org/officeDocument/2006/relationships/hyperlink" Target="http://www.nevo.co.il/law/74903" TargetMode="External"/><Relationship Id="rId8" Type="http://schemas.openxmlformats.org/officeDocument/2006/relationships/hyperlink" Target="http://www.nevo.co.il/case/5875466" TargetMode="External"/><Relationship Id="rId9" Type="http://schemas.openxmlformats.org/officeDocument/2006/relationships/hyperlink" Target="http://www.nevo.co.il/case/20683368" TargetMode="External"/><Relationship Id="rId10" Type="http://schemas.openxmlformats.org/officeDocument/2006/relationships/hyperlink" Target="http://www.nevo.co.il/case/5983586" TargetMode="External"/><Relationship Id="rId11" Type="http://schemas.openxmlformats.org/officeDocument/2006/relationships/hyperlink" Target="http://www.nevo.co.il/case/5578161" TargetMode="External"/><Relationship Id="rId12" Type="http://schemas.openxmlformats.org/officeDocument/2006/relationships/hyperlink" Target="https://supreme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2018-07-03T08:25:00Z</dcterms:created>
  <dc:creator> </dc:creator>
  <dc:description/>
  <cp:keywords/>
  <dc:language>en-IL</dc:language>
  <cp:lastModifiedBy>orly</cp:lastModifiedBy>
  <cp:lastPrinted>2018-07-01T12:21:00Z</cp:lastPrinted>
  <dcterms:modified xsi:type="dcterms:W3CDTF">2018-07-03T08:25:00Z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אהרון גבאי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7793745:2;5875466;20683368;5983586;5578161</vt:lpwstr>
  </property>
  <property fmtid="{D5CDD505-2E9C-101B-9397-08002B2CF9AE}" pid="5" name="DATE">
    <vt:lpwstr>20180702</vt:lpwstr>
  </property>
  <property fmtid="{D5CDD505-2E9C-101B-9397-08002B2CF9AE}" pid="6" name="ISABSTRACT">
    <vt:lpwstr>Y</vt:lpwstr>
  </property>
  <property fmtid="{D5CDD505-2E9C-101B-9397-08002B2CF9AE}" pid="7" name="JUDGE">
    <vt:lpwstr>נ' סולברג;י' וילנר;ע' גרוסקופף</vt:lpwstr>
  </property>
  <property fmtid="{D5CDD505-2E9C-101B-9397-08002B2CF9AE}" pid="8" name="LAWLISTTMP1">
    <vt:lpwstr>74903/186:2</vt:lpwstr>
  </property>
  <property fmtid="{D5CDD505-2E9C-101B-9397-08002B2CF9AE}" pid="9" name="LAWYER">
    <vt:lpwstr>יצחק שפיגלר;אשר גושן;משה סרוגוביץ</vt:lpwstr>
  </property>
  <property fmtid="{D5CDD505-2E9C-101B-9397-08002B2CF9AE}" pid="10" name="METAKZER">
    <vt:lpwstr>קרן</vt:lpwstr>
  </property>
  <property fmtid="{D5CDD505-2E9C-101B-9397-08002B2CF9AE}" pid="11" name="NOSE11">
    <vt:lpwstr>דיון פלילי</vt:lpwstr>
  </property>
  <property fmtid="{D5CDD505-2E9C-101B-9397-08002B2CF9AE}" pid="12" name="NOSE110">
    <vt:lpwstr/>
  </property>
  <property fmtid="{D5CDD505-2E9C-101B-9397-08002B2CF9AE}" pid="13" name="NOSE12">
    <vt:lpwstr>עונשין</vt:lpwstr>
  </property>
  <property fmtid="{D5CDD505-2E9C-101B-9397-08002B2CF9AE}" pid="14" name="NOSE13">
    <vt:lpwstr>עונשין</vt:lpwstr>
  </property>
  <property fmtid="{D5CDD505-2E9C-101B-9397-08002B2CF9AE}" pid="15" name="NOSE14">
    <vt:lpwstr>עונשין</vt:lpwstr>
  </property>
  <property fmtid="{D5CDD505-2E9C-101B-9397-08002B2CF9AE}" pid="16" name="NOSE15">
    <vt:lpwstr>עונשין</vt:lpwstr>
  </property>
  <property fmtid="{D5CDD505-2E9C-101B-9397-08002B2CF9AE}" pid="17" name="NOSE16">
    <vt:lpwstr/>
  </property>
  <property fmtid="{D5CDD505-2E9C-101B-9397-08002B2CF9AE}" pid="18" name="NOSE17">
    <vt:lpwstr/>
  </property>
  <property fmtid="{D5CDD505-2E9C-101B-9397-08002B2CF9AE}" pid="19" name="NOSE18">
    <vt:lpwstr/>
  </property>
  <property fmtid="{D5CDD505-2E9C-101B-9397-08002B2CF9AE}" pid="20" name="NOSE19">
    <vt:lpwstr/>
  </property>
  <property fmtid="{D5CDD505-2E9C-101B-9397-08002B2CF9AE}" pid="21" name="NOSE1ID">
    <vt:lpwstr>18;77;77;77;77</vt:lpwstr>
  </property>
  <property fmtid="{D5CDD505-2E9C-101B-9397-08002B2CF9AE}" pid="22" name="NOSE21">
    <vt:lpwstr>ערעור</vt:lpwstr>
  </property>
  <property fmtid="{D5CDD505-2E9C-101B-9397-08002B2CF9AE}" pid="23" name="NOSE210">
    <vt:lpwstr/>
  </property>
  <property fmtid="{D5CDD505-2E9C-101B-9397-08002B2CF9AE}" pid="24" name="NOSE22">
    <vt:lpwstr>ענישה</vt:lpwstr>
  </property>
  <property fmtid="{D5CDD505-2E9C-101B-9397-08002B2CF9AE}" pid="25" name="NOSE23">
    <vt:lpwstr>ענישה</vt:lpwstr>
  </property>
  <property fmtid="{D5CDD505-2E9C-101B-9397-08002B2CF9AE}" pid="26" name="NOSE24">
    <vt:lpwstr>ענישה</vt:lpwstr>
  </property>
  <property fmtid="{D5CDD505-2E9C-101B-9397-08002B2CF9AE}" pid="27" name="NOSE25">
    <vt:lpwstr>ענישה</vt:lpwstr>
  </property>
  <property fmtid="{D5CDD505-2E9C-101B-9397-08002B2CF9AE}" pid="28" name="NOSE26">
    <vt:lpwstr/>
  </property>
  <property fmtid="{D5CDD505-2E9C-101B-9397-08002B2CF9AE}" pid="29" name="NOSE27">
    <vt:lpwstr/>
  </property>
  <property fmtid="{D5CDD505-2E9C-101B-9397-08002B2CF9AE}" pid="30" name="NOSE28">
    <vt:lpwstr/>
  </property>
  <property fmtid="{D5CDD505-2E9C-101B-9397-08002B2CF9AE}" pid="31" name="NOSE29">
    <vt:lpwstr/>
  </property>
  <property fmtid="{D5CDD505-2E9C-101B-9397-08002B2CF9AE}" pid="32" name="NOSE2ID">
    <vt:lpwstr>504;1446;1446;1446;1446</vt:lpwstr>
  </property>
  <property fmtid="{D5CDD505-2E9C-101B-9397-08002B2CF9AE}" pid="33" name="NOSE31">
    <vt:lpwstr>התערבות במידת העונש</vt:lpwstr>
  </property>
  <property fmtid="{D5CDD505-2E9C-101B-9397-08002B2CF9AE}" pid="34" name="NOSE310">
    <vt:lpwstr/>
  </property>
  <property fmtid="{D5CDD505-2E9C-101B-9397-08002B2CF9AE}" pid="35" name="NOSE32">
    <vt:lpwstr>מתחם הענישה</vt:lpwstr>
  </property>
  <property fmtid="{D5CDD505-2E9C-101B-9397-08002B2CF9AE}" pid="36" name="NOSE33">
    <vt:lpwstr>מדיניות ענישה: עבירות כלכליות</vt:lpwstr>
  </property>
  <property fmtid="{D5CDD505-2E9C-101B-9397-08002B2CF9AE}" pid="37" name="NOSE34">
    <vt:lpwstr>מדיניות ענישה: הגבלים עסקיים</vt:lpwstr>
  </property>
  <property fmtid="{D5CDD505-2E9C-101B-9397-08002B2CF9AE}" pid="38" name="NOSE35">
    <vt:lpwstr>הימנעות מהרשעה</vt:lpwstr>
  </property>
  <property fmtid="{D5CDD505-2E9C-101B-9397-08002B2CF9AE}" pid="39" name="NOSE36">
    <vt:lpwstr/>
  </property>
  <property fmtid="{D5CDD505-2E9C-101B-9397-08002B2CF9AE}" pid="40" name="NOSE37">
    <vt:lpwstr/>
  </property>
  <property fmtid="{D5CDD505-2E9C-101B-9397-08002B2CF9AE}" pid="41" name="NOSE38">
    <vt:lpwstr/>
  </property>
  <property fmtid="{D5CDD505-2E9C-101B-9397-08002B2CF9AE}" pid="42" name="NOSE39">
    <vt:lpwstr/>
  </property>
  <property fmtid="{D5CDD505-2E9C-101B-9397-08002B2CF9AE}" pid="43" name="NOSE3ID">
    <vt:lpwstr>15230;14985;8987;17337;11695</vt:lpwstr>
  </property>
  <property fmtid="{D5CDD505-2E9C-101B-9397-08002B2CF9AE}" pid="44" name="PADIDATE">
    <vt:lpwstr>20180703</vt:lpwstr>
  </property>
  <property fmtid="{D5CDD505-2E9C-101B-9397-08002B2CF9AE}" pid="45" name="PADIMAIL">
    <vt:lpwstr>YES</vt:lpwstr>
  </property>
  <property fmtid="{D5CDD505-2E9C-101B-9397-08002B2CF9AE}" pid="46" name="PROCESS">
    <vt:lpwstr>עפ</vt:lpwstr>
  </property>
  <property fmtid="{D5CDD505-2E9C-101B-9397-08002B2CF9AE}" pid="47" name="PROCNUM">
    <vt:lpwstr>248</vt:lpwstr>
  </property>
  <property fmtid="{D5CDD505-2E9C-101B-9397-08002B2CF9AE}" pid="48" name="PROCYEAR">
    <vt:lpwstr>18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410120180702</vt:lpwstr>
  </property>
  <property fmtid="{D5CDD505-2E9C-101B-9397-08002B2CF9AE}" pid="52" name="TYPE_N_DATE">
    <vt:lpwstr>41020180702</vt:lpwstr>
  </property>
  <property fmtid="{D5CDD505-2E9C-101B-9397-08002B2CF9AE}" pid="53" name="WORDNUMPAGES">
    <vt:lpwstr>7</vt:lpwstr>
  </property>
</Properties>
</file>