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2483/22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מחאמיד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בכרייה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מחמאיד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אינשיראח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מחמאיד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פואד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מחאמיד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קוטון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באומגרט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03.03.2022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57826-08-19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22.03.23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Start w:id="5" w:name="lawyers_a_title"/>
            <w:bookmarkEnd w:id="4"/>
            <w:bookmarkEnd w:id="5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עאמר</w:t>
            </w:r>
            <w:r>
              <w:rPr>
                <w:rtl w:val="true"/>
              </w:rPr>
              <w:tab/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6" w:name="lawyers_b_title"/>
            <w:bookmarkEnd w:id="6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גדעוני</w:t>
            </w:r>
            <w:r>
              <w:rPr>
                <w:rtl w:val="true"/>
              </w:rPr>
              <w:tab/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77"/>
        <w:gridCol w:w="5108"/>
      </w:tblGrid>
      <w:tr>
        <w:trPr/>
        <w:tc>
          <w:tcPr>
            <w:tcW w:w="31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4-2</w:t>
            </w:r>
            <w:r>
              <w:rPr>
                <w:rtl w:val="true"/>
              </w:rPr>
              <w:t>:</w:t>
            </w:r>
          </w:p>
        </w:tc>
        <w:tc>
          <w:tcPr>
            <w:tcW w:w="510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פיסו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7" w:name="LawTable"/>
      <w:bookmarkEnd w:id="7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7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כב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0" w:name="ABSTRACT_START"/>
      <w:bookmarkEnd w:id="10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בדין הורשע המערער בעבירת רצח בנסיבות מחמירות לפי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בשל כך שרצח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את אמו </w:t>
      </w:r>
      <w:r>
        <w:rPr>
          <w:rFonts w:ascii="Times New Roman" w:hAnsi="Times New Roman" w:cs="Times New Roman"/>
          <w:spacing w:val="0"/>
          <w:szCs w:val="26"/>
          <w:rtl w:val="true"/>
        </w:rPr>
        <w:t>באכזריות מיוחדת תוך התעללות גופנית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ובדין הושת עליו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אינו </w:t>
      </w:r>
      <w:r>
        <w:rPr>
          <w:rFonts w:ascii="Times New Roman" w:hAnsi="Times New Roman" w:cs="Times New Roman"/>
          <w:spacing w:val="0"/>
          <w:szCs w:val="26"/>
          <w:rtl w:val="true"/>
        </w:rPr>
        <w:t>עומד בתנאי האחריות המופחתת הקבועים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מתקיימות נסיבות מיוחדות שבשלהן המעשה אינו מבטא דרגת אשמה חמורה במיוחד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לפי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אכזריות מיוחדת או תוך התעללות גופנית או נפשית בקורבן ‏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רצח חריג בחומרתו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רצח בנסיבות חריגות בחומרתן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ענישה מופחתת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די</w:t>
      </w:r>
      <w:r>
        <w:rPr>
          <w:rFonts w:ascii="Times New Roman" w:hAnsi="Times New Roman" w:cs="Times New Roman"/>
          <w:spacing w:val="0"/>
          <w:szCs w:val="26"/>
          <w:rtl w:val="true"/>
        </w:rPr>
        <w:t>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בה הורשע המערער בעבירת רצח בנסיבות מחמירות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אמו המנוחה לפי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בשל כך שהרצח נגרם באכזריות מיוחדת תוך התעללות גופנית במנוחה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הערעור נסב גם על גזר הדין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בו נגזר עליו עונש מאסר עולם והוא חויב לפצות את נפגעי העבירה בסך כולל של </w:t>
      </w:r>
      <w:r>
        <w:rPr>
          <w:rFonts w:cs="Times New Roman" w:ascii="Times New Roman" w:hAnsi="Times New Roman"/>
          <w:spacing w:val="0"/>
          <w:szCs w:val="26"/>
        </w:rPr>
        <w:t>200,000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הדיון נסב אודות </w:t>
      </w:r>
      <w:r>
        <w:rPr>
          <w:rFonts w:ascii="Times New Roman" w:hAnsi="Times New Roman" w:cs="Times New Roman"/>
          <w:spacing w:val="0"/>
          <w:szCs w:val="26"/>
          <w:rtl w:val="true"/>
        </w:rPr>
        <w:t>תחולת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שמעשי המערער נכנסים לגדרו של סעיף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שעונשו מאסר עולם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אז מתעוררות שתי שאלות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האם המערער עומד בתנאי האחריות המופחתת הקבועים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האם מתקיימות נסיבות מיוחדות שבשלהן המעשה אינו מבטא דרגת אשמה חמורה במיוחד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לפי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מינץ ובהסכמת השופטים עמית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כבוב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Cs w:val="26"/>
          <w:rtl w:val="true"/>
        </w:rPr>
        <w:t>תחולת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פיו רצח המנוחה נעשה באכזריות 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תוך התעללות גופנית או נפשית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הביטוי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אכזריות 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מגלם בתוכו דרישה לאכזריות החורגת מזו הגלומה בעצם מעשה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בדרישה אשר שמה דגש על קורבן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במובן זה שיש לבחון את מעשה הרצח על פי החוויה שעבר הקרבן ועוצמת הפגיעה בו ובכבודו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בהנחה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לקבוע שהמערער כרת את ראש המנוחה בהיותה בחיים כנסיבה המצביעה כשלעצמה על ביצוע המעשה באכזריות 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עדיין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ביצע את מעשיו באכזריות קשה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קיצונית 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לנסיבות האחרות האופפות את ביצוע הרצח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כאב וסבל חריגים וקיצוניים שהיו מנת חלקה של המנוחה בעת שבנה חובט בה למוות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בביתה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מבצרה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היא זועקת זעקות שבר וכאב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לפיכך הסעיף האמור חל נוכח </w:t>
      </w:r>
      <w:r>
        <w:rPr>
          <w:rFonts w:ascii="Times New Roman" w:hAnsi="Times New Roman" w:cs="Times New Roman"/>
          <w:spacing w:val="0"/>
          <w:szCs w:val="26"/>
          <w:rtl w:val="true"/>
        </w:rPr>
        <w:t>התקיימות דרישת 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אכזריות המיוחדת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>".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Cs w:val="26"/>
          <w:rtl w:val="true"/>
        </w:rPr>
        <w:t>התקיימו</w:t>
      </w:r>
      <w:r>
        <w:rPr>
          <w:rFonts w:ascii="Times New Roman" w:hAnsi="Times New Roman" w:cs="Times New Roman"/>
          <w:spacing w:val="0"/>
          <w:szCs w:val="26"/>
          <w:rtl w:val="true"/>
        </w:rPr>
        <w:t>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יסודות חלק מהחלופות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לחוק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כותרתו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המתה בנסיבות של אחריות מופחתת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אחריות מופחתת בשל שכרות 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ascii="Times New Roman" w:hAnsi="Times New Roman" w:cs="Times New Roman"/>
          <w:spacing w:val="0"/>
          <w:szCs w:val="26"/>
          <w:rtl w:val="true"/>
        </w:rPr>
        <w:t>חריות מופחתת עקב הפרעה נפשית חמורה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Cs w:val="26"/>
          <w:rtl w:val="true"/>
        </w:rPr>
        <w:t>רף ההוכחה הנדרש מנאשם המבקש להוכיח כי התקיימו בעניינו 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האם במקרה זה עליו לעמוד ברף הוכחה של מאזן הסתברויות או שמא יש לראות בטענה זו כמעין טענת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סייג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שמשמעותה כי כל שמוטל על הנאשם לעשות הוא לעורר ספק סביר בלבד בדבר התקיימותה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ענייננו הדברים אינם טעונים הכרעה שכן המערער לא עמד בנטל להוכיח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אף לעמדה מקלה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 מתעורר ולוּ ספק סביר ביחס להתקיימות התנאים המקלים המנויים בסעיף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אחריות מופחתת בשל סייג השכרות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הוכיח כי היה בעת ביצוע הרצח תחת השפעת סמים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לא הוכיח את מידת ההשפעה שהייתה לצריכת הסם הנטענת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הנדרשת להוכחת הטענה של שכרות מלאה או חלקית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היה נתון במצב פסיכוטי בעת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אחריות מופחתת לנאשם שנמצא על סף העמידה בתנאי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לחוק שעניינו בסייג היעדר שפיות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למערער היסטוריה ארוכה של שימוש בסמים והוא אובחן כלוקה בסכיזופרניה בגינה גם אושפז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יתכן שאף חלה התדרדרות במצבו הנפשי לפני הרצח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המערער לא עמד בנטל מינימלי ביותר להוכחת התקיימות תנאי 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לתחולת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המכונה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פתח המילוט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במקרים חריגים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שבהם המעשה אינו מבטא דרגת אשמה חמורה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מקרה זה אינו נמנה על המקרים החריגים המצדיקים החלת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פתח המילוט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אפילו מחמת הספק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הוכחה לא טענת היותו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במצב של שכרות בעת האירוע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טענת היותו במצב פסיכוטי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מעבר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מכלול הנסיבות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ובעיקר האכזריות החריגה והקשה כלפי המנוחה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מצביע דווקא על מידת אשמה רבה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כי בני משפחת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פנו לבית חולים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שער מנשה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בסמוך לפני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בעת שחלה התדרדרות במצבו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לטענתם </w:t>
      </w:r>
      <w:r>
        <w:rPr>
          <w:rFonts w:ascii="Times New Roman" w:hAnsi="Times New Roman" w:cs="Times New Roman"/>
          <w:spacing w:val="0"/>
          <w:szCs w:val="26"/>
          <w:rtl w:val="true"/>
        </w:rPr>
        <w:t>לא קיבלו מענה מספק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</w:t>
      </w:r>
      <w:r>
        <w:rPr>
          <w:rFonts w:ascii="Times New Roman" w:hAnsi="Times New Roman" w:cs="Times New Roman"/>
          <w:spacing w:val="0"/>
          <w:szCs w:val="26"/>
          <w:rtl w:val="true"/>
        </w:rPr>
        <w:t>בכוח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להביא למסקנה בדבר דרגת אשמה פחותה במעשיו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מקום להתערב בהרשעת המערער וכפועל יוצא מכך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הערעור על גזר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אין מקום לקבל את ערעור המערער על רכיב הפיצוי המשקף את חומרת המעשים והולם את נסיבות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אדרבה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מן הנמנע כי בשל הנסיבות החמורות של ביצוע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מקום לפסוק את הסכום המקסימאלי שניתן לפסוק לפי 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BeginProtocol"/>
            <w:bookmarkStart w:id="15" w:name="secretary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6" w:name="Writer_Name"/>
      <w:bookmarkEnd w:id="16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7" w:name="Start_Write"/>
      <w:bookmarkStart w:id="18" w:name="Start_Write"/>
      <w:bookmarkEnd w:id="18"/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באומגרט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57826-08-19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16.2.2022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 הורשע המערער בעבירת רצח בנסיבות מחמירות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על גזר דינו מיום </w:t>
      </w:r>
      <w:r>
        <w:rPr>
          <w:rFonts w:cs="Century" w:ascii="Century" w:hAnsi="Century"/>
        </w:rPr>
        <w:t>3.3.2022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בו נגזר עליו עונש מאסר עולם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תוך הפעלת מאסר על תנאי בר הפעלה של שישה חודשים בחופף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והוא חויב לפצות את נפגעי העבירה בסך כולל של </w:t>
      </w:r>
      <w:r>
        <w:rPr>
          <w:rFonts w:cs="Century" w:ascii="Century" w:hAnsi="Century"/>
        </w:rPr>
        <w:t>200,000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הוא בנה של המנוחה ובתקופה שקדמה לרצח התגורר עמה ועם אחותו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בכריה</w:t>
      </w:r>
      <w:r>
        <w:rPr>
          <w:rtl w:val="true"/>
        </w:rPr>
        <w:t xml:space="preserve">) </w:t>
      </w:r>
      <w:r>
        <w:rPr>
          <w:rtl w:val="true"/>
        </w:rPr>
        <w:t xml:space="preserve">בדירת המנוחה באום אל פאחם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הדירה</w:t>
      </w:r>
      <w:r>
        <w:rPr>
          <w:rtl w:val="true"/>
        </w:rPr>
        <w:t xml:space="preserve">). </w:t>
      </w:r>
      <w:r>
        <w:rPr>
          <w:rtl w:val="true"/>
        </w:rPr>
        <w:t>מספר ימים לפני הרצח</w:t>
      </w:r>
      <w:r>
        <w:rPr>
          <w:rtl w:val="true"/>
        </w:rPr>
        <w:t xml:space="preserve">, </w:t>
      </w:r>
      <w:r>
        <w:rPr>
          <w:rtl w:val="true"/>
        </w:rPr>
        <w:t>בשל חששה מהמערער</w:t>
      </w:r>
      <w:r>
        <w:rPr>
          <w:rtl w:val="true"/>
        </w:rPr>
        <w:t xml:space="preserve">, </w:t>
      </w:r>
      <w:r>
        <w:rPr>
          <w:rtl w:val="true"/>
        </w:rPr>
        <w:t>עזבה בכריה את הדירה ועברה להתגורר בבית אחר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27.7.2019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21:15</w:t>
      </w:r>
      <w:r>
        <w:rPr>
          <w:rtl w:val="true"/>
        </w:rPr>
        <w:t xml:space="preserve">, </w:t>
      </w:r>
      <w:r>
        <w:rPr>
          <w:rtl w:val="true"/>
        </w:rPr>
        <w:t>בערה חמתו של המערער על רקע שאינו ידוע למשיבה</w:t>
      </w:r>
      <w:r>
        <w:rPr>
          <w:rtl w:val="true"/>
        </w:rPr>
        <w:t xml:space="preserve">, </w:t>
      </w:r>
      <w:r>
        <w:rPr>
          <w:rtl w:val="true"/>
        </w:rPr>
        <w:t>והוא החליט לגרום למותה של המנוחה</w:t>
      </w:r>
      <w:r>
        <w:rPr>
          <w:rtl w:val="true"/>
        </w:rPr>
        <w:t xml:space="preserve">. </w:t>
      </w:r>
      <w:r>
        <w:rPr>
          <w:rtl w:val="true"/>
        </w:rPr>
        <w:t>הוא החל להכותה בכל חלקי גופה באמצעות חפצים שונים בכוונה לגרום למותה</w:t>
      </w:r>
      <w:r>
        <w:rPr>
          <w:rtl w:val="true"/>
        </w:rPr>
        <w:t xml:space="preserve">, </w:t>
      </w:r>
      <w:r>
        <w:rPr>
          <w:rtl w:val="true"/>
        </w:rPr>
        <w:t>הטיח את ראשה במשטחים קשים ושיסף את גרונה באמצעות חפץ חד עד כריתה כמעט מלאה של הראש מהצוואר</w:t>
      </w:r>
      <w:r>
        <w:rPr>
          <w:rtl w:val="true"/>
        </w:rPr>
        <w:t xml:space="preserve">, </w:t>
      </w:r>
      <w:r>
        <w:rPr>
          <w:rtl w:val="true"/>
        </w:rPr>
        <w:t>עד שנגרם מותה</w:t>
      </w:r>
      <w:r>
        <w:rPr>
          <w:rtl w:val="true"/>
        </w:rPr>
        <w:t xml:space="preserve">. </w:t>
      </w:r>
      <w:r>
        <w:rPr>
          <w:rtl w:val="true"/>
        </w:rPr>
        <w:t>למערער יוחסה עבירת 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בשל כך שהרצח נגרם באכזריות מיוחדת תוך התעללות גופנית במנוחה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בתשובה לכתב האישום כפר המערער בכל המיוחס לו למעט העובדה שהתגורר בדירה</w:t>
      </w:r>
      <w:r>
        <w:rPr>
          <w:rtl w:val="true"/>
        </w:rPr>
        <w:t xml:space="preserve">. </w:t>
      </w:r>
      <w:r>
        <w:rPr>
          <w:rtl w:val="true"/>
        </w:rPr>
        <w:t>המערער הכחיש כל קשר למות המנוחה</w:t>
      </w:r>
      <w:r>
        <w:rPr>
          <w:rtl w:val="true"/>
        </w:rPr>
        <w:t xml:space="preserve">, </w:t>
      </w:r>
      <w:r>
        <w:rPr>
          <w:rtl w:val="true"/>
        </w:rPr>
        <w:t xml:space="preserve">כאשר לטענתו שהה בליל האירוע בביתם של אחות אחרת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אינשיראח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ובן זוגה</w:t>
      </w:r>
      <w:r>
        <w:rPr>
          <w:rtl w:val="true"/>
        </w:rPr>
        <w:t xml:space="preserve">, </w:t>
      </w:r>
      <w:r>
        <w:rPr>
          <w:rtl w:val="true"/>
        </w:rPr>
        <w:t>לאחר שהשתמש בסמים במשך כל אותו היום</w:t>
      </w:r>
      <w:r>
        <w:rPr>
          <w:rtl w:val="true"/>
        </w:rPr>
        <w:t xml:space="preserve">. </w:t>
      </w:r>
      <w:r>
        <w:rPr>
          <w:rtl w:val="true"/>
        </w:rPr>
        <w:t>במסגרת הגנתו העלה המערער</w:t>
      </w:r>
      <w:r>
        <w:rPr>
          <w:rtl w:val="true"/>
        </w:rPr>
        <w:t xml:space="preserve">, </w:t>
      </w:r>
      <w:r>
        <w:rPr>
          <w:rtl w:val="true"/>
        </w:rPr>
        <w:t>לצד הכחשה מוחלטת של ביצוע המעשים המיוחסים לו</w:t>
      </w:r>
      <w:r>
        <w:rPr>
          <w:rtl w:val="true"/>
        </w:rPr>
        <w:t xml:space="preserve">, </w:t>
      </w:r>
      <w:r>
        <w:rPr>
          <w:rtl w:val="true"/>
        </w:rPr>
        <w:t xml:space="preserve">טענות חלופיות בדבר אחריותו המופחתת לרצח וטען כי יש להחיל בעניינו את הוראת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נוכח ההתדרדרות במצבו הנפשי עובר לאירוע על רקע שימוש בסמים</w:t>
      </w:r>
      <w:r>
        <w:rPr>
          <w:rtl w:val="true"/>
        </w:rPr>
        <w:t xml:space="preserve">. </w:t>
      </w:r>
      <w:r>
        <w:rPr>
          <w:rtl w:val="true"/>
        </w:rPr>
        <w:t xml:space="preserve">לחלופין טען כי מתקיים בעניינו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שכן מדובר בנסיבות מיוחדות שבשלהן המעשה אינו מבטא דרגת אשמה חמורה במיוחד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יצוין כבר עתה כי בתחילה הגיש המערער לבית משפט זה ערעור על עצם הרשעתו בביצוע מעשה הרצח</w:t>
      </w:r>
      <w:r>
        <w:rPr>
          <w:rtl w:val="true"/>
        </w:rPr>
        <w:t xml:space="preserve">. </w:t>
      </w:r>
      <w:r>
        <w:rPr>
          <w:rtl w:val="true"/>
        </w:rPr>
        <w:t>אלא שלאחר שמיעת טענותיו לפנינו ולאחר ששמע את הערותינו חזר בו מערעורו זה ומיקד את טענותיו בקיומן של נסיבות המצדיקות לשיטתו את הרשעתו בעבירות שעונשן מקל יותר ממאסר עולם</w:t>
      </w:r>
      <w:r>
        <w:rPr>
          <w:rtl w:val="true"/>
        </w:rPr>
        <w:t xml:space="preserve">. </w:t>
      </w:r>
      <w:r>
        <w:rPr>
          <w:rtl w:val="true"/>
        </w:rPr>
        <w:t>על כן פירוט הכרעת דינו של בית המשפט המחוזי וטיעוני הצדדים יתמקד רק לגבי טיעון 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בהכרעת הדין סקר בית המשפט את הראיות המרכזיות שהוגשו והתייחס בהרחבה לכל אחת מהן</w:t>
      </w:r>
      <w:r>
        <w:rPr>
          <w:rtl w:val="true"/>
        </w:rPr>
        <w:t xml:space="preserve">. </w:t>
      </w:r>
      <w:r>
        <w:rPr>
          <w:rtl w:val="true"/>
        </w:rPr>
        <w:t xml:space="preserve">בכלל זה ניתנה הדעת למכלול הראיות הנסיבתיות המצביעות על מעורבותו של המערער בביצוע הרצח </w:t>
      </w:r>
      <w:r>
        <w:rPr>
          <w:rtl w:val="true"/>
        </w:rPr>
        <w:t>–</w:t>
      </w:r>
      <w:r>
        <w:rPr>
          <w:rtl w:val="true"/>
        </w:rPr>
        <w:t xml:space="preserve"> עדויות בני המשפחה הגרים בסמיכות לדירת המנוחה באשר לקולות שבקעו מהדירה בליל האירוע</w:t>
      </w:r>
      <w:r>
        <w:rPr>
          <w:rtl w:val="true"/>
        </w:rPr>
        <w:t xml:space="preserve">, </w:t>
      </w:r>
      <w:r>
        <w:rPr>
          <w:rtl w:val="true"/>
        </w:rPr>
        <w:t>אשר נמצאו עקביות ומהימנות</w:t>
      </w:r>
      <w:r>
        <w:rPr>
          <w:rtl w:val="true"/>
        </w:rPr>
        <w:t xml:space="preserve">; </w:t>
      </w:r>
      <w:r>
        <w:rPr>
          <w:rtl w:val="true"/>
        </w:rPr>
        <w:t xml:space="preserve">עדותו של מוהנד מחאמיד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מוהנד</w:t>
      </w:r>
      <w:r>
        <w:rPr>
          <w:rtl w:val="true"/>
        </w:rPr>
        <w:t xml:space="preserve">), </w:t>
      </w:r>
      <w:r>
        <w:rPr>
          <w:rtl w:val="true"/>
        </w:rPr>
        <w:t>נכד המנוחה</w:t>
      </w:r>
      <w:r>
        <w:rPr>
          <w:rtl w:val="true"/>
        </w:rPr>
        <w:t xml:space="preserve">, </w:t>
      </w:r>
      <w:r>
        <w:rPr>
          <w:rtl w:val="true"/>
        </w:rPr>
        <w:t>אחיינו של המערער</w:t>
      </w:r>
      <w:r>
        <w:rPr>
          <w:rtl w:val="true"/>
        </w:rPr>
        <w:t xml:space="preserve">, </w:t>
      </w:r>
      <w:r>
        <w:rPr>
          <w:rtl w:val="true"/>
        </w:rPr>
        <w:t>אשר מתגורר מעל הדירה ואשר שם פעמיו אליה בליל האירוע עקב הקולות שבקעו ממנה</w:t>
      </w:r>
      <w:r>
        <w:rPr>
          <w:rtl w:val="true"/>
        </w:rPr>
        <w:t xml:space="preserve">, </w:t>
      </w:r>
      <w:r>
        <w:rPr>
          <w:rtl w:val="true"/>
        </w:rPr>
        <w:t>שם נתקל במערער כאשר בגדיו מגואלים בדם</w:t>
      </w:r>
      <w:r>
        <w:rPr>
          <w:rtl w:val="true"/>
        </w:rPr>
        <w:t xml:space="preserve">;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 המבוסס על סרטוני אבטחה בהם נצפה המערער כשהוא הולך אל הדירה בליל האירוע ויוצא ממנה מספר שעות לאחר מכן</w:t>
      </w:r>
      <w:r>
        <w:rPr>
          <w:rtl w:val="true"/>
        </w:rPr>
        <w:t xml:space="preserve">; </w:t>
      </w:r>
      <w:r>
        <w:rPr>
          <w:rtl w:val="true"/>
        </w:rPr>
        <w:t>ראיות פורנזיות שונות ובהן כתמי דם המנוחה שנמצאו על מכנסי המערער</w:t>
      </w:r>
      <w:r>
        <w:rPr>
          <w:rtl w:val="true"/>
        </w:rPr>
        <w:t xml:space="preserve">, </w:t>
      </w:r>
      <w:r>
        <w:rPr>
          <w:rtl w:val="true"/>
        </w:rPr>
        <w:t>טביעות אצבע של המערער שנמצאו בזירת הרצח כשהן מוכתמות בדם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בית המשפט עמד על כך שאמנם מדובר בראיות נסיבתיות אשר מעצם טבען אינן מוכיחות במישרין את העובדות הטעונות הוכחה</w:t>
      </w:r>
      <w:r>
        <w:rPr>
          <w:rtl w:val="true"/>
        </w:rPr>
        <w:t xml:space="preserve">, </w:t>
      </w:r>
      <w:r>
        <w:rPr>
          <w:rtl w:val="true"/>
        </w:rPr>
        <w:t>אך יש בכוחן המצטבר</w:t>
      </w:r>
      <w:r>
        <w:rPr>
          <w:rtl w:val="true"/>
        </w:rPr>
        <w:t xml:space="preserve">, </w:t>
      </w:r>
      <w:r>
        <w:rPr>
          <w:rtl w:val="true"/>
        </w:rPr>
        <w:t>תוך שלילת כל תרחיש מזכה אחר</w:t>
      </w:r>
      <w:r>
        <w:rPr>
          <w:rtl w:val="true"/>
        </w:rPr>
        <w:t xml:space="preserve">, </w:t>
      </w:r>
      <w:r>
        <w:rPr>
          <w:rtl w:val="true"/>
        </w:rPr>
        <w:t>כדי להביא להרשעת המערער בעבירה המיוחסת לו</w:t>
      </w:r>
      <w:r>
        <w:rPr>
          <w:rtl w:val="true"/>
        </w:rPr>
        <w:t xml:space="preserve">. </w:t>
      </w:r>
      <w:r>
        <w:rPr>
          <w:rtl w:val="true"/>
        </w:rPr>
        <w:t>נקבע כי ממכלול הראיות במקרה זה עולה כי המערער הוא זה שביצע את הרצח תוך שנקט במעשי אלימות במטרה להמית את אמו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לאור האלימות והאכזריות המיוחדת שבמעשיו</w:t>
      </w:r>
      <w:r>
        <w:rPr>
          <w:rtl w:val="true"/>
        </w:rPr>
        <w:t xml:space="preserve">, </w:t>
      </w:r>
      <w:r>
        <w:rPr>
          <w:rtl w:val="true"/>
        </w:rPr>
        <w:t>העולות הן מכוונתו לגרום לתוצאה הטבעית שלהם</w:t>
      </w:r>
      <w:r>
        <w:rPr>
          <w:rtl w:val="true"/>
        </w:rPr>
        <w:t xml:space="preserve">, </w:t>
      </w:r>
      <w:r>
        <w:rPr>
          <w:rtl w:val="true"/>
        </w:rPr>
        <w:t>והן מחוות דעת רפואית משפטית שנערכה על ידי ד</w:t>
      </w:r>
      <w:r>
        <w:rPr>
          <w:rtl w:val="true"/>
        </w:rPr>
        <w:t>"</w:t>
      </w:r>
      <w:r>
        <w:rPr>
          <w:rtl w:val="true"/>
        </w:rPr>
        <w:t xml:space="preserve">ר הדס גיפס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גיפס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אשר ניתחה את גופת המנוחה והמלמדת על חבלות רבות</w:t>
      </w:r>
      <w:r>
        <w:rPr>
          <w:rtl w:val="true"/>
        </w:rPr>
        <w:t xml:space="preserve">, </w:t>
      </w:r>
      <w:r>
        <w:rPr>
          <w:rtl w:val="true"/>
        </w:rPr>
        <w:t xml:space="preserve">התעללות גופנית קשה כשעוד הייתה המנוחה בחיים וכריתה כמעט מלאה של הראש אשר יתכן שבוצעה לפני המוות </w:t>
      </w:r>
      <w:r>
        <w:rPr>
          <w:rtl w:val="true"/>
        </w:rPr>
        <w:t>–</w:t>
      </w:r>
      <w:r>
        <w:rPr>
          <w:rtl w:val="true"/>
        </w:rPr>
        <w:t xml:space="preserve"> הרשיע בית המשפט את </w:t>
      </w:r>
      <w:r>
        <w:rPr>
          <w:rFonts w:ascii="Century" w:hAnsi="Century" w:cs="Century"/>
          <w:sz w:val="22"/>
          <w:sz w:val="22"/>
          <w:rtl w:val="true"/>
        </w:rPr>
        <w:t xml:space="preserve">המערער בעבירת רצח בנסיבות מחמירות </w:t>
      </w:r>
      <w:r>
        <w:rPr>
          <w:rtl w:val="true"/>
        </w:rPr>
        <w:t>שיוחסה לו בכתב האישום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לטענת האחריות המופחתת לפי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שהתבססה על הטענה כי המערער היה תחת השפעת סמים </w:t>
      </w:r>
      <w:r>
        <w:rPr>
          <w:rtl w:val="true"/>
        </w:rPr>
        <w:t>–</w:t>
      </w:r>
      <w:r>
        <w:rPr>
          <w:rtl w:val="true"/>
        </w:rPr>
        <w:t xml:space="preserve"> נקבע כי הוא לא הרים את הנטל להוכיח כי היה חסר יכולת של ממש בעת המעשה להבין את אשר עשה או את הפסול שמעשהו</w:t>
      </w:r>
      <w:r>
        <w:rPr>
          <w:rtl w:val="true"/>
        </w:rPr>
        <w:t xml:space="preserve">, </w:t>
      </w:r>
      <w:r>
        <w:rPr>
          <w:rtl w:val="true"/>
        </w:rPr>
        <w:t>או להימנע מעשיית עבירה כמצוות הדין</w:t>
      </w:r>
      <w:r>
        <w:rPr>
          <w:rtl w:val="true"/>
        </w:rPr>
        <w:t xml:space="preserve">. </w:t>
      </w:r>
      <w:r>
        <w:rPr>
          <w:rtl w:val="true"/>
        </w:rPr>
        <w:t>זאת בשים לב לגרסאותיו המתעתעות והמשתנות בדבר השימוש בסמים ביום האירוע או בסמוך לפניו</w:t>
      </w:r>
      <w:r>
        <w:rPr>
          <w:rtl w:val="true"/>
        </w:rPr>
        <w:t xml:space="preserve">, </w:t>
      </w:r>
      <w:r>
        <w:rPr>
          <w:rtl w:val="true"/>
        </w:rPr>
        <w:t>וכן נוכח קור הרוח וההחלטות המושכלות שקיבל במהלך האירוע ולאחריו</w:t>
      </w:r>
      <w:r>
        <w:rPr>
          <w:rtl w:val="true"/>
        </w:rPr>
        <w:t xml:space="preserve">, </w:t>
      </w:r>
      <w:r>
        <w:rPr>
          <w:rtl w:val="true"/>
        </w:rPr>
        <w:t>שאינן מאפיינות אדם שהיה מצוי תחת השפעת סמים</w:t>
      </w:r>
      <w:r>
        <w:rPr>
          <w:rtl w:val="true"/>
        </w:rPr>
        <w:t xml:space="preserve">. </w:t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 xml:space="preserve">ניתנה הדעת לעדות מוהנד בדבר התנהלותו הרגועה של המערער בליל האירוע </w:t>
      </w:r>
      <w:r>
        <w:rPr>
          <w:rtl w:val="true"/>
        </w:rPr>
        <w:t>(</w:t>
      </w:r>
      <w:r>
        <w:rPr>
          <w:rtl w:val="true"/>
        </w:rPr>
        <w:t>העובדה שהמערער המציא תירוץ המתקבל על הדעת באשר לכתמי הדם על בגדיו ואִפשר למוהנד להיכנס לדירה בה בעת שהמנוחה התבססה בדמה במרפסת השירות</w:t>
      </w:r>
      <w:r>
        <w:rPr>
          <w:rtl w:val="true"/>
        </w:rPr>
        <w:t xml:space="preserve">) </w:t>
      </w:r>
      <w:r>
        <w:rPr>
          <w:rtl w:val="true"/>
        </w:rPr>
        <w:t>וליתר העדויות המצביעות על התנהלותו השקולה וקרת הרוח גם לאחר הרצח</w:t>
      </w:r>
      <w:r>
        <w:rPr>
          <w:rtl w:val="true"/>
        </w:rPr>
        <w:t xml:space="preserve">. </w:t>
      </w:r>
      <w:r>
        <w:rPr>
          <w:rtl w:val="true"/>
        </w:rPr>
        <w:t>נוכח האמור ובהיעדר הוכחה כי המערער השתמש בסמים עובר לאירוע ובאיזו כמות</w:t>
      </w:r>
      <w:r>
        <w:rPr>
          <w:rtl w:val="true"/>
        </w:rPr>
        <w:t xml:space="preserve">, </w:t>
      </w:r>
      <w:r>
        <w:rPr>
          <w:rtl w:val="true"/>
        </w:rPr>
        <w:t>נקבע כי חזקה שגם אם הוא היה תחת השפעת סמים</w:t>
      </w:r>
      <w:r>
        <w:rPr>
          <w:rtl w:val="true"/>
        </w:rPr>
        <w:t xml:space="preserve">, </w:t>
      </w:r>
      <w:r>
        <w:rPr>
          <w:rtl w:val="true"/>
        </w:rPr>
        <w:t>לא הייתה לכך השפעה שהותירה אותו חסר יכולת להבין את מעשיו כאמור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צוין כי המערער טען כי יש לראותו כמי שביצע את הרצח במצב של אדישות לתוצאה</w:t>
      </w:r>
      <w:r>
        <w:rPr>
          <w:rtl w:val="true"/>
        </w:rPr>
        <w:t xml:space="preserve">, </w:t>
      </w:r>
      <w:r>
        <w:rPr>
          <w:rtl w:val="true"/>
        </w:rPr>
        <w:t xml:space="preserve">אולם לצורך כך היה עליו להוכיח תחילה את טענת 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שכרות</w:t>
      </w:r>
      <w:r>
        <w:rPr>
          <w:rtl w:val="true"/>
        </w:rPr>
        <w:t>" (</w:t>
      </w:r>
      <w:r>
        <w:rPr>
          <w:rtl w:val="true"/>
        </w:rPr>
        <w:t>הכוללת גם שימוש בסמים</w:t>
      </w:r>
      <w:r>
        <w:rPr>
          <w:rtl w:val="true"/>
        </w:rPr>
        <w:t xml:space="preserve">), </w:t>
      </w:r>
      <w:r>
        <w:rPr>
          <w:rtl w:val="true"/>
        </w:rPr>
        <w:t>על ידי הנחת תשתית ראייתית המבססת שכרות מלאה או חלקית</w:t>
      </w:r>
      <w:r>
        <w:rPr>
          <w:rtl w:val="true"/>
        </w:rPr>
        <w:t xml:space="preserve">. </w:t>
      </w:r>
      <w:r>
        <w:rPr>
          <w:rtl w:val="true"/>
        </w:rPr>
        <w:t>אלא שבשים לב לכך שהוא הכחיש במשטרה את דבר צריכת הסמים ביום האירוע</w:t>
      </w:r>
      <w:r>
        <w:rPr>
          <w:rtl w:val="true"/>
        </w:rPr>
        <w:t xml:space="preserve">, </w:t>
      </w:r>
      <w:r>
        <w:rPr>
          <w:rtl w:val="true"/>
        </w:rPr>
        <w:t>לשינוי הגרסאות בהמשך חקירותיו בעניין זה ולגרסה הכבושה לפיה צרך סמים במשך כל היום</w:t>
      </w:r>
      <w:r>
        <w:rPr>
          <w:rtl w:val="true"/>
        </w:rPr>
        <w:t xml:space="preserve">, </w:t>
      </w:r>
      <w:r>
        <w:rPr>
          <w:rtl w:val="true"/>
        </w:rPr>
        <w:t>הוא לא הרים את הנטל להוכיח כי היה תחת השפעת סמים במועד האירוע</w:t>
      </w:r>
      <w:r>
        <w:rPr>
          <w:rtl w:val="true"/>
        </w:rPr>
        <w:t xml:space="preserve">. </w:t>
      </w:r>
      <w:r>
        <w:rPr>
          <w:rtl w:val="true"/>
        </w:rPr>
        <w:t>למעלה מן הצורך נקבע כי אף אם היה תחת השפעת סמים</w:t>
      </w:r>
      <w:r>
        <w:rPr>
          <w:rtl w:val="true"/>
        </w:rPr>
        <w:t xml:space="preserve">, </w:t>
      </w:r>
      <w:r>
        <w:rPr>
          <w:rtl w:val="true"/>
        </w:rPr>
        <w:t>העובדה שחבט באמו ללא רחם בחפצים שונים בקור רוח ושיסף את גרונה</w:t>
      </w:r>
      <w:r>
        <w:rPr>
          <w:rtl w:val="true"/>
        </w:rPr>
        <w:t xml:space="preserve">, </w:t>
      </w:r>
      <w:r>
        <w:rPr>
          <w:rtl w:val="true"/>
        </w:rPr>
        <w:t>מעידה על כוונתו להמיתה ומאיינת את טענת האדישות לתוצאה בשל היותו תחת השפעת סמים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גם דחה את טענת המערער כי מתקיימות הוראות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המאפשרות בהתקיים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 </w:t>
      </w:r>
      <w:r>
        <w:rPr>
          <w:rtl w:val="true"/>
        </w:rPr>
        <w:t>שבגינן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 </w:t>
      </w:r>
      <w:r>
        <w:rPr>
          <w:rtl w:val="true"/>
        </w:rPr>
        <w:t>דרגת</w:t>
      </w:r>
      <w:r>
        <w:rPr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" </w:t>
      </w:r>
      <w:r>
        <w:rPr>
          <w:rtl w:val="true"/>
        </w:rPr>
        <w:t xml:space="preserve">הרשעה ברצח לפי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 xml:space="preserve">ולא ברצח בנסיבות מחמירות 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). </w:t>
      </w:r>
      <w:r>
        <w:rPr>
          <w:rtl w:val="true"/>
        </w:rPr>
        <w:t>בית המשפט עמד על כך שטרם הוכרע בפסיקת בית משפט זה מהו אופיין של ה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tl w:val="true"/>
        </w:rPr>
        <w:t xml:space="preserve">" </w:t>
      </w:r>
      <w:r>
        <w:rPr>
          <w:rtl w:val="true"/>
        </w:rPr>
        <w:t>המצדיקות הקלה על פי הסעיף</w:t>
      </w:r>
      <w:r>
        <w:rPr>
          <w:rtl w:val="true"/>
        </w:rPr>
        <w:t xml:space="preserve">, </w:t>
      </w:r>
      <w:r>
        <w:rPr>
          <w:rtl w:val="true"/>
        </w:rPr>
        <w:t xml:space="preserve">אך בכל מקרה נסיבות מקרה זה </w:t>
      </w:r>
      <w:r>
        <w:rPr>
          <w:rtl w:val="true"/>
        </w:rPr>
        <w:t>–</w:t>
      </w:r>
      <w:r>
        <w:rPr>
          <w:rtl w:val="true"/>
        </w:rPr>
        <w:t xml:space="preserve"> הן הנסיבות הקשורות למעשה והן הנסיבות החיצוניות לו </w:t>
      </w:r>
      <w:r>
        <w:rPr>
          <w:rtl w:val="true"/>
        </w:rPr>
        <w:t>–</w:t>
      </w:r>
      <w:r>
        <w:rPr>
          <w:rtl w:val="true"/>
        </w:rPr>
        <w:t xml:space="preserve"> אינן מצדיקות הקלה כאמור</w:t>
      </w:r>
      <w:r>
        <w:rPr>
          <w:rtl w:val="true"/>
        </w:rPr>
        <w:t xml:space="preserve">. </w:t>
      </w:r>
      <w:r>
        <w:rPr>
          <w:rtl w:val="true"/>
        </w:rPr>
        <w:t xml:space="preserve">זאת שכן </w:t>
      </w:r>
      <w:r>
        <w:rPr>
          <w:rtl w:val="true"/>
        </w:rPr>
        <w:t>הטחת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 </w:t>
      </w:r>
      <w:r>
        <w:rPr>
          <w:rtl w:val="true"/>
        </w:rPr>
        <w:t>בחפצים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הטחת</w:t>
      </w:r>
      <w:r>
        <w:rPr>
          <w:rtl w:val="true"/>
        </w:rPr>
        <w:t xml:space="preserve"> </w:t>
      </w:r>
      <w:r>
        <w:rPr>
          <w:rtl w:val="true"/>
        </w:rPr>
        <w:t>החפצים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ו</w:t>
      </w:r>
      <w:r>
        <w:rPr>
          <w:rtl w:val="true"/>
        </w:rPr>
        <w:t>כריתת</w:t>
      </w:r>
      <w:r>
        <w:rPr>
          <w:rtl w:val="true"/>
        </w:rPr>
        <w:t xml:space="preserve"> </w:t>
      </w:r>
      <w:r>
        <w:rPr>
          <w:rtl w:val="true"/>
        </w:rPr>
        <w:t xml:space="preserve">הראש </w:t>
      </w:r>
      <w:r>
        <w:rPr>
          <w:rtl w:val="true"/>
        </w:rPr>
        <w:t>וניסור</w:t>
      </w:r>
      <w:r>
        <w:rPr>
          <w:rtl w:val="true"/>
        </w:rPr>
        <w:t xml:space="preserve"> הצוואר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חפץ</w:t>
      </w:r>
      <w:r>
        <w:rPr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 </w:t>
      </w:r>
      <w:r>
        <w:rPr>
          <w:rtl w:val="true"/>
        </w:rPr>
        <w:t>מלמדים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אכזריות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באשר לנסיבות החיצוניות עליהן הצביע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היינו </w:t>
      </w:r>
      <w:r>
        <w:rPr>
          <w:rtl w:val="true"/>
        </w:rPr>
        <w:t>מחלת</w:t>
      </w:r>
      <w:r>
        <w:rPr>
          <w:rtl w:val="true"/>
        </w:rPr>
        <w:t xml:space="preserve"> </w:t>
      </w:r>
      <w:r>
        <w:rPr>
          <w:rtl w:val="true"/>
        </w:rPr>
        <w:t>הסכיזופרניה</w:t>
      </w:r>
      <w:r>
        <w:rPr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 </w:t>
      </w:r>
      <w:r>
        <w:rPr>
          <w:rtl w:val="true"/>
        </w:rPr>
        <w:t>סבל</w:t>
      </w:r>
      <w:r>
        <w:rPr>
          <w:rtl w:val="true"/>
        </w:rPr>
        <w:t xml:space="preserve">, </w:t>
      </w:r>
      <w:r>
        <w:rPr>
          <w:rtl w:val="true"/>
        </w:rPr>
        <w:t>השימוש</w:t>
      </w:r>
      <w:r>
        <w:rPr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ההתדרדרות</w:t>
      </w:r>
      <w:r>
        <w:rPr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עובר לאירוע</w:t>
      </w:r>
      <w:r>
        <w:rPr>
          <w:rtl w:val="true"/>
        </w:rPr>
        <w:t xml:space="preserve">, </w:t>
      </w:r>
      <w:r>
        <w:rPr>
          <w:rtl w:val="true"/>
        </w:rPr>
        <w:t xml:space="preserve">גם אלה אינן מהוות </w:t>
      </w:r>
      <w:r>
        <w:rPr>
          <w:rtl w:val="true"/>
        </w:rPr>
        <w:t>"</w:t>
      </w:r>
      <w:r>
        <w:rPr>
          <w:rtl w:val="true"/>
        </w:rPr>
        <w:t>נסיבות מיוחדות</w:t>
      </w:r>
      <w:r>
        <w:rPr>
          <w:rtl w:val="true"/>
        </w:rPr>
        <w:t xml:space="preserve">" </w:t>
      </w:r>
      <w:r>
        <w:rPr>
          <w:rtl w:val="true"/>
        </w:rPr>
        <w:t xml:space="preserve">לעניין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הובהר כי לא נמצא שהמערער היה במצב של </w:t>
      </w:r>
      <w:r>
        <w:rPr>
          <w:rtl w:val="true"/>
        </w:rPr>
        <w:t>"</w:t>
      </w:r>
      <w:r>
        <w:rPr>
          <w:rtl w:val="true"/>
        </w:rPr>
        <w:t>גלישה פסיכוטית</w:t>
      </w:r>
      <w:r>
        <w:rPr>
          <w:rtl w:val="true"/>
        </w:rPr>
        <w:t xml:space="preserve">" </w:t>
      </w:r>
      <w:r>
        <w:rPr>
          <w:rtl w:val="true"/>
        </w:rPr>
        <w:t>בעת האירוע</w:t>
      </w:r>
      <w:r>
        <w:rPr>
          <w:rtl w:val="true"/>
        </w:rPr>
        <w:t xml:space="preserve">, </w:t>
      </w:r>
      <w:r>
        <w:rPr>
          <w:rtl w:val="true"/>
        </w:rPr>
        <w:t>והוא נמצא אחראי למעשיו</w:t>
      </w:r>
      <w:r>
        <w:rPr>
          <w:rtl w:val="true"/>
        </w:rPr>
        <w:t xml:space="preserve">, </w:t>
      </w:r>
      <w:r>
        <w:rPr>
          <w:rtl w:val="true"/>
        </w:rPr>
        <w:t xml:space="preserve">מסקנה אליה הגיעו מומחים שונים בחוות הדעת השונות שהוגשו מטעמם </w:t>
      </w:r>
      <w:r>
        <w:rPr>
          <w:rtl w:val="true"/>
        </w:rPr>
        <w:t>–</w:t>
      </w:r>
      <w:r>
        <w:rPr>
          <w:rtl w:val="true"/>
        </w:rPr>
        <w:t xml:space="preserve"> ד</w:t>
      </w:r>
      <w:r>
        <w:rPr>
          <w:rtl w:val="true"/>
        </w:rPr>
        <w:t>"</w:t>
      </w:r>
      <w:r>
        <w:rPr>
          <w:rtl w:val="true"/>
        </w:rPr>
        <w:t xml:space="preserve">ר ורד טל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</w:t>
      </w:r>
      <w:r>
        <w:rPr>
          <w:rtl w:val="true"/>
        </w:rPr>
        <w:t xml:space="preserve">), </w:t>
      </w:r>
      <w:r>
        <w:rPr>
          <w:rtl w:val="true"/>
        </w:rPr>
        <w:t>מנהלת מרפאות החוץ הפסיכיאטריות בבית החולים 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אשר בדקה את המערער יומיים לאחר האירוע</w:t>
      </w:r>
      <w:r>
        <w:rPr>
          <w:rtl w:val="true"/>
        </w:rPr>
        <w:t xml:space="preserve">;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יבגני שינקרנקו</w:t>
      </w:r>
      <w:r>
        <w:rPr>
          <w:rtl w:val="true"/>
        </w:rPr>
        <w:t xml:space="preserve">, </w:t>
      </w:r>
      <w:r>
        <w:rPr>
          <w:rtl w:val="true"/>
        </w:rPr>
        <w:t xml:space="preserve">מנהל המרכז לבריאות הנפש שער מנשה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שינקרנקו</w:t>
      </w:r>
      <w:r>
        <w:rPr>
          <w:rtl w:val="true"/>
        </w:rPr>
        <w:t xml:space="preserve">); </w:t>
      </w:r>
      <w:r>
        <w:rPr>
          <w:rtl w:val="true"/>
        </w:rPr>
        <w:t>כמו גם פאנל מומחים שהתכנס בעניינו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הוכיח</w:t>
      </w:r>
      <w:r>
        <w:rPr>
          <w:rtl w:val="true"/>
        </w:rPr>
        <w:t xml:space="preserve"> </w:t>
      </w:r>
      <w:r>
        <w:rPr>
          <w:rtl w:val="true"/>
        </w:rPr>
        <w:t>שצרך</w:t>
      </w:r>
      <w:r>
        <w:rPr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נמצא כאמור כי </w:t>
      </w:r>
      <w:r>
        <w:rPr>
          <w:rtl w:val="true"/>
        </w:rPr>
        <w:t>התנהל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בקור</w:t>
      </w:r>
      <w:r>
        <w:rPr>
          <w:rtl w:val="true"/>
        </w:rPr>
        <w:t xml:space="preserve"> </w:t>
      </w:r>
      <w:r>
        <w:rPr>
          <w:rtl w:val="true"/>
        </w:rPr>
        <w:t>רוח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בצורה </w:t>
      </w:r>
      <w:r>
        <w:rPr>
          <w:rtl w:val="true"/>
        </w:rPr>
        <w:t>שקול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 xml:space="preserve">דבר המלמד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מחלת</w:t>
      </w:r>
      <w:r>
        <w:rPr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 </w:t>
      </w:r>
      <w:r>
        <w:rPr>
          <w:rtl w:val="true"/>
        </w:rPr>
        <w:t xml:space="preserve">ממנה סבל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השפיעה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 xml:space="preserve">את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 xml:space="preserve">נקבע כי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 </w:t>
      </w:r>
      <w:r>
        <w:rPr>
          <w:rtl w:val="true"/>
        </w:rPr>
        <w:t>בקיום</w:t>
      </w:r>
      <w:r>
        <w:rPr>
          <w:rtl w:val="true"/>
        </w:rPr>
        <w:t xml:space="preserve"> </w:t>
      </w:r>
      <w:r>
        <w:rPr>
          <w:rtl w:val="true"/>
        </w:rPr>
        <w:t>מחלת</w:t>
      </w:r>
      <w:r>
        <w:rPr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לזכות</w:t>
      </w:r>
      <w:r>
        <w:rPr>
          <w:rtl w:val="true"/>
        </w:rPr>
        <w:t xml:space="preserve"> </w:t>
      </w:r>
      <w:r>
        <w:rPr>
          <w:rtl w:val="true"/>
        </w:rPr>
        <w:t>בהקלות</w:t>
      </w:r>
      <w:r>
        <w:rPr>
          <w:rtl w:val="true"/>
        </w:rPr>
        <w:t xml:space="preserve"> </w:t>
      </w:r>
      <w:r>
        <w:rPr>
          <w:rtl w:val="true"/>
        </w:rPr>
        <w:t>שהעניק</w:t>
      </w:r>
      <w:r>
        <w:rPr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tl w:val="true"/>
        </w:rPr>
        <w:t>ּ</w:t>
      </w:r>
      <w:r>
        <w:rPr>
          <w:rtl w:val="true"/>
        </w:rPr>
        <w:t xml:space="preserve"> </w:t>
      </w:r>
      <w:r>
        <w:rPr>
          <w:rtl w:val="true"/>
        </w:rPr>
        <w:t>במאזן</w:t>
      </w:r>
      <w:r>
        <w:rPr>
          <w:rtl w:val="true"/>
        </w:rPr>
        <w:t xml:space="preserve"> </w:t>
      </w:r>
      <w:r>
        <w:rPr>
          <w:rtl w:val="true"/>
        </w:rPr>
        <w:t>ההסתברות</w:t>
      </w:r>
      <w:r>
        <w:rPr>
          <w:rtl w:val="true"/>
        </w:rPr>
        <w:t xml:space="preserve">, </w:t>
      </w:r>
      <w:r>
        <w:rPr>
          <w:rtl w:val="true"/>
        </w:rPr>
        <w:t>שלמחלת</w:t>
      </w:r>
      <w:r>
        <w:rPr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השפעה</w:t>
      </w:r>
      <w:r>
        <w:rPr>
          <w:rtl w:val="true"/>
        </w:rPr>
        <w:t xml:space="preserve"> </w:t>
      </w:r>
      <w:r>
        <w:rPr>
          <w:rtl w:val="true"/>
        </w:rPr>
        <w:t xml:space="preserve">עד כדי קרבה ממשית לפטור מאחריות פלילית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 זה המצב בעניינו של המערער לפי חוות הדעת השונות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 ציין בית המשפט כי המערער לא העלה טענה של היעדר שפיות הדעת</w:t>
      </w:r>
      <w:r>
        <w:rPr>
          <w:rtl w:val="true"/>
        </w:rPr>
        <w:t xml:space="preserve">, </w:t>
      </w:r>
      <w:r>
        <w:rPr>
          <w:rtl w:val="true"/>
        </w:rPr>
        <w:t xml:space="preserve">אך למעלה מן הצורך נבחנה תחולת הוראת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הקובעת אחריות מופחתת להמתה בנסיבות של הפרעה נפשית חמורה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עמד על כך שסעיף זה חל בהתקיים </w:t>
      </w:r>
      <w:r>
        <w:rPr>
          <w:rtl w:val="true"/>
        </w:rPr>
        <w:t>שלושה</w:t>
      </w:r>
      <w:r>
        <w:rPr>
          <w:rtl w:val="true"/>
        </w:rPr>
        <w:t xml:space="preserve"> </w:t>
      </w:r>
      <w:r>
        <w:rPr>
          <w:rtl w:val="true"/>
        </w:rPr>
        <w:t>תנאים</w:t>
      </w:r>
      <w:r>
        <w:rPr>
          <w:rtl w:val="true"/>
        </w:rPr>
        <w:t xml:space="preserve">: </w:t>
      </w:r>
      <w:r>
        <w:rPr>
          <w:rtl w:val="true"/>
        </w:rPr>
        <w:t>קיומה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הפרעה</w:t>
      </w:r>
      <w:r>
        <w:rPr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ליקוי</w:t>
      </w:r>
      <w:r>
        <w:rPr>
          <w:rtl w:val="true"/>
        </w:rPr>
        <w:t xml:space="preserve"> </w:t>
      </w:r>
      <w:r>
        <w:rPr>
          <w:rtl w:val="true"/>
        </w:rPr>
        <w:t>בכושר</w:t>
      </w:r>
      <w:r>
        <w:rPr>
          <w:rtl w:val="true"/>
        </w:rPr>
        <w:t xml:space="preserve"> </w:t>
      </w:r>
      <w:r>
        <w:rPr>
          <w:rtl w:val="true"/>
        </w:rPr>
        <w:t>השכלי</w:t>
      </w:r>
      <w:r>
        <w:rPr>
          <w:rtl w:val="true"/>
        </w:rPr>
        <w:t xml:space="preserve">; </w:t>
      </w:r>
      <w:r>
        <w:rPr>
          <w:rtl w:val="true"/>
        </w:rPr>
        <w:t>הגבלה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ביכולת</w:t>
      </w:r>
      <w:r>
        <w:rPr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הפסול</w:t>
      </w:r>
      <w:r>
        <w:rPr>
          <w:rtl w:val="true"/>
        </w:rPr>
        <w:t xml:space="preserve"> </w:t>
      </w:r>
      <w:r>
        <w:rPr>
          <w:rtl w:val="true"/>
        </w:rPr>
        <w:t>במעשהו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tl w:val="true"/>
        </w:rPr>
        <w:t xml:space="preserve"> </w:t>
      </w:r>
      <w:r>
        <w:rPr>
          <w:rtl w:val="true"/>
        </w:rPr>
        <w:t>מעשיית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קיומו של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סיבתי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הליקוי</w:t>
      </w:r>
      <w:r>
        <w:rPr>
          <w:rtl w:val="true"/>
        </w:rPr>
        <w:t xml:space="preserve"> </w:t>
      </w:r>
      <w:r>
        <w:rPr>
          <w:rtl w:val="true"/>
        </w:rPr>
        <w:t>השכלי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ההפרעה</w:t>
      </w:r>
      <w:r>
        <w:rPr>
          <w:rtl w:val="true"/>
        </w:rPr>
        <w:t xml:space="preserve"> </w:t>
      </w:r>
      <w:r>
        <w:rPr>
          <w:rtl w:val="true"/>
        </w:rPr>
        <w:t>הנפשית</w:t>
      </w:r>
      <w:r>
        <w:rPr>
          <w:rtl w:val="true"/>
        </w:rPr>
        <w:t xml:space="preserve"> </w:t>
      </w:r>
      <w:r>
        <w:rPr>
          <w:rtl w:val="true"/>
        </w:rPr>
        <w:t>החמורה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ההגבלה</w:t>
      </w:r>
      <w:r>
        <w:rPr>
          <w:rtl w:val="true"/>
        </w:rPr>
        <w:t xml:space="preserve"> </w:t>
      </w:r>
      <w:r>
        <w:rPr>
          <w:rtl w:val="true"/>
        </w:rPr>
        <w:t>הניכרת</w:t>
      </w:r>
      <w:r>
        <w:rPr>
          <w:rtl w:val="true"/>
        </w:rPr>
        <w:t xml:space="preserve"> </w:t>
      </w:r>
      <w:r>
        <w:rPr>
          <w:rtl w:val="true"/>
        </w:rPr>
        <w:t>ביכולתו</w:t>
      </w:r>
      <w:r>
        <w:rPr>
          <w:rtl w:val="true"/>
        </w:rPr>
        <w:t xml:space="preserve"> </w:t>
      </w:r>
      <w:r>
        <w:rPr>
          <w:rtl w:val="true"/>
        </w:rPr>
        <w:t>הנפשית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נקבע כי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המערער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מודע</w:t>
      </w:r>
      <w:r>
        <w:rPr>
          <w:rtl w:val="true"/>
        </w:rPr>
        <w:t xml:space="preserve"> </w:t>
      </w:r>
      <w:r>
        <w:rPr>
          <w:rtl w:val="true"/>
        </w:rPr>
        <w:t>לטיב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 </w:t>
      </w:r>
      <w:r>
        <w:rPr>
          <w:rtl w:val="true"/>
        </w:rPr>
        <w:t>להשפעת</w:t>
      </w:r>
      <w:r>
        <w:rPr>
          <w:rtl w:val="true"/>
        </w:rPr>
        <w:t xml:space="preserve"> </w:t>
      </w:r>
      <w:r>
        <w:rPr>
          <w:rtl w:val="true"/>
        </w:rPr>
        <w:t>חומרים</w:t>
      </w:r>
      <w:r>
        <w:rPr>
          <w:rtl w:val="true"/>
        </w:rPr>
        <w:t xml:space="preserve"> </w:t>
      </w:r>
      <w:r>
        <w:rPr>
          <w:rtl w:val="true"/>
        </w:rPr>
        <w:t>משני</w:t>
      </w:r>
      <w:r>
        <w:rPr>
          <w:rtl w:val="true"/>
        </w:rPr>
        <w:t xml:space="preserve"> </w:t>
      </w:r>
      <w:r>
        <w:rPr>
          <w:rtl w:val="true"/>
        </w:rPr>
        <w:t>תודעה</w:t>
      </w:r>
      <w:r>
        <w:rPr>
          <w:rtl w:val="true"/>
        </w:rPr>
        <w:t xml:space="preserve"> או סבל מהפרעות נפשיות</w:t>
      </w:r>
      <w:r>
        <w:rPr>
          <w:rtl w:val="true"/>
        </w:rPr>
        <w:t xml:space="preserve">, </w:t>
      </w:r>
      <w:r>
        <w:rPr>
          <w:rtl w:val="true"/>
        </w:rPr>
        <w:t>ודאי לא כאלו אשר בעטיין לא יכול היה להבין את טיב מעשיו</w:t>
      </w:r>
      <w:r>
        <w:rPr>
          <w:rtl w:val="true"/>
        </w:rPr>
        <w:t xml:space="preserve">. </w:t>
      </w:r>
      <w:r>
        <w:rPr>
          <w:rtl w:val="true"/>
        </w:rPr>
        <w:t>זאת בפרט לאור העובדה שהרף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</w:t>
      </w:r>
      <w:r>
        <w:rPr>
          <w:rtl w:val="true"/>
        </w:rPr>
        <w:t>הדרוש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עמידה</w:t>
      </w:r>
      <w:r>
        <w:rPr>
          <w:rtl w:val="true"/>
        </w:rPr>
        <w:t xml:space="preserve"> </w:t>
      </w:r>
      <w:r>
        <w:rPr>
          <w:rtl w:val="true"/>
        </w:rPr>
        <w:t>בתנאי</w:t>
      </w:r>
      <w:r>
        <w:rPr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במעט</w:t>
      </w:r>
      <w:r>
        <w:rPr>
          <w:rtl w:val="true"/>
        </w:rPr>
        <w:t xml:space="preserve"> </w:t>
      </w:r>
      <w:r>
        <w:rPr>
          <w:rtl w:val="true"/>
        </w:rPr>
        <w:t>מתחת</w:t>
      </w:r>
      <w:r>
        <w:rPr>
          <w:rtl w:val="true"/>
        </w:rPr>
        <w:t xml:space="preserve"> </w:t>
      </w:r>
      <w:r>
        <w:rPr>
          <w:rtl w:val="true"/>
        </w:rPr>
        <w:t>למצב</w:t>
      </w:r>
      <w:r>
        <w:rPr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העדר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מוחלטת</w:t>
      </w:r>
      <w:r>
        <w:rPr>
          <w:rtl w:val="true"/>
        </w:rPr>
        <w:t xml:space="preserve"> </w:t>
      </w:r>
      <w:r>
        <w:rPr>
          <w:rtl w:val="true"/>
        </w:rPr>
        <w:t>המוחל</w:t>
      </w:r>
      <w:r>
        <w:rPr>
          <w:rtl w:val="true"/>
        </w:rPr>
        <w:t xml:space="preserve"> </w:t>
      </w:r>
      <w:r>
        <w:rPr>
          <w:rtl w:val="true"/>
        </w:rPr>
        <w:t>במצבי</w:t>
      </w:r>
      <w:r>
        <w:rPr>
          <w:rtl w:val="true"/>
        </w:rPr>
        <w:t xml:space="preserve"> </w:t>
      </w:r>
      <w:r>
        <w:rPr>
          <w:rtl w:val="true"/>
        </w:rPr>
        <w:t>פסיכוזה</w:t>
      </w:r>
      <w:r>
        <w:rPr>
          <w:rtl w:val="true"/>
        </w:rPr>
        <w:t xml:space="preserve">. </w:t>
      </w:r>
      <w:r>
        <w:rPr>
          <w:rtl w:val="true"/>
        </w:rPr>
        <w:t>נקבע כי גם אם הייתה התדרדרות במצבו הנפשי</w:t>
      </w:r>
      <w:r>
        <w:rPr>
          <w:rtl w:val="true"/>
        </w:rPr>
        <w:t xml:space="preserve">, </w:t>
      </w:r>
      <w:r>
        <w:rPr>
          <w:rtl w:val="true"/>
        </w:rPr>
        <w:t>היא אינה עולה כדי הרף הנדרש בסעיף האמור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בטיעונים לעונש עמדה המשיבה על עברו הפלילי המכביד של המערער</w:t>
      </w:r>
      <w:r>
        <w:rPr>
          <w:rtl w:val="true"/>
        </w:rPr>
        <w:t xml:space="preserve">, </w:t>
      </w:r>
      <w:r>
        <w:rPr>
          <w:rtl w:val="true"/>
        </w:rPr>
        <w:t>לרבות בעבירות איומים ואלימות</w:t>
      </w:r>
      <w:r>
        <w:rPr>
          <w:rtl w:val="true"/>
        </w:rPr>
        <w:t xml:space="preserve">. </w:t>
      </w:r>
      <w:r>
        <w:rPr>
          <w:rtl w:val="true"/>
        </w:rPr>
        <w:t xml:space="preserve">בין היתר צוין כי הושת עליו עונש מותנה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 לאחר שהורשע בגין איומיו על אחותו בכריה ואמירתו כי ירצח אותה</w:t>
      </w:r>
      <w:r>
        <w:rPr>
          <w:rtl w:val="true"/>
        </w:rPr>
        <w:t xml:space="preserve">. </w:t>
      </w:r>
      <w:r>
        <w:rPr>
          <w:rtl w:val="true"/>
        </w:rPr>
        <w:t>המשיבה ביקשה על כן שלצד מאסר העולם שהוא עונש חובה</w:t>
      </w:r>
      <w:r>
        <w:rPr>
          <w:rtl w:val="true"/>
        </w:rPr>
        <w:t xml:space="preserve">, </w:t>
      </w:r>
      <w:r>
        <w:rPr>
          <w:rtl w:val="true"/>
        </w:rPr>
        <w:t>יופעל גם העונש המותנה במצטבר</w:t>
      </w:r>
      <w:r>
        <w:rPr>
          <w:rtl w:val="true"/>
        </w:rPr>
        <w:t xml:space="preserve">. </w:t>
      </w:r>
      <w:r>
        <w:rPr>
          <w:rtl w:val="true"/>
        </w:rPr>
        <w:t>כן נטען כי על המערער לפצות את בני משפחת המנוחה</w:t>
      </w:r>
      <w:r>
        <w:rPr>
          <w:rtl w:val="true"/>
        </w:rPr>
        <w:t xml:space="preserve">, </w:t>
      </w:r>
      <w:r>
        <w:rPr>
          <w:rtl w:val="true"/>
        </w:rPr>
        <w:t>ובפרט את שלושת אחיו</w:t>
      </w:r>
      <w:r>
        <w:rPr>
          <w:rtl w:val="true"/>
        </w:rPr>
        <w:t xml:space="preserve">, </w:t>
      </w:r>
      <w:r>
        <w:rPr>
          <w:rtl w:val="true"/>
        </w:rPr>
        <w:t>והוצג מכתבו של אחי המנוחה בו ביטא את רגשותיו בנוגע להירצחה של אחותו וביקש שהפיצוי יוקדש להנצחתה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 של המערער ביקש מנגד להימנע מהטלת פיצויים לאור מצבו הנפשי הקשה של המערער ובהיותו חסר כל</w:t>
      </w:r>
      <w:r>
        <w:rPr>
          <w:rtl w:val="true"/>
        </w:rPr>
        <w:t xml:space="preserve">. </w:t>
      </w:r>
      <w:r>
        <w:rPr>
          <w:rtl w:val="true"/>
        </w:rPr>
        <w:t>בית המשפט בגזר דינו נתן דעתו לסבל הרב שהיה מנת חלקה של המנוחה ברגעיה האחרונים ולייסורים שסבלה עת הוכתה באכזריות ובאלימות</w:t>
      </w:r>
      <w:r>
        <w:rPr>
          <w:rtl w:val="true"/>
        </w:rPr>
        <w:t xml:space="preserve">, </w:t>
      </w:r>
      <w:r>
        <w:rPr>
          <w:rtl w:val="true"/>
        </w:rPr>
        <w:t>כריתת ראשה וזעקות השבר והיללות שהגיעו לאוזני בני משפחתה הגרים בסמיכות לדירתה</w:t>
      </w:r>
      <w:r>
        <w:rPr>
          <w:rtl w:val="true"/>
        </w:rPr>
        <w:t xml:space="preserve">. </w:t>
      </w:r>
      <w:r>
        <w:rPr>
          <w:rtl w:val="true"/>
        </w:rPr>
        <w:t>בסופו של דבר נקבע כי אין מנוס מהטלת עונש מאסר עולם על המערער</w:t>
      </w:r>
      <w:r>
        <w:rPr>
          <w:rtl w:val="true"/>
        </w:rPr>
        <w:t xml:space="preserve">, </w:t>
      </w:r>
      <w:r>
        <w:rPr>
          <w:rtl w:val="true"/>
        </w:rPr>
        <w:t>אך זאת לצד הפעלת עונש המאסר המותנה בחופף</w:t>
      </w:r>
      <w:r>
        <w:rPr>
          <w:rtl w:val="true"/>
        </w:rPr>
        <w:t xml:space="preserve">. </w:t>
      </w:r>
      <w:r>
        <w:rPr>
          <w:rtl w:val="true"/>
        </w:rPr>
        <w:t xml:space="preserve">כן נפסק כי על המערער לפצות את בני משפחתו בסך כולל של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מכאן הערעור שלפנינו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לטענת המערער המעשים לא נעשו על </w:t>
      </w:r>
      <w:r>
        <w:rPr>
          <w:rFonts w:ascii="Century" w:hAnsi="Century" w:cs="Century"/>
          <w:sz w:val="22"/>
          <w:sz w:val="22"/>
          <w:rtl w:val="true"/>
        </w:rPr>
        <w:t>ידו בנסיבות מחמירות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מפני שלא</w:t>
      </w:r>
      <w:r>
        <w:rPr>
          <w:rtl w:val="true"/>
        </w:rPr>
        <w:t xml:space="preserve"> הוכח שראשה של המנוחה נכרת בעודה בחיים</w:t>
      </w:r>
      <w:r>
        <w:rPr>
          <w:rtl w:val="true"/>
        </w:rPr>
        <w:t xml:space="preserve">. </w:t>
      </w:r>
      <w:r>
        <w:rPr>
          <w:rtl w:val="true"/>
        </w:rPr>
        <w:t>זאת משום שעל פי חוות דעת שהוגשה על ידי ד</w:t>
      </w:r>
      <w:r>
        <w:rPr>
          <w:rtl w:val="true"/>
        </w:rPr>
        <w:t>"</w:t>
      </w:r>
      <w:r>
        <w:rPr>
          <w:rtl w:val="true"/>
        </w:rPr>
        <w:t>ר גיפס שניתחה את גופת המנוחה</w:t>
      </w:r>
      <w:r>
        <w:rPr>
          <w:rtl w:val="true"/>
        </w:rPr>
        <w:t xml:space="preserve">, </w:t>
      </w:r>
      <w:r>
        <w:rPr>
          <w:rtl w:val="true"/>
        </w:rPr>
        <w:t>לא ניתן לדעת בוודאות אם היא מתה לפני כריתת הראש או לאחריה</w:t>
      </w:r>
      <w:r>
        <w:rPr>
          <w:rtl w:val="true"/>
        </w:rPr>
        <w:t xml:space="preserve">. </w:t>
      </w:r>
      <w:r>
        <w:rPr>
          <w:rtl w:val="true"/>
        </w:rPr>
        <w:t>לא הובאו ראיות המוכיחות באופן חד</w:t>
      </w:r>
      <w:r>
        <w:rPr>
          <w:rtl w:val="true"/>
        </w:rPr>
        <w:t>-</w:t>
      </w:r>
      <w:r>
        <w:rPr>
          <w:rtl w:val="true"/>
        </w:rPr>
        <w:t>משמעי את השלב שבו נגרם מות המנוחה ולכן יש להניח לטובת המערער שמותה נגרם לפני כריתת הראש</w:t>
      </w:r>
      <w:r>
        <w:rPr>
          <w:rtl w:val="true"/>
        </w:rPr>
        <w:t xml:space="preserve">, </w:t>
      </w:r>
      <w:r>
        <w:rPr>
          <w:rtl w:val="true"/>
        </w:rPr>
        <w:t>ומכאן שאין מקום לקבוע כי מעשיו של המערער בוצעו תוך אכזריות מיוחדת והתעללות גופנית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בנוסף נטען כי המקרה מתאים להטלת אחריות מופחתת לפי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כאשר נקבע זה מכבר כי נאשם אינו צריך לעמוד בעניין זה ברף הוכחה של מאזן הסתברויות</w:t>
      </w:r>
      <w:r>
        <w:rPr>
          <w:rtl w:val="true"/>
        </w:rPr>
        <w:t xml:space="preserve">. </w:t>
      </w:r>
      <w:r>
        <w:rPr>
          <w:rtl w:val="true"/>
        </w:rPr>
        <w:t>בענייננו הובאו די ראיות כדי לעורר לכל הפחות ספק סביר באשר לקיומה של מוגבלות ביכולת המערער להבין את אשר הוא עשה או את הפסול במעשיו</w:t>
      </w:r>
      <w:r>
        <w:rPr>
          <w:rtl w:val="true"/>
        </w:rPr>
        <w:t xml:space="preserve">, </w:t>
      </w:r>
      <w:r>
        <w:rPr>
          <w:rtl w:val="true"/>
        </w:rPr>
        <w:t>או להימנע מהמעשה</w:t>
      </w:r>
      <w:r>
        <w:rPr>
          <w:rtl w:val="true"/>
        </w:rPr>
        <w:t xml:space="preserve">. </w:t>
      </w:r>
      <w:r>
        <w:rPr>
          <w:rtl w:val="true"/>
        </w:rPr>
        <w:t>זאת על רקע מחלת הסכיזופרניה הפרנואידית ממנה הוא סובל</w:t>
      </w:r>
      <w:r>
        <w:rPr>
          <w:rtl w:val="true"/>
        </w:rPr>
        <w:t xml:space="preserve">, </w:t>
      </w:r>
      <w:r>
        <w:rPr>
          <w:rtl w:val="true"/>
        </w:rPr>
        <w:t>אליה מצטרפת גם התמכרותו לסמים מסוכנים</w:t>
      </w:r>
      <w:r>
        <w:rPr>
          <w:rtl w:val="true"/>
        </w:rPr>
        <w:t xml:space="preserve">. </w:t>
      </w:r>
      <w:r>
        <w:rPr>
          <w:rtl w:val="true"/>
        </w:rPr>
        <w:t>בית המשפט שגה בכך שלא לקח בחשבון את עובדת היותו לוקה במחלה זו</w:t>
      </w:r>
      <w:r>
        <w:rPr>
          <w:rtl w:val="true"/>
        </w:rPr>
        <w:t xml:space="preserve">, </w:t>
      </w:r>
      <w:r>
        <w:rPr>
          <w:rtl w:val="true"/>
        </w:rPr>
        <w:t>בפרט שעה שמחומר הראיות שהובא לפניו עולה כי בשבוע שקדם לאירוע חלה התדרדרות במצבו הנפשי</w:t>
      </w:r>
      <w:r>
        <w:rPr>
          <w:rtl w:val="true"/>
        </w:rPr>
        <w:t xml:space="preserve">, </w:t>
      </w:r>
      <w:r>
        <w:rPr>
          <w:rtl w:val="true"/>
        </w:rPr>
        <w:t>התדרדרות אשר הביאה לכך שבני משפחתו התרחקו ממנו בשל פחדם ממנו ויצרו קשר עם בית החולים בניסיון להביא לאשפוזו</w:t>
      </w:r>
      <w:r>
        <w:rPr>
          <w:rtl w:val="true"/>
        </w:rPr>
        <w:t xml:space="preserve">. </w:t>
      </w:r>
      <w:r>
        <w:rPr>
          <w:rtl w:val="true"/>
        </w:rPr>
        <w:t>המערער הפנה בהקשר זה לעדותו של ד</w:t>
      </w:r>
      <w:r>
        <w:rPr>
          <w:rtl w:val="true"/>
        </w:rPr>
        <w:t>"</w:t>
      </w:r>
      <w:r>
        <w:rPr>
          <w:rtl w:val="true"/>
        </w:rPr>
        <w:t>ר שינקרנקו אשר בהכירו את עברו הפסיכיאטרי</w:t>
      </w:r>
      <w:r>
        <w:rPr>
          <w:rtl w:val="true"/>
        </w:rPr>
        <w:t xml:space="preserve">, </w:t>
      </w:r>
      <w:r>
        <w:rPr>
          <w:rtl w:val="true"/>
        </w:rPr>
        <w:t xml:space="preserve">לא שלל קיומה של </w:t>
      </w:r>
      <w:r>
        <w:rPr>
          <w:rtl w:val="true"/>
        </w:rPr>
        <w:t>"</w:t>
      </w:r>
      <w:r>
        <w:rPr>
          <w:rtl w:val="true"/>
        </w:rPr>
        <w:t>גלישה פסיכוטית</w:t>
      </w:r>
      <w:r>
        <w:rPr>
          <w:rtl w:val="true"/>
        </w:rPr>
        <w:t xml:space="preserve">" </w:t>
      </w:r>
      <w:r>
        <w:rPr>
          <w:rtl w:val="true"/>
        </w:rPr>
        <w:t>אצלו בסמוך לאירוע</w:t>
      </w:r>
      <w:r>
        <w:rPr>
          <w:rtl w:val="true"/>
        </w:rPr>
        <w:t xml:space="preserve">. </w:t>
      </w:r>
      <w:r>
        <w:rPr>
          <w:rtl w:val="true"/>
        </w:rPr>
        <w:t>בית המשפט גם שגה בכך שקבע כי התנהלותו מול בני משפחה אשר פגשוהו בסמוך לביצוע הרצח מלמדת על התנהלות בקור רוח באופן שאינו יכול להצביע על מצב נפשי מעורער</w:t>
      </w:r>
      <w:r>
        <w:rPr>
          <w:rtl w:val="true"/>
        </w:rPr>
        <w:t xml:space="preserve">. </w:t>
      </w:r>
      <w:r>
        <w:rPr>
          <w:rtl w:val="true"/>
        </w:rPr>
        <w:t>לא רק שאין בדיווחי בני המשפחה שפגשו בו למשך זמן קצר כדי להוכיח זאת</w:t>
      </w:r>
      <w:r>
        <w:rPr>
          <w:rtl w:val="true"/>
        </w:rPr>
        <w:t xml:space="preserve">, </w:t>
      </w:r>
      <w:r>
        <w:rPr>
          <w:rtl w:val="true"/>
        </w:rPr>
        <w:t xml:space="preserve">אלא שבכל מקרה אין בהתנהגות </w:t>
      </w:r>
      <w:r>
        <w:rPr>
          <w:rtl w:val="true"/>
        </w:rPr>
        <w:t>"</w:t>
      </w:r>
      <w:r>
        <w:rPr>
          <w:rtl w:val="true"/>
        </w:rPr>
        <w:t>הגיונית</w:t>
      </w:r>
      <w:r>
        <w:rPr>
          <w:rtl w:val="true"/>
        </w:rPr>
        <w:t xml:space="preserve">" </w:t>
      </w:r>
      <w:r>
        <w:rPr>
          <w:rtl w:val="true"/>
        </w:rPr>
        <w:t>לבדה כדי לשלול את סייג אי</w:t>
      </w:r>
      <w:r>
        <w:rPr>
          <w:rtl w:val="true"/>
        </w:rPr>
        <w:t>-</w:t>
      </w:r>
      <w:r>
        <w:rPr>
          <w:rtl w:val="true"/>
        </w:rPr>
        <w:t>השפיות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עוד טען המערער כי שגה בית המשפט כשדחה את טענתו כי חלה עליו אחריות מופחתת עקב התקיימות הנסיבות הקבועות </w:t>
      </w:r>
      <w:hyperlink r:id="rId3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נטען כי עובדת היותו מכור לסמים עולה לא רק מהמידע שהוא מסר בעצמו</w:t>
      </w:r>
      <w:r>
        <w:rPr>
          <w:rtl w:val="true"/>
        </w:rPr>
        <w:t xml:space="preserve">, </w:t>
      </w:r>
      <w:r>
        <w:rPr>
          <w:rtl w:val="true"/>
        </w:rPr>
        <w:t>אלא גם מגורמים נוספים</w:t>
      </w:r>
      <w:r>
        <w:rPr>
          <w:rtl w:val="true"/>
        </w:rPr>
        <w:t xml:space="preserve">, </w:t>
      </w:r>
      <w:r>
        <w:rPr>
          <w:rtl w:val="true"/>
        </w:rPr>
        <w:t>ביניהם בני משפחתו ובית החולים הפסיכיאטרי שבו התאשפז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אף כי דחה בית המשפט את גרסתו לפיה השתמש בסמים עובר לאירוע</w:t>
      </w:r>
      <w:r>
        <w:rPr>
          <w:rtl w:val="true"/>
        </w:rPr>
        <w:t xml:space="preserve">, </w:t>
      </w:r>
      <w:r>
        <w:rPr>
          <w:rtl w:val="true"/>
        </w:rPr>
        <w:t>לא היה מקום להתעלם מכך שמדובר באדם שמכור לסמים קשים</w:t>
      </w:r>
      <w:r>
        <w:rPr>
          <w:rtl w:val="true"/>
        </w:rPr>
        <w:t xml:space="preserve">. </w:t>
      </w:r>
      <w:r>
        <w:rPr>
          <w:rtl w:val="true"/>
        </w:rPr>
        <w:t>גם בהקשר זה ביקש המערער להפנות לעדותו של ד</w:t>
      </w:r>
      <w:r>
        <w:rPr>
          <w:rtl w:val="true"/>
        </w:rPr>
        <w:t>"</w:t>
      </w:r>
      <w:r>
        <w:rPr>
          <w:rtl w:val="true"/>
        </w:rPr>
        <w:t xml:space="preserve">ר שינקרנקו אשר לטענתו כאמור לא שלל </w:t>
      </w:r>
      <w:r>
        <w:rPr>
          <w:rtl w:val="true"/>
        </w:rPr>
        <w:t>"</w:t>
      </w:r>
      <w:r>
        <w:rPr>
          <w:rtl w:val="true"/>
        </w:rPr>
        <w:t>גלישה פסיכוטית</w:t>
      </w:r>
      <w:r>
        <w:rPr>
          <w:rtl w:val="true"/>
        </w:rPr>
        <w:t xml:space="preserve">" </w:t>
      </w:r>
      <w:r>
        <w:rPr>
          <w:rtl w:val="true"/>
        </w:rPr>
        <w:t>בעקבות שימוש בסמים אשר מנעה ממנו לשלוט במעשיו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עוצמת המעשה הלא</w:t>
      </w:r>
      <w:r>
        <w:rPr>
          <w:rtl w:val="true"/>
        </w:rPr>
        <w:t>-</w:t>
      </w:r>
      <w:r>
        <w:rPr>
          <w:rtl w:val="true"/>
        </w:rPr>
        <w:t>אנושי והלא</w:t>
      </w:r>
      <w:r>
        <w:rPr>
          <w:rtl w:val="true"/>
        </w:rPr>
        <w:t>-</w:t>
      </w:r>
      <w:r>
        <w:rPr>
          <w:rtl w:val="true"/>
        </w:rPr>
        <w:t>מתקבל על הדעת שנעשה בגופת המנוחה</w:t>
      </w:r>
      <w:r>
        <w:rPr>
          <w:rtl w:val="true"/>
        </w:rPr>
        <w:t xml:space="preserve">, </w:t>
      </w:r>
      <w:r>
        <w:rPr>
          <w:rtl w:val="true"/>
        </w:rPr>
        <w:t>מבלי שנמצאה כל אינדיקציה לסכסוך בינו לבין המנוחה</w:t>
      </w:r>
      <w:r>
        <w:rPr>
          <w:rtl w:val="true"/>
        </w:rPr>
        <w:t xml:space="preserve">, </w:t>
      </w:r>
      <w:r>
        <w:rPr>
          <w:rtl w:val="true"/>
        </w:rPr>
        <w:t>מלמדת מעצם טבעה על כך שהוא לא שלט במעשיו ולא הבין אותם</w:t>
      </w:r>
      <w:r>
        <w:rPr>
          <w:rtl w:val="true"/>
        </w:rPr>
        <w:t xml:space="preserve">. </w:t>
      </w:r>
      <w:r>
        <w:rPr>
          <w:rtl w:val="true"/>
        </w:rPr>
        <w:t>המערער הוסיף כי משלא נעשתה לו בדיקה שיכלה הייתה לשפוך אור על השאלה אם היה תחת השפעת סמים</w:t>
      </w:r>
      <w:r>
        <w:rPr>
          <w:rtl w:val="true"/>
        </w:rPr>
        <w:t xml:space="preserve">, </w:t>
      </w:r>
      <w:r>
        <w:rPr>
          <w:rtl w:val="true"/>
        </w:rPr>
        <w:t>מדובר במחדל חקירתי שיש לזקוף לזכותו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כן נטען כי מתקיימות נסיבות חריגות שבגינן מעשי המערער אינם מבטאים דרגת אשמה חמורה במיוחד</w:t>
      </w:r>
      <w:r>
        <w:rPr>
          <w:rtl w:val="true"/>
        </w:rPr>
        <w:t xml:space="preserve">, </w:t>
      </w:r>
      <w:r>
        <w:rPr>
          <w:rtl w:val="true"/>
        </w:rPr>
        <w:t xml:space="preserve">ולכן עניינו חוסה תחת החריג הקבוע </w:t>
      </w:r>
      <w:hyperlink r:id="rId3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בכלל נסיבות אלו</w:t>
      </w:r>
      <w:r>
        <w:rPr>
          <w:rtl w:val="true"/>
        </w:rPr>
        <w:t xml:space="preserve">, </w:t>
      </w:r>
      <w:r>
        <w:rPr>
          <w:rtl w:val="true"/>
        </w:rPr>
        <w:t>ההתדרדרות במצבו הנפשי</w:t>
      </w:r>
      <w:r>
        <w:rPr>
          <w:rtl w:val="true"/>
        </w:rPr>
        <w:t xml:space="preserve">; </w:t>
      </w:r>
      <w:r>
        <w:rPr>
          <w:rtl w:val="true"/>
        </w:rPr>
        <w:t>מחלת הסכיזופרניה ממנה סבל</w:t>
      </w:r>
      <w:r>
        <w:rPr>
          <w:rtl w:val="true"/>
        </w:rPr>
        <w:t xml:space="preserve">; </w:t>
      </w:r>
      <w:r>
        <w:rPr>
          <w:rtl w:val="true"/>
        </w:rPr>
        <w:t>עדותו של ד</w:t>
      </w:r>
      <w:r>
        <w:rPr>
          <w:rtl w:val="true"/>
        </w:rPr>
        <w:t>"</w:t>
      </w:r>
      <w:r>
        <w:rPr>
          <w:rtl w:val="true"/>
        </w:rPr>
        <w:t>ר שינקרנקו אשר לא שללה אפשרות של גלישה פסיכוטית כתוצאה משימוש בסמים</w:t>
      </w:r>
      <w:r>
        <w:rPr>
          <w:rtl w:val="true"/>
        </w:rPr>
        <w:t xml:space="preserve">; </w:t>
      </w:r>
      <w:r>
        <w:rPr>
          <w:rtl w:val="true"/>
        </w:rPr>
        <w:t>העובדה שבני משפחתו ניסו להביא לאשפוזו לפני האירוע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נסיבות חריגות אלה מצביעות על כך שלכל הפחות קיים ספק סביר לפיו מצבו הנפשי השפיע על מעשיו</w:t>
      </w:r>
      <w:r>
        <w:rPr>
          <w:rtl w:val="true"/>
        </w:rPr>
        <w:t xml:space="preserve">, </w:t>
      </w:r>
      <w:r>
        <w:rPr>
          <w:rtl w:val="true"/>
        </w:rPr>
        <w:t>באופן המוביל למסקנה כי ניתן לראות במעשיו ככאלה שאינם מבטאים חומרה מיוחדת</w:t>
      </w:r>
      <w:r>
        <w:rPr>
          <w:rtl w:val="true"/>
        </w:rPr>
        <w:t xml:space="preserve">. </w:t>
      </w:r>
      <w:r>
        <w:rPr>
          <w:rtl w:val="true"/>
        </w:rPr>
        <w:t>נטען כי חרף העובדה שלא נקבעה עד כה הלכה בנוגע לנטל ההוכחה המוטל על נאשם כדי להכניסו בגדרי הוראת חוק זו</w:t>
      </w:r>
      <w:r>
        <w:rPr>
          <w:rtl w:val="true"/>
        </w:rPr>
        <w:t xml:space="preserve">, </w:t>
      </w:r>
      <w:r>
        <w:rPr>
          <w:rtl w:val="true"/>
        </w:rPr>
        <w:t>הרי שלא יהיה זה נכון לקבוע רף הוכחה גבוה מידי</w:t>
      </w:r>
      <w:r>
        <w:rPr>
          <w:rtl w:val="true"/>
        </w:rPr>
        <w:t xml:space="preserve">.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 xml:space="preserve">לטענתו הוא עומד במקרה זה גם ברף הוכחה מחמיר של </w:t>
      </w:r>
      <w:r>
        <w:rPr>
          <w:rtl w:val="true"/>
        </w:rPr>
        <w:t>"</w:t>
      </w:r>
      <w:r>
        <w:rPr>
          <w:rtl w:val="true"/>
        </w:rPr>
        <w:t>מאזן הסתברויות</w:t>
      </w:r>
      <w:r>
        <w:rPr>
          <w:rtl w:val="true"/>
        </w:rPr>
        <w:t xml:space="preserve">", </w:t>
      </w:r>
      <w:r>
        <w:rPr>
          <w:rtl w:val="true"/>
        </w:rPr>
        <w:t>שכן הראיות שהובאו לפני בית המשפט המחוזי עוברות רף זה</w:t>
      </w:r>
      <w:r>
        <w:rPr>
          <w:rtl w:val="true"/>
        </w:rPr>
        <w:t xml:space="preserve">. </w:t>
      </w:r>
      <w:r>
        <w:rPr>
          <w:rtl w:val="true"/>
        </w:rPr>
        <w:t>בנוסף נטען כי מחדל הרשויות שבא לידי ביטוי במקרה זה בכך שלא ניתן לו טיפול חרף מצבו הנפשי הקשה</w:t>
      </w:r>
      <w:r>
        <w:rPr>
          <w:rtl w:val="true"/>
        </w:rPr>
        <w:t xml:space="preserve">, </w:t>
      </w:r>
      <w:r>
        <w:rPr>
          <w:rtl w:val="true"/>
        </w:rPr>
        <w:t>למרות פניית בני המשפחה לבית החולים בקשר להתדרדרות במצבו</w:t>
      </w:r>
      <w:r>
        <w:rPr>
          <w:rtl w:val="true"/>
        </w:rPr>
        <w:t xml:space="preserve">, </w:t>
      </w:r>
      <w:r>
        <w:rPr>
          <w:rtl w:val="true"/>
        </w:rPr>
        <w:t>מצדיק את החלת דוקטרינת ההגנה מן הצדק על עניינו</w:t>
      </w:r>
      <w:r>
        <w:rPr>
          <w:rtl w:val="true"/>
        </w:rPr>
        <w:t xml:space="preserve">, </w:t>
      </w:r>
      <w:r>
        <w:rPr>
          <w:rtl w:val="true"/>
        </w:rPr>
        <w:t>באופן שבו יומר סעיף האישום המיוחס לו לסעיף חוק המייחס לו אחריות מופחתת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 נטען כי ככל שיימצא כי מעשיו של המערער אינם מחייבים הטלת מאסר עולם</w:t>
      </w:r>
      <w:r>
        <w:rPr>
          <w:rtl w:val="true"/>
        </w:rPr>
        <w:t xml:space="preserve">, </w:t>
      </w:r>
      <w:r>
        <w:rPr>
          <w:rtl w:val="true"/>
        </w:rPr>
        <w:t>יש לקבוע מתחם ענישה ולמקם את עונשו בתחתיתו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בנסיבות המקרה המיוחדות</w:t>
      </w:r>
      <w:r>
        <w:rPr>
          <w:rtl w:val="true"/>
        </w:rPr>
        <w:t xml:space="preserve">, </w:t>
      </w:r>
      <w:r>
        <w:rPr>
          <w:rtl w:val="true"/>
        </w:rPr>
        <w:t>יש להפחית את הפיצויים שהושתו עליו בשל היעדר יכולת כלכלית ובשל מצבו הנפשי</w:t>
      </w:r>
      <w:r>
        <w:rPr>
          <w:rtl w:val="true"/>
        </w:rPr>
        <w:t xml:space="preserve">. </w:t>
      </w:r>
      <w:r>
        <w:rPr>
          <w:rtl w:val="true"/>
        </w:rPr>
        <w:t>המערער ממשיך להיתמך על ידי בני משפחתו שהם אלו המפקידים עבורו כספים בקנטינה</w:t>
      </w:r>
      <w:r>
        <w:rPr>
          <w:rtl w:val="true"/>
        </w:rPr>
        <w:t xml:space="preserve">, </w:t>
      </w:r>
      <w:r>
        <w:rPr>
          <w:rtl w:val="true"/>
        </w:rPr>
        <w:t>והדבר יקל גם עליהם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טענה כי האלימות החריגה שננקטה על ידי המערער במקרה זה מצדיקה את הרשעתו ברצח בנסיבות מחמירות</w:t>
      </w:r>
      <w:r>
        <w:rPr>
          <w:rtl w:val="true"/>
        </w:rPr>
        <w:t xml:space="preserve">. </w:t>
      </w:r>
      <w:r>
        <w:rPr>
          <w:rtl w:val="true"/>
        </w:rPr>
        <w:t>נסיבות המקרה חמורות וקשות</w:t>
      </w:r>
      <w:r>
        <w:rPr>
          <w:rtl w:val="true"/>
        </w:rPr>
        <w:t xml:space="preserve">, </w:t>
      </w:r>
      <w:r>
        <w:rPr>
          <w:rtl w:val="true"/>
        </w:rPr>
        <w:t>וברור שהמנוחה חוותה סבל רב עובר ליציאת נפשה</w:t>
      </w:r>
      <w:r>
        <w:rPr>
          <w:rtl w:val="true"/>
        </w:rPr>
        <w:t xml:space="preserve">. </w:t>
      </w:r>
      <w:r>
        <w:rPr>
          <w:rtl w:val="true"/>
        </w:rPr>
        <w:t>נמצאו כתמי התזה עורקית וחפצים שבורים שכנראה שימשו לתקיפה כשעליהם כתמי דם ושערות</w:t>
      </w:r>
      <w:r>
        <w:rPr>
          <w:rtl w:val="true"/>
        </w:rPr>
        <w:t xml:space="preserve">. </w:t>
      </w:r>
      <w:r>
        <w:rPr>
          <w:rtl w:val="true"/>
        </w:rPr>
        <w:t>בני המשפחה העידו על יללות וזעקות שבר רבות שבקעו מתוך הדירה</w:t>
      </w:r>
      <w:r>
        <w:rPr>
          <w:rtl w:val="true"/>
        </w:rPr>
        <w:t xml:space="preserve">. </w:t>
      </w:r>
      <w:r>
        <w:rPr>
          <w:rtl w:val="true"/>
        </w:rPr>
        <w:t xml:space="preserve">כל זאת על רקע פערי הכוחות בין המערער למנוחה החולה שהייתה כבת </w:t>
      </w:r>
      <w:r>
        <w:rPr/>
        <w:t>83</w:t>
      </w:r>
      <w:r>
        <w:rPr>
          <w:rtl w:val="true"/>
        </w:rPr>
        <w:t xml:space="preserve"> </w:t>
      </w:r>
      <w:r>
        <w:rPr>
          <w:rtl w:val="true"/>
        </w:rPr>
        <w:t>שנים בעת שאירע הרצח</w:t>
      </w:r>
      <w:r>
        <w:rPr>
          <w:rtl w:val="true"/>
        </w:rPr>
        <w:t xml:space="preserve">. </w:t>
      </w:r>
      <w:r>
        <w:rPr>
          <w:rtl w:val="true"/>
        </w:rPr>
        <w:t>טענת המערער כי החבלות הקשות</w:t>
      </w:r>
      <w:r>
        <w:rPr>
          <w:rtl w:val="true"/>
        </w:rPr>
        <w:t xml:space="preserve">, </w:t>
      </w:r>
      <w:r>
        <w:rPr>
          <w:rtl w:val="true"/>
        </w:rPr>
        <w:t>ובהן כריתת הראש מהצוואר</w:t>
      </w:r>
      <w:r>
        <w:rPr>
          <w:rtl w:val="true"/>
        </w:rPr>
        <w:t xml:space="preserve">, </w:t>
      </w:r>
      <w:r>
        <w:rPr>
          <w:rtl w:val="true"/>
        </w:rPr>
        <w:t>יתכן שנעשו רק לאחר המוות אינה יכולה לסייע לו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בית המשפט קבע בפסק דינו כי החבלות נגרמו כאשר המנוחה הייתה בחיים</w:t>
      </w:r>
      <w:r>
        <w:rPr>
          <w:rtl w:val="true"/>
        </w:rPr>
        <w:t xml:space="preserve">, </w:t>
      </w:r>
      <w:r>
        <w:rPr>
          <w:rtl w:val="true"/>
        </w:rPr>
        <w:t>וכך גם כריתת הראש</w:t>
      </w:r>
      <w:r>
        <w:rPr>
          <w:rtl w:val="true"/>
        </w:rPr>
        <w:t xml:space="preserve">.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>גם אם הכריתה נעשתה רק לאחר מותה</w:t>
      </w:r>
      <w:r>
        <w:rPr>
          <w:rtl w:val="true"/>
        </w:rPr>
        <w:t xml:space="preserve">, </w:t>
      </w:r>
      <w:r>
        <w:rPr>
          <w:rtl w:val="true"/>
        </w:rPr>
        <w:t>הרי שגם מעשים שבוצעו בגופה לאחר פטירתה עונים על דרישת האכזריות</w:t>
      </w:r>
      <w:r>
        <w:rPr>
          <w:rtl w:val="true"/>
        </w:rPr>
        <w:t xml:space="preserve">.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 xml:space="preserve">נסיבות הרצח אכזריות דיין באופן המגלם </w:t>
      </w:r>
      <w:r>
        <w:rPr>
          <w:rtl w:val="true"/>
        </w:rPr>
        <w:t>"</w:t>
      </w:r>
      <w:r>
        <w:rPr>
          <w:rtl w:val="true"/>
        </w:rPr>
        <w:t>אכזריות מיוחדת</w:t>
      </w:r>
      <w:r>
        <w:rPr>
          <w:rtl w:val="true"/>
        </w:rPr>
        <w:t xml:space="preserve">" </w:t>
      </w:r>
      <w:r>
        <w:rPr>
          <w:rtl w:val="true"/>
        </w:rPr>
        <w:t xml:space="preserve">כמו גם </w:t>
      </w:r>
      <w:r>
        <w:rPr>
          <w:rtl w:val="true"/>
        </w:rPr>
        <w:t>"</w:t>
      </w:r>
      <w:r>
        <w:rPr>
          <w:rtl w:val="true"/>
        </w:rPr>
        <w:t>התעללות גופנית או נפשית</w:t>
      </w:r>
      <w:r>
        <w:rPr>
          <w:rtl w:val="true"/>
        </w:rPr>
        <w:t xml:space="preserve">" </w:t>
      </w:r>
      <w:r>
        <w:rPr>
          <w:rtl w:val="true"/>
        </w:rPr>
        <w:t>במנוחה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נטען כי בדין דחה בית המשפט את הטענה לאחריותו המופחתת של המערער בשל סייג השכרות</w:t>
      </w:r>
      <w:r>
        <w:rPr>
          <w:rtl w:val="true"/>
        </w:rPr>
        <w:t xml:space="preserve">. </w:t>
      </w:r>
      <w:r>
        <w:rPr>
          <w:rtl w:val="true"/>
        </w:rPr>
        <w:t>נקבע כי המערער לא הוכיח ולוּ ברמה של העלאת ספק סביר כי השתמש בסמים עובר לאירוע ואין להתערב בקביעה זו</w:t>
      </w:r>
      <w:r>
        <w:rPr>
          <w:rtl w:val="true"/>
        </w:rPr>
        <w:t xml:space="preserve">. </w:t>
      </w:r>
      <w:r>
        <w:rPr>
          <w:rtl w:val="true"/>
        </w:rPr>
        <w:t>נמצאו גם סתירות ושקרים בגרסאות המערער בהקשר זה</w:t>
      </w:r>
      <w:r>
        <w:rPr>
          <w:rtl w:val="true"/>
        </w:rPr>
        <w:t xml:space="preserve">. </w:t>
      </w:r>
      <w:r>
        <w:rPr>
          <w:rtl w:val="true"/>
        </w:rPr>
        <w:t xml:space="preserve">המערער בכל מקרה לא הוכיח צריכה בכמות משמעותית ומספיקה של סמים להוכחת </w:t>
      </w:r>
      <w:r>
        <w:rPr>
          <w:rtl w:val="true"/>
        </w:rPr>
        <w:t>"</w:t>
      </w:r>
      <w:r>
        <w:rPr>
          <w:rtl w:val="true"/>
        </w:rPr>
        <w:t>שכרות</w:t>
      </w:r>
      <w:r>
        <w:rPr>
          <w:rtl w:val="true"/>
        </w:rPr>
        <w:t xml:space="preserve">" </w:t>
      </w:r>
      <w:r>
        <w:rPr>
          <w:rtl w:val="true"/>
        </w:rPr>
        <w:t>מלאה או חלקית</w:t>
      </w:r>
      <w:r>
        <w:rPr>
          <w:rtl w:val="true"/>
        </w:rPr>
        <w:t xml:space="preserve">. </w:t>
      </w:r>
      <w:r>
        <w:rPr>
          <w:rtl w:val="true"/>
        </w:rPr>
        <w:t>בנוסף נקבע על פי חוות דעת מומחים כי המערער היה אחראי למעשיו ואין להתערב בקביעה זו</w:t>
      </w:r>
      <w:r>
        <w:rPr>
          <w:rtl w:val="true"/>
        </w:rPr>
        <w:t xml:space="preserve">. </w:t>
      </w:r>
      <w:r>
        <w:rPr>
          <w:rtl w:val="true"/>
        </w:rPr>
        <w:t>גם עדויות בני המשפחה בדבר התנהגות המערער בקור רוח עובר לאירוע מוכיחות כי הוא לא היה נתון במצב פסיכוטי</w:t>
      </w:r>
      <w:r>
        <w:rPr>
          <w:rtl w:val="true"/>
        </w:rPr>
        <w:t xml:space="preserve">. </w:t>
      </w:r>
      <w:r>
        <w:rPr>
          <w:rtl w:val="true"/>
        </w:rPr>
        <w:t>לכן אין להתערב בהכרעת בית המשפט בהקשר 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 על האמור</w:t>
      </w:r>
      <w:r>
        <w:rPr>
          <w:rtl w:val="true"/>
        </w:rPr>
        <w:t xml:space="preserve">, </w:t>
      </w:r>
      <w:r>
        <w:rPr>
          <w:rtl w:val="true"/>
        </w:rPr>
        <w:t>המערער טען לראשונה לפני בית משפט זה כי יש להרשיעו בעבירה של אחריות מופחתת בשל הפרעתו הנפשית</w:t>
      </w:r>
      <w:r>
        <w:rPr>
          <w:rtl w:val="true"/>
        </w:rPr>
        <w:t xml:space="preserve">. </w:t>
      </w:r>
      <w:r>
        <w:rPr>
          <w:rtl w:val="true"/>
        </w:rPr>
        <w:t>אלא שטענה זו נדחתה לגופה למעלה מן הצורך בפסיקת בית המשפט המחוזי</w:t>
      </w:r>
      <w:r>
        <w:rPr>
          <w:rtl w:val="true"/>
        </w:rPr>
        <w:t xml:space="preserve">. </w:t>
      </w:r>
      <w:r>
        <w:rPr>
          <w:rtl w:val="true"/>
        </w:rPr>
        <w:t>סייג זה חל רק במקרים חריגים וקיצוניים במיוחד שמקרה זה אינו נמנה עמהם</w:t>
      </w:r>
      <w:r>
        <w:rPr>
          <w:rtl w:val="true"/>
        </w:rPr>
        <w:t xml:space="preserve">. </w:t>
      </w:r>
      <w:r>
        <w:rPr>
          <w:rtl w:val="true"/>
        </w:rPr>
        <w:t>מצבו הנפשי של המערער נבחן פעם אחר פעם על ידי מומחים שונים וכולם היו תמימי דעים ושותפים למסקנה כי הוא לא היה במצב פסיכוטי בזמן הרצח</w:t>
      </w:r>
      <w:r>
        <w:rPr>
          <w:rtl w:val="true"/>
        </w:rPr>
        <w:t xml:space="preserve">, </w:t>
      </w:r>
      <w:r>
        <w:rPr>
          <w:rtl w:val="true"/>
        </w:rPr>
        <w:t>לא סבל ממחשבות שווא או הזיות והיה אחראי למעשיו</w:t>
      </w:r>
      <w:r>
        <w:rPr>
          <w:rtl w:val="true"/>
        </w:rPr>
        <w:t xml:space="preserve">. </w:t>
      </w:r>
      <w:r>
        <w:rPr>
          <w:rtl w:val="true"/>
        </w:rPr>
        <w:t>המומחים שללו אפשרות של גלישה פסיכוטית כתוצאה מסכיזופרניה ולקחו בחשבון את ההיסטוריה של המערער ואת כל השיקולים הרלוונטיים לעניין</w:t>
      </w:r>
      <w:r>
        <w:rPr>
          <w:rtl w:val="true"/>
        </w:rPr>
        <w:t xml:space="preserve">. </w:t>
      </w:r>
      <w:r>
        <w:rPr>
          <w:rtl w:val="true"/>
        </w:rPr>
        <w:t>המערער כלל לא הגיש חוות דעת נגדית מטעמו</w:t>
      </w:r>
      <w:r>
        <w:rPr>
          <w:rtl w:val="true"/>
        </w:rPr>
        <w:t xml:space="preserve">. </w:t>
      </w:r>
      <w:r>
        <w:rPr>
          <w:rtl w:val="true"/>
        </w:rPr>
        <w:t xml:space="preserve">הוא לא הצביע על </w:t>
      </w:r>
      <w:r>
        <w:rPr>
          <w:rtl w:val="true"/>
        </w:rPr>
        <w:t>"</w:t>
      </w:r>
      <w:r>
        <w:rPr>
          <w:rtl w:val="true"/>
        </w:rPr>
        <w:t>קולות</w:t>
      </w:r>
      <w:r>
        <w:rPr>
          <w:rtl w:val="true"/>
        </w:rPr>
        <w:t xml:space="preserve">" </w:t>
      </w:r>
      <w:r>
        <w:rPr>
          <w:rtl w:val="true"/>
        </w:rPr>
        <w:t>כלשהם שהורו לו לרצוח את אמו או על מחשבות שווא מכל סוג</w:t>
      </w:r>
      <w:r>
        <w:rPr>
          <w:rtl w:val="true"/>
        </w:rPr>
        <w:t xml:space="preserve">. </w:t>
      </w:r>
      <w:r>
        <w:rPr>
          <w:rtl w:val="true"/>
        </w:rPr>
        <w:t>גם בני המשפחה העידו כי התנהגותו בסמוך לרצח לא הייתה חריגה</w:t>
      </w:r>
      <w:r>
        <w:rPr>
          <w:rtl w:val="true"/>
        </w:rPr>
        <w:t xml:space="preserve">. </w:t>
      </w:r>
      <w:r>
        <w:rPr>
          <w:rtl w:val="true"/>
        </w:rPr>
        <w:t>אין גם בעובדה שנעשתה פניה לרשויות מצד בני משפחתו עובר לאירוע בקשר למצבו הנפשי כדי לקבוע קשר סיבתי בין מצבו לבין ביצוע הרצח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לבסוף נטען כי לא הוכחה אשמה פחותה לפי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שכן לא התקיימו נסיבות מיוחדות שבגינן המעשה אינו מבטא דרגת אשמה חמורה במיוחד</w:t>
      </w:r>
      <w:r>
        <w:rPr>
          <w:rtl w:val="true"/>
        </w:rPr>
        <w:t xml:space="preserve">. </w:t>
      </w:r>
      <w:r>
        <w:rPr>
          <w:rtl w:val="true"/>
        </w:rPr>
        <w:t>בהתאם לפסיקת בית משפט זה</w:t>
      </w:r>
      <w:r>
        <w:rPr>
          <w:rtl w:val="true"/>
        </w:rPr>
        <w:t xml:space="preserve">, </w:t>
      </w:r>
      <w:r>
        <w:rPr>
          <w:rtl w:val="true"/>
        </w:rPr>
        <w:t>את הסעיף האמור יש להחיל בצמצום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הגבלה על יכולתו של נאשם להבין את אשר הוא עושה</w:t>
      </w:r>
      <w:r>
        <w:rPr>
          <w:rtl w:val="true"/>
        </w:rPr>
        <w:t xml:space="preserve">, </w:t>
      </w:r>
      <w:r>
        <w:rPr>
          <w:rtl w:val="true"/>
        </w:rPr>
        <w:t>את הפסול במעשיו ויכולתו להימנע מהמעשה</w:t>
      </w:r>
      <w:r>
        <w:rPr>
          <w:rtl w:val="true"/>
        </w:rPr>
        <w:t xml:space="preserve">, </w:t>
      </w:r>
      <w:r>
        <w:rPr>
          <w:rtl w:val="true"/>
        </w:rPr>
        <w:t>עשויה להביא לתחולת הסעיף</w:t>
      </w:r>
      <w:r>
        <w:rPr>
          <w:rtl w:val="true"/>
        </w:rPr>
        <w:t xml:space="preserve">. </w:t>
      </w:r>
      <w:r>
        <w:rPr>
          <w:rtl w:val="true"/>
        </w:rPr>
        <w:t>אולם במקרה זה לא הוכחה כלל הגבלה כאמור</w:t>
      </w:r>
      <w:r>
        <w:rPr>
          <w:rtl w:val="true"/>
        </w:rPr>
        <w:t xml:space="preserve">. </w:t>
      </w:r>
      <w:r>
        <w:rPr>
          <w:rtl w:val="true"/>
        </w:rPr>
        <w:t>אין די בעצם קיומה של מחלת נפש</w:t>
      </w:r>
      <w:r>
        <w:rPr>
          <w:rtl w:val="true"/>
        </w:rPr>
        <w:t xml:space="preserve">, </w:t>
      </w:r>
      <w:r>
        <w:rPr>
          <w:rtl w:val="true"/>
        </w:rPr>
        <w:t>אשר לא הוכח כי השפיעה עליו עת נטל את חייה של המנוחה</w:t>
      </w:r>
      <w:r>
        <w:rPr>
          <w:rtl w:val="true"/>
        </w:rPr>
        <w:t xml:space="preserve">, </w:t>
      </w:r>
      <w:r>
        <w:rPr>
          <w:rtl w:val="true"/>
        </w:rPr>
        <w:t>על מנת לזכות בהקלה זו</w:t>
      </w:r>
      <w:r>
        <w:rPr>
          <w:rtl w:val="true"/>
        </w:rPr>
        <w:t xml:space="preserve">.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>נסיבות המקרה כמו גם התנהלותו של המערער לא רק שאין בהן כל אחיזה המצדיקה הפחתה בדרגת אשמתו</w:t>
      </w:r>
      <w:r>
        <w:rPr>
          <w:rtl w:val="true"/>
        </w:rPr>
        <w:t xml:space="preserve">, </w:t>
      </w:r>
      <w:r>
        <w:rPr>
          <w:rtl w:val="true"/>
        </w:rPr>
        <w:t>אלא שהן מצביעות על דרגת אשמה חמורה במיוחד</w:t>
      </w:r>
      <w:r>
        <w:rPr>
          <w:rtl w:val="true"/>
        </w:rPr>
        <w:t xml:space="preserve">. </w:t>
      </w:r>
      <w:r>
        <w:rPr>
          <w:rtl w:val="true"/>
        </w:rPr>
        <w:t>בהתייחס לשאלת נטל ההוכחה הנדרש להוכחת תחולת הסעיף</w:t>
      </w:r>
      <w:r>
        <w:rPr>
          <w:rtl w:val="true"/>
        </w:rPr>
        <w:t xml:space="preserve">, </w:t>
      </w:r>
      <w:r>
        <w:rPr>
          <w:rtl w:val="true"/>
        </w:rPr>
        <w:t>המשיבה עמדה על כך שמדובר ברף של מאזן הסתברויות</w:t>
      </w:r>
      <w:r>
        <w:rPr>
          <w:rtl w:val="true"/>
        </w:rPr>
        <w:t xml:space="preserve">, </w:t>
      </w:r>
      <w:r>
        <w:rPr>
          <w:rtl w:val="true"/>
        </w:rPr>
        <w:t>אך ציינה כי בכל מקרה לא עלה בידי המערער להוכיח ולוּ ברמה של העלאת ספק סביר כי היה במצב פסיכוטי בעת האירוע</w:t>
      </w:r>
      <w:r>
        <w:rPr>
          <w:rtl w:val="true"/>
        </w:rPr>
        <w:t xml:space="preserve">. </w:t>
      </w:r>
      <w:r>
        <w:rPr>
          <w:rtl w:val="true"/>
        </w:rPr>
        <w:t>גם אין בכוחן של טענות המערער באשר להתנהלות הרשויות בעניינו</w:t>
      </w:r>
      <w:r>
        <w:rPr>
          <w:rtl w:val="true"/>
        </w:rPr>
        <w:t xml:space="preserve">, </w:t>
      </w:r>
      <w:r>
        <w:rPr>
          <w:rtl w:val="true"/>
        </w:rPr>
        <w:t>מבלי שהוכח כל קשר סיבתי בינן לבין המעשה שבוצע על ידו</w:t>
      </w:r>
      <w:r>
        <w:rPr>
          <w:rtl w:val="true"/>
        </w:rPr>
        <w:t xml:space="preserve">, </w:t>
      </w:r>
      <w:r>
        <w:rPr>
          <w:rtl w:val="true"/>
        </w:rPr>
        <w:t>כדי להביא לתחולת הסעיף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מספר שאלות עומדות להכרעה בערעור שלפנינו</w:t>
      </w:r>
      <w:r>
        <w:rPr>
          <w:rtl w:val="true"/>
        </w:rPr>
        <w:t xml:space="preserve">. </w:t>
      </w:r>
      <w:r>
        <w:rPr>
          <w:rtl w:val="true"/>
        </w:rPr>
        <w:t xml:space="preserve">הראשונה שבהן היא שאלת תחולתו של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העוסק בנסיבות שבהן הרצח נעשה באכזריות מיוחדת</w:t>
      </w:r>
      <w:r>
        <w:rPr>
          <w:rtl w:val="true"/>
        </w:rPr>
        <w:t xml:space="preserve">, </w:t>
      </w:r>
      <w:r>
        <w:rPr>
          <w:rtl w:val="true"/>
        </w:rPr>
        <w:t>או תוך התעללות גופנית או נפשית</w:t>
      </w:r>
      <w:r>
        <w:rPr>
          <w:rtl w:val="true"/>
        </w:rPr>
        <w:t xml:space="preserve">. </w:t>
      </w:r>
      <w:r>
        <w:rPr>
          <w:rtl w:val="true"/>
        </w:rPr>
        <w:t>ככל שמעשיו של המערער נכנסים לגדרו של סעיף זה</w:t>
      </w:r>
      <w:r>
        <w:rPr>
          <w:rtl w:val="true"/>
        </w:rPr>
        <w:t xml:space="preserve">, </w:t>
      </w:r>
      <w:r>
        <w:rPr>
          <w:rtl w:val="true"/>
        </w:rPr>
        <w:t xml:space="preserve">הרי שעונשו הוא כפי שנגזר עליו </w:t>
      </w:r>
      <w:r>
        <w:rPr>
          <w:rtl w:val="true"/>
        </w:rPr>
        <w:t>–</w:t>
      </w:r>
      <w:r>
        <w:rPr>
          <w:rtl w:val="true"/>
        </w:rPr>
        <w:t xml:space="preserve"> מאסר עולם</w:t>
      </w:r>
      <w:r>
        <w:rPr>
          <w:rtl w:val="true"/>
        </w:rPr>
        <w:t xml:space="preserve">, </w:t>
      </w:r>
      <w:r>
        <w:rPr>
          <w:rtl w:val="true"/>
        </w:rPr>
        <w:t>ועונש זה בלבד</w:t>
      </w:r>
      <w:r>
        <w:rPr>
          <w:rtl w:val="true"/>
        </w:rPr>
        <w:t xml:space="preserve">. </w:t>
      </w:r>
      <w:r>
        <w:rPr>
          <w:rtl w:val="true"/>
        </w:rPr>
        <w:t>או אז מתעוררות שתי שאלות</w:t>
      </w:r>
      <w:r>
        <w:rPr>
          <w:rtl w:val="true"/>
        </w:rPr>
        <w:t xml:space="preserve">.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 xml:space="preserve">האם המערער עומד בתנאי האחריות המופחתת הקבועים </w:t>
      </w:r>
      <w:hyperlink r:id="rId3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: </w:t>
      </w:r>
      <w:r>
        <w:rPr>
          <w:rtl w:val="true"/>
        </w:rPr>
        <w:t xml:space="preserve">היינו שהמעשה בוצע על ידו בהיותו תחת השפעת סמים </w:t>
      </w:r>
      <w:r>
        <w:rPr>
          <w:rtl w:val="true"/>
        </w:rPr>
        <w:t>(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tl w:val="true"/>
        </w:rPr>
        <w:t xml:space="preserve">או שהמעשה נעשה במצב שבו </w:t>
      </w:r>
      <w:r>
        <w:rPr>
          <w:rtl w:val="true"/>
        </w:rPr>
        <w:t>"</w:t>
      </w:r>
      <w:r>
        <w:rPr>
          <w:rtl w:val="true"/>
        </w:rPr>
        <w:t>בשל הפרעה נפשית חמורה או בשל ליקוי בכושרו השכלי הוגבלה יכולתו של הנאשם במידה ניכרת</w:t>
      </w:r>
      <w:r>
        <w:rPr>
          <w:rtl w:val="true"/>
        </w:rPr>
        <w:t xml:space="preserve">, </w:t>
      </w:r>
      <w:r>
        <w:rPr>
          <w:rtl w:val="true"/>
        </w:rPr>
        <w:t>אך לא עד כדי חוסר יכולת של ממש</w:t>
      </w:r>
      <w:r>
        <w:rPr>
          <w:rtl w:val="true"/>
        </w:rPr>
        <w:t xml:space="preserve">" </w:t>
      </w:r>
      <w:r>
        <w:rPr>
          <w:rtl w:val="true"/>
        </w:rPr>
        <w:t xml:space="preserve">להבין את מה שעשה או את הפסול שבמעשהו או להימנע מעשיית המעשה </w:t>
      </w:r>
      <w:r>
        <w:rPr>
          <w:rtl w:val="true"/>
        </w:rPr>
        <w:t>(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השאלה השנייה</w:t>
      </w:r>
      <w:r>
        <w:rPr>
          <w:rtl w:val="true"/>
        </w:rPr>
        <w:t xml:space="preserve">, </w:t>
      </w:r>
      <w:r>
        <w:rPr>
          <w:rtl w:val="true"/>
        </w:rPr>
        <w:t xml:space="preserve">האם מתקיימות נסיבות מיוחדות שבשלהן המעשה אינו מבטא דרגת אשמה חמורה במיוחד </w:t>
      </w:r>
      <w:r>
        <w:rPr>
          <w:rtl w:val="true"/>
        </w:rPr>
        <w:t>(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תחילה אפוא לשאלת תחולתו של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על פיו רצח המנוחה נעשה באכזריות מיוחדת</w:t>
      </w:r>
      <w:r>
        <w:rPr>
          <w:rtl w:val="true"/>
        </w:rPr>
        <w:t xml:space="preserve">, </w:t>
      </w:r>
      <w:r>
        <w:rPr>
          <w:rtl w:val="true"/>
        </w:rPr>
        <w:t>או תוך התעללות גופנית או נפשית בה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hyperlink r:id="rId43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301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א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א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)(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7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)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אכזריות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אף כי כל מעשה של נטילת חיי אדם הוא אלים</w:t>
      </w:r>
      <w:r>
        <w:rPr>
          <w:rtl w:val="true"/>
        </w:rPr>
        <w:t xml:space="preserve">, </w:t>
      </w:r>
      <w:r>
        <w:rPr>
          <w:rtl w:val="true"/>
        </w:rPr>
        <w:t>אכזרי וחמור</w:t>
      </w:r>
      <w:r>
        <w:rPr>
          <w:rtl w:val="true"/>
        </w:rPr>
        <w:t xml:space="preserve">, </w:t>
      </w:r>
      <w:r>
        <w:rPr>
          <w:rtl w:val="true"/>
        </w:rPr>
        <w:t>המחוקק ראה לנכון במסגרת 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חוק העונשין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התיקון</w:t>
      </w:r>
      <w:r>
        <w:rPr>
          <w:rtl w:val="true"/>
        </w:rPr>
        <w:t xml:space="preserve">)), </w:t>
      </w:r>
      <w:r>
        <w:rPr>
          <w:rtl w:val="true"/>
        </w:rPr>
        <w:t xml:space="preserve">לפרט בסעיף </w:t>
      </w:r>
      <w:hyperlink r:id="rId45"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את כל אותם מקרים שבהם מעשה ההמתה מגלם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נוספת</w:t>
      </w:r>
      <w:r>
        <w:rPr>
          <w:rtl w:val="true"/>
        </w:rPr>
        <w:t xml:space="preserve"> מעבר לעבירת הרצח הבסיסית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7.7.2022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tl w:val="true"/>
        </w:rPr>
        <w:t xml:space="preserve">)). </w:t>
      </w:r>
      <w:r>
        <w:rPr>
          <w:rtl w:val="true"/>
        </w:rPr>
        <w:t xml:space="preserve">כך גם הביטוי </w:t>
      </w:r>
      <w:r>
        <w:rPr>
          <w:rtl w:val="true"/>
        </w:rPr>
        <w:t>"</w:t>
      </w:r>
      <w:r>
        <w:rPr>
          <w:rtl w:val="true"/>
        </w:rPr>
        <w:t>אכזריות מיוחדת</w:t>
      </w:r>
      <w:r>
        <w:rPr>
          <w:rtl w:val="true"/>
        </w:rPr>
        <w:t xml:space="preserve">" </w:t>
      </w:r>
      <w:r>
        <w:rPr>
          <w:rtl w:val="true"/>
        </w:rPr>
        <w:t>מגלם בתוכו</w:t>
      </w:r>
      <w:r>
        <w:rPr>
          <w:rtl w:val="true"/>
        </w:rPr>
        <w:t xml:space="preserve">, </w:t>
      </w:r>
      <w:r>
        <w:rPr>
          <w:rtl w:val="true"/>
        </w:rPr>
        <w:t xml:space="preserve">כפי שעולה מדברי ההסבר להצעת החוק </w:t>
      </w:r>
      <w:r>
        <w:rPr>
          <w:rtl w:val="true"/>
        </w:rPr>
        <w:t>(</w:t>
      </w:r>
      <w:r>
        <w:rPr>
          <w:rtl w:val="true"/>
        </w:rPr>
        <w:t xml:space="preserve">הצעת 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 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972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)), </w:t>
      </w:r>
      <w:r>
        <w:rPr>
          <w:rtl w:val="true"/>
        </w:rPr>
        <w:t xml:space="preserve">דרישה לאכזריות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החורגת</w:t>
      </w:r>
      <w:r>
        <w:rPr>
          <w:rtl w:val="true"/>
        </w:rPr>
        <w:t xml:space="preserve"> מזו הגלומה בעצם מעשה ההמתה</w:t>
      </w:r>
      <w:r>
        <w:rPr>
          <w:rtl w:val="true"/>
        </w:rPr>
        <w:t xml:space="preserve">. </w:t>
      </w:r>
      <w:r>
        <w:rPr>
          <w:rtl w:val="true"/>
        </w:rPr>
        <w:t>מדובר בדרישה אשר שמה דגש על קורבן העבירה</w:t>
      </w:r>
      <w:r>
        <w:rPr>
          <w:rtl w:val="true"/>
        </w:rPr>
        <w:t xml:space="preserve">, </w:t>
      </w:r>
      <w:r>
        <w:rPr>
          <w:rtl w:val="true"/>
        </w:rPr>
        <w:t xml:space="preserve">במובן זה שיש לבחון את מעשה הרצח על פי החוויה שעבר הקרבן ועוצמת הפגיעה בו ובכבודו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איילין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איילין</w:t>
      </w:r>
      <w:r>
        <w:rPr>
          <w:rtl w:val="true"/>
        </w:rPr>
        <w:t xml:space="preserve">);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8363/19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8.6.2021</w:t>
      </w:r>
      <w:r>
        <w:rPr>
          <w:rtl w:val="true"/>
        </w:rPr>
        <w:t xml:space="preserve">);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8199/20</w:t>
        </w:r>
      </w:hyperlink>
      <w:r>
        <w:rPr>
          <w:rtl w:val="true"/>
        </w:rPr>
        <w:t xml:space="preserve">  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זיאדאת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30.4.2023</w:t>
      </w:r>
      <w:r>
        <w:rPr>
          <w:rtl w:val="true"/>
        </w:rPr>
        <w:t xml:space="preserve">)).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כפי שנאמר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איילין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גידורה המדויק של עבירת ההמתה ב</w:t>
      </w:r>
      <w:r>
        <w:rPr>
          <w:rtl w:val="true"/>
        </w:rPr>
        <w:t>'</w:t>
      </w:r>
      <w:r>
        <w:rPr>
          <w:rtl w:val="true"/>
        </w:rPr>
        <w:t>אכזריות מיוחדת</w:t>
      </w:r>
      <w:r>
        <w:rPr>
          <w:rtl w:val="true"/>
        </w:rPr>
        <w:t xml:space="preserve">' </w:t>
      </w:r>
      <w:r>
        <w:rPr>
          <w:rtl w:val="true"/>
        </w:rPr>
        <w:t>עתיד להיתוות ולהתהדק לאורך השנים</w:t>
      </w:r>
      <w:r>
        <w:rPr>
          <w:rtl w:val="true"/>
        </w:rPr>
        <w:t xml:space="preserve">, </w:t>
      </w:r>
      <w:r>
        <w:rPr>
          <w:rtl w:val="true"/>
        </w:rPr>
        <w:t>עם הצטברות פסיקות נוספות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tl w:val="true"/>
        </w:rPr>
        <w:t>השתית</w:t>
      </w:r>
      <w:r>
        <w:rPr>
          <w:rtl w:val="true"/>
        </w:rPr>
        <w:t xml:space="preserve"> חלק נכבד מערעורו על קו הגנה זה</w:t>
      </w:r>
      <w:r>
        <w:rPr>
          <w:rtl w:val="true"/>
        </w:rPr>
        <w:t xml:space="preserve">, </w:t>
      </w:r>
      <w:r>
        <w:rPr>
          <w:rtl w:val="true"/>
        </w:rPr>
        <w:t>בטענה כי קטיעת הראש נעשתה בשלב שבו המנוחה כבר לא הייתה בחיים</w:t>
      </w:r>
      <w:r>
        <w:rPr>
          <w:rtl w:val="true"/>
        </w:rPr>
        <w:t xml:space="preserve">, </w:t>
      </w:r>
      <w:r>
        <w:rPr>
          <w:rtl w:val="true"/>
        </w:rPr>
        <w:t>ומכאן שאין לראות ברצח המנוחה כמעשה הנעשה ב</w:t>
      </w:r>
      <w:r>
        <w:rPr>
          <w:rtl w:val="true"/>
        </w:rPr>
        <w:t>"</w:t>
      </w:r>
      <w:r>
        <w:rPr>
          <w:rtl w:val="true"/>
        </w:rPr>
        <w:t>אכזריות מיוחדת</w:t>
      </w:r>
      <w:r>
        <w:rPr>
          <w:rtl w:val="true"/>
        </w:rPr>
        <w:t xml:space="preserve">" </w:t>
      </w:r>
      <w:r>
        <w:rPr>
          <w:rtl w:val="true"/>
        </w:rPr>
        <w:t>או בהתעללות גופנית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 xml:space="preserve">בהקשר זה יש לקחת בחשבון את קביעתו של בית המשפט על פיה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יתכן</w:t>
      </w:r>
      <w:r>
        <w:rPr>
          <w:rtl w:val="true"/>
        </w:rPr>
        <w:t xml:space="preserve"> שקטיעת ראשה של המנוחה נגרמה בעוד היותה בחיים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280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), </w:t>
      </w:r>
      <w:r>
        <w:rPr>
          <w:rtl w:val="true"/>
        </w:rPr>
        <w:t>קביעה המבוססת בין היתר על חוות דעתה של ד</w:t>
      </w:r>
      <w:r>
        <w:rPr>
          <w:rtl w:val="true"/>
        </w:rPr>
        <w:t>"</w:t>
      </w:r>
      <w:r>
        <w:rPr>
          <w:rtl w:val="true"/>
        </w:rPr>
        <w:t xml:space="preserve">ר גיפס שניתחה את גופת המנוחה וקבעה כי </w:t>
      </w:r>
      <w:r>
        <w:rPr>
          <w:rtl w:val="true"/>
        </w:rPr>
        <w:t>"</w:t>
      </w:r>
      <w:r>
        <w:rPr>
          <w:rtl w:val="true"/>
        </w:rPr>
        <w:t>ניצפו דימומים ברקמות הרכות בצוואר ולכן יתכן שהקטיעה נגרמה בעוד המנוחה בחיים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מוכן אני להניח כי לא ניתן לקבוע שהמערער כרת את ראש המנוחה בהיותה בחיים כנסיבה המצביעה כשלעצמה על ביצוע המעשה באכזריות מיוחדת</w:t>
      </w:r>
      <w:r>
        <w:rPr>
          <w:rtl w:val="true"/>
        </w:rPr>
        <w:t xml:space="preserve">. </w:t>
      </w:r>
      <w:r>
        <w:rPr>
          <w:rtl w:val="true"/>
        </w:rPr>
        <w:t>אולם בניגוד לטענת המערער</w:t>
      </w:r>
      <w:r>
        <w:rPr>
          <w:rtl w:val="true"/>
        </w:rPr>
        <w:t xml:space="preserve">, </w:t>
      </w:r>
      <w:r>
        <w:rPr>
          <w:rtl w:val="true"/>
        </w:rPr>
        <w:t>אני סבור כי בנסיבות המקרה יש לקבוע שהוא ביצע את מעשיו באכזריות קשה</w:t>
      </w:r>
      <w:r>
        <w:rPr>
          <w:rtl w:val="true"/>
        </w:rPr>
        <w:t xml:space="preserve">, </w:t>
      </w:r>
      <w:r>
        <w:rPr>
          <w:rtl w:val="true"/>
        </w:rPr>
        <w:t>קיצונית ו</w:t>
      </w:r>
      <w:r>
        <w:rPr>
          <w:rtl w:val="true"/>
        </w:rPr>
        <w:t>"</w:t>
      </w:r>
      <w:r>
        <w:rPr>
          <w:rtl w:val="true"/>
        </w:rPr>
        <w:t>מיוחדת</w:t>
      </w:r>
      <w:r>
        <w:rPr>
          <w:rtl w:val="true"/>
        </w:rPr>
        <w:t xml:space="preserve">", </w:t>
      </w:r>
      <w:r>
        <w:rPr>
          <w:rtl w:val="true"/>
        </w:rPr>
        <w:t>בשים לב לנסיבות האחרות האופפות את ביצוע הרצח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הראיות שהוצגו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גם ללא קשר לכריתת ראש המנוחה</w:t>
      </w:r>
      <w:r>
        <w:rPr>
          <w:rtl w:val="true"/>
        </w:rPr>
        <w:t xml:space="preserve">, </w:t>
      </w:r>
      <w:r>
        <w:rPr>
          <w:rtl w:val="true"/>
        </w:rPr>
        <w:t>מצביעות על תמונה מצמררת</w:t>
      </w:r>
      <w:r>
        <w:rPr>
          <w:rtl w:val="true"/>
        </w:rPr>
        <w:t xml:space="preserve">. </w:t>
      </w:r>
      <w:r>
        <w:rPr>
          <w:rtl w:val="true"/>
        </w:rPr>
        <w:t>בחוות הדעת של המעבדה הניידת מתוארת הזירה ובכלל זה תיאור של דם רב על הרצפה</w:t>
      </w:r>
      <w:r>
        <w:rPr>
          <w:rtl w:val="true"/>
        </w:rPr>
        <w:t xml:space="preserve">, </w:t>
      </w:r>
      <w:r>
        <w:rPr>
          <w:rtl w:val="true"/>
        </w:rPr>
        <w:t>כתמי התזה על הקיר</w:t>
      </w:r>
      <w:r>
        <w:rPr>
          <w:rtl w:val="true"/>
        </w:rPr>
        <w:t xml:space="preserve">, </w:t>
      </w:r>
      <w:r>
        <w:rPr>
          <w:rtl w:val="true"/>
        </w:rPr>
        <w:t xml:space="preserve">כתמי דם ושיער על חפצים שבורים שונים </w:t>
      </w:r>
      <w:r>
        <w:rPr>
          <w:rtl w:val="true"/>
        </w:rPr>
        <w:t>(</w:t>
      </w:r>
      <w:r>
        <w:rPr>
          <w:rtl w:val="true"/>
        </w:rPr>
        <w:t>שחלקים מהם נמצאו בסמוך לגופת המנוחה</w:t>
      </w:r>
      <w:r>
        <w:rPr>
          <w:rtl w:val="true"/>
        </w:rPr>
        <w:t xml:space="preserve">) </w:t>
      </w:r>
      <w:r>
        <w:rPr>
          <w:rtl w:val="true"/>
        </w:rPr>
        <w:t xml:space="preserve">אשר נקבע כי בסבירות גבוהה מאוד שימשו לתקיפת המנוחה </w:t>
      </w:r>
      <w:r>
        <w:rPr>
          <w:rtl w:val="true"/>
        </w:rPr>
        <w:t>(</w:t>
      </w:r>
      <w:r>
        <w:rPr>
          <w:rtl w:val="true"/>
        </w:rPr>
        <w:t>מוצג ת</w:t>
      </w:r>
      <w:r>
        <w:rPr>
          <w:rtl w:val="true"/>
        </w:rPr>
        <w:t>/</w:t>
      </w:r>
      <w:r>
        <w:rPr/>
        <w:t>79</w:t>
      </w:r>
      <w:r>
        <w:rPr>
          <w:rtl w:val="true"/>
        </w:rPr>
        <w:t xml:space="preserve">). </w:t>
      </w:r>
      <w:r>
        <w:rPr>
          <w:rtl w:val="true"/>
        </w:rPr>
        <w:t>בחוות הדעת של ד</w:t>
      </w:r>
      <w:r>
        <w:rPr>
          <w:rtl w:val="true"/>
        </w:rPr>
        <w:t>"</w:t>
      </w:r>
      <w:r>
        <w:rPr>
          <w:rtl w:val="true"/>
        </w:rPr>
        <w:t>ר גיפס אשר ניתחה את הגופה תוארו</w:t>
      </w:r>
      <w:r>
        <w:rPr>
          <w:rtl w:val="true"/>
        </w:rPr>
        <w:t xml:space="preserve">, </w:t>
      </w:r>
      <w:r>
        <w:rPr>
          <w:rtl w:val="true"/>
        </w:rPr>
        <w:t>מלבד קטיעת הראש</w:t>
      </w:r>
      <w:r>
        <w:rPr>
          <w:rtl w:val="true"/>
        </w:rPr>
        <w:t xml:space="preserve">, </w:t>
      </w:r>
      <w:r>
        <w:rPr>
          <w:rtl w:val="true"/>
        </w:rPr>
        <w:t>פצעי קרע ודימומים נרחבים בקרקפת ובפנים שנגרמו מחבלות קהות</w:t>
      </w:r>
      <w:r>
        <w:rPr>
          <w:rtl w:val="true"/>
        </w:rPr>
        <w:t xml:space="preserve">, </w:t>
      </w:r>
      <w:r>
        <w:rPr>
          <w:rtl w:val="true"/>
        </w:rPr>
        <w:t>המתיישבים עם הטחת הראש כלפי משטח נוקשה</w:t>
      </w:r>
      <w:r>
        <w:rPr>
          <w:rtl w:val="true"/>
        </w:rPr>
        <w:t xml:space="preserve">. </w:t>
      </w:r>
      <w:r>
        <w:rPr>
          <w:rtl w:val="true"/>
        </w:rPr>
        <w:t xml:space="preserve">צוין כי הדימומים הנרחבים מצביעים על כך שהחבלות נגרמו כאשר המנוחה הייתה בחיים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כן תוארו דימומים תת</w:t>
      </w:r>
      <w:r>
        <w:rPr>
          <w:rtl w:val="true"/>
        </w:rPr>
        <w:t>-</w:t>
      </w:r>
      <w:r>
        <w:rPr>
          <w:rtl w:val="true"/>
        </w:rPr>
        <w:t>עוריים רבים נרחבים בגפיים ובגב</w:t>
      </w:r>
      <w:r>
        <w:rPr>
          <w:rtl w:val="true"/>
        </w:rPr>
        <w:t xml:space="preserve">, </w:t>
      </w:r>
      <w:r>
        <w:rPr>
          <w:rtl w:val="true"/>
        </w:rPr>
        <w:t xml:space="preserve">כולל שברים בצלעות אשר צוין כי נגרמו מחבלות קהות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נשמעו עדויותיהם של בני משפחה אשר תיארו את זעקותיה של המנוחה בעת הרצח </w:t>
      </w:r>
      <w:r>
        <w:rPr>
          <w:rtl w:val="true"/>
        </w:rPr>
        <w:t>(</w:t>
      </w:r>
      <w:r>
        <w:rPr>
          <w:rtl w:val="true"/>
        </w:rPr>
        <w:t>למשל בעדותו של פאיד מחאמיד</w:t>
      </w:r>
      <w:r>
        <w:rPr>
          <w:rtl w:val="true"/>
        </w:rPr>
        <w:t xml:space="preserve">, </w:t>
      </w:r>
      <w:r>
        <w:rPr>
          <w:rtl w:val="true"/>
        </w:rPr>
        <w:t xml:space="preserve">בן אחיה של המנוחה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5.11.2020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65-64</w:t>
      </w:r>
      <w:r>
        <w:rPr>
          <w:rtl w:val="true"/>
        </w:rPr>
        <w:t xml:space="preserve">) </w:t>
      </w:r>
      <w:r>
        <w:rPr>
          <w:rtl w:val="true"/>
        </w:rPr>
        <w:t>ובעדותה של אחותו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סג</w:t>
      </w:r>
      <w:r>
        <w:rPr>
          <w:rtl w:val="true"/>
        </w:rPr>
        <w:t>'</w:t>
      </w:r>
      <w:r>
        <w:rPr>
          <w:rtl w:val="true"/>
        </w:rPr>
        <w:t xml:space="preserve">ע מחאמיד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89-87</w:t>
      </w:r>
      <w:r>
        <w:rPr>
          <w:rtl w:val="true"/>
        </w:rPr>
        <w:t xml:space="preserve">)). </w:t>
      </w:r>
      <w:r>
        <w:rPr>
          <w:rtl w:val="true"/>
        </w:rPr>
        <w:t xml:space="preserve">העדים תיארו קולות אשר הטרידו את מנוחתם </w:t>
      </w:r>
      <w:r>
        <w:rPr>
          <w:rtl w:val="true"/>
        </w:rPr>
        <w:t>–</w:t>
      </w:r>
      <w:r>
        <w:rPr>
          <w:rtl w:val="true"/>
        </w:rPr>
        <w:t xml:space="preserve"> יללות</w:t>
      </w:r>
      <w:r>
        <w:rPr>
          <w:rtl w:val="true"/>
        </w:rPr>
        <w:t xml:space="preserve">, </w:t>
      </w:r>
      <w:r>
        <w:rPr>
          <w:rtl w:val="true"/>
        </w:rPr>
        <w:t>קולות חזקים</w:t>
      </w:r>
      <w:r>
        <w:rPr>
          <w:rtl w:val="true"/>
        </w:rPr>
        <w:t>, "</w:t>
      </w:r>
      <w:r>
        <w:rPr>
          <w:rtl w:val="true"/>
        </w:rPr>
        <w:t>בכי של קינה</w:t>
      </w:r>
      <w:r>
        <w:rPr>
          <w:rtl w:val="true"/>
        </w:rPr>
        <w:t xml:space="preserve">" </w:t>
      </w:r>
      <w:r>
        <w:rPr>
          <w:rtl w:val="true"/>
        </w:rPr>
        <w:t xml:space="preserve">הנשמע בעת </w:t>
      </w:r>
      <w:r>
        <w:rPr>
          <w:rtl w:val="true"/>
        </w:rPr>
        <w:t>"</w:t>
      </w:r>
      <w:r>
        <w:rPr>
          <w:rtl w:val="true"/>
        </w:rPr>
        <w:t>אסון</w:t>
      </w:r>
      <w:r>
        <w:rPr>
          <w:rtl w:val="true"/>
        </w:rPr>
        <w:t xml:space="preserve">", </w:t>
      </w:r>
      <w:r>
        <w:rPr>
          <w:rtl w:val="true"/>
        </w:rPr>
        <w:t>וזאת במשך דקות ארוכות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תמונת הפאזל המצטברת היא אפוא של כאב וסבל חריגים וקיצוניים שהיו מנת חלקה של המנוחה בעת שבנה</w:t>
      </w:r>
      <w:r>
        <w:rPr>
          <w:rtl w:val="true"/>
        </w:rPr>
        <w:t xml:space="preserve">, </w:t>
      </w:r>
      <w:r>
        <w:rPr>
          <w:rtl w:val="true"/>
        </w:rPr>
        <w:t>בשר מבשרה</w:t>
      </w:r>
      <w:r>
        <w:rPr>
          <w:rtl w:val="true"/>
        </w:rPr>
        <w:t xml:space="preserve">, </w:t>
      </w:r>
      <w:r>
        <w:rPr>
          <w:rtl w:val="true"/>
        </w:rPr>
        <w:t>חובט בה למוות</w:t>
      </w:r>
      <w:r>
        <w:rPr>
          <w:rtl w:val="true"/>
        </w:rPr>
        <w:t xml:space="preserve">, </w:t>
      </w:r>
      <w:r>
        <w:rPr>
          <w:rtl w:val="true"/>
        </w:rPr>
        <w:t>בביתה</w:t>
      </w:r>
      <w:r>
        <w:rPr>
          <w:rtl w:val="true"/>
        </w:rPr>
        <w:t>-</w:t>
      </w:r>
      <w:r>
        <w:rPr>
          <w:rtl w:val="true"/>
        </w:rPr>
        <w:t>מבצרה</w:t>
      </w:r>
      <w:r>
        <w:rPr>
          <w:rtl w:val="true"/>
        </w:rPr>
        <w:t xml:space="preserve">, </w:t>
      </w:r>
      <w:r>
        <w:rPr>
          <w:rtl w:val="true"/>
        </w:rPr>
        <w:t>בעוד היא מייללת וזועקת זעקות שבר וכאב</w:t>
      </w:r>
      <w:r>
        <w:rPr>
          <w:rtl w:val="true"/>
        </w:rPr>
        <w:t xml:space="preserve">. </w:t>
      </w:r>
      <w:r>
        <w:rPr>
          <w:rtl w:val="true"/>
        </w:rPr>
        <w:t>טענת המערער כי יתכן שהמנוחה ספגה מספר מועט של מכות טרם נפחה את נשמתה אינה עולה בקנה אחד עם הראיות השונות</w:t>
      </w:r>
      <w:r>
        <w:rPr>
          <w:rtl w:val="true"/>
        </w:rPr>
        <w:t xml:space="preserve">, </w:t>
      </w:r>
      <w:r>
        <w:rPr>
          <w:rtl w:val="true"/>
        </w:rPr>
        <w:t>בהן חווֹת הדעת שהוגשו כמו גם עדויות בני המשפחה</w:t>
      </w:r>
      <w:r>
        <w:rPr>
          <w:rtl w:val="true"/>
        </w:rPr>
        <w:t xml:space="preserve">. </w:t>
      </w:r>
      <w:r>
        <w:rPr>
          <w:rtl w:val="true"/>
        </w:rPr>
        <w:t>המסקנה היא אם כן</w:t>
      </w:r>
      <w:r>
        <w:rPr>
          <w:rtl w:val="true"/>
        </w:rPr>
        <w:t xml:space="preserve">, </w:t>
      </w:r>
      <w:r>
        <w:rPr>
          <w:rtl w:val="true"/>
        </w:rPr>
        <w:t>שלא נפל פגם בקביעת בית המשפט המחוזי בדבר התקיימות דרישת ה</w:t>
      </w:r>
      <w:r>
        <w:rPr>
          <w:rtl w:val="true"/>
        </w:rPr>
        <w:t>"</w:t>
      </w:r>
      <w:r>
        <w:rPr>
          <w:rtl w:val="true"/>
        </w:rPr>
        <w:t>אכזריות המיוחדת</w:t>
      </w:r>
      <w:r>
        <w:rPr>
          <w:rtl w:val="true"/>
        </w:rPr>
        <w:t xml:space="preserve">" </w:t>
      </w:r>
      <w:hyperlink r:id="rId51">
        <w:r>
          <w:rPr>
            <w:rStyle w:val="Hyperlink"/>
            <w:rtl w:val="true"/>
          </w:rPr>
          <w:t>שבסעיף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אולם כאמור בכך לא תמה הדרך</w:t>
      </w:r>
      <w:r>
        <w:rPr>
          <w:rtl w:val="true"/>
        </w:rPr>
        <w:t xml:space="preserve">, </w:t>
      </w:r>
      <w:r>
        <w:rPr>
          <w:rtl w:val="true"/>
        </w:rPr>
        <w:t xml:space="preserve">שכן המערער טען כי במקרה זה התקיימו יסודות חלק מהחלופות הקבועות </w:t>
      </w:r>
      <w:hyperlink r:id="rId5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לחוק שנחקק גם הוא במסגרת התיקון וכותרתו </w:t>
      </w:r>
      <w:r>
        <w:rPr>
          <w:rtl w:val="true"/>
        </w:rPr>
        <w:t>"</w:t>
      </w:r>
      <w:r>
        <w:rPr>
          <w:rtl w:val="true"/>
        </w:rPr>
        <w:t>המתה בנסיבות של אחריות מופחתת</w:t>
      </w:r>
      <w:r>
        <w:rPr>
          <w:rtl w:val="true"/>
        </w:rPr>
        <w:t xml:space="preserve">". </w:t>
      </w:r>
      <w:r>
        <w:rPr>
          <w:rtl w:val="true"/>
        </w:rPr>
        <w:t>נפנה אפוא לבחינת החלופות להן טוען המערער במקרה זה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hyperlink r:id="rId53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301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מופחתת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כללי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לחוק מונה מצבים שונים המגלמים דרגת אשמה פחותה הנלווית למעשה ההמתה</w:t>
      </w:r>
      <w:r>
        <w:rPr>
          <w:rtl w:val="true"/>
        </w:rPr>
        <w:t xml:space="preserve">. </w:t>
      </w:r>
      <w:r>
        <w:rPr>
          <w:rtl w:val="true"/>
        </w:rPr>
        <w:t>החלופה האחת לגביה טען המערער 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עניינה באחריות מופחתת בשל שכרות לפי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החלופה האחרת</w:t>
      </w:r>
      <w:r>
        <w:rPr>
          <w:rtl w:val="true"/>
        </w:rPr>
        <w:t xml:space="preserve">, </w:t>
      </w:r>
      <w:r>
        <w:rPr>
          <w:rtl w:val="true"/>
        </w:rPr>
        <w:t xml:space="preserve">לגביה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tl w:val="true"/>
        </w:rPr>
        <w:t xml:space="preserve"> טען המערער דבר בבית המשפט המחוזי</w:t>
      </w:r>
      <w:r>
        <w:rPr>
          <w:rtl w:val="true"/>
        </w:rPr>
        <w:t xml:space="preserve">, </w:t>
      </w:r>
      <w:r>
        <w:rPr>
          <w:rtl w:val="true"/>
        </w:rPr>
        <w:t>אולם המשיבה העלתה אותה לפניו</w:t>
      </w:r>
      <w:r>
        <w:rPr>
          <w:rtl w:val="true"/>
        </w:rPr>
        <w:t xml:space="preserve">, </w:t>
      </w:r>
      <w:r>
        <w:rPr>
          <w:rtl w:val="true"/>
        </w:rPr>
        <w:t>בית המשפט ראה לנכון לדון בה והמערער העלה אותה לפנינו</w:t>
      </w:r>
      <w:r>
        <w:rPr>
          <w:rtl w:val="true"/>
        </w:rPr>
        <w:t xml:space="preserve">, </w:t>
      </w:r>
      <w:r>
        <w:rPr>
          <w:rtl w:val="true"/>
        </w:rPr>
        <w:t>עניינה באחריות מופחתת עקב הפרעה נפשית חמורה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וכך קובעות הוראות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301</w:t>
      </w:r>
      <w:r>
        <w:rPr>
          <w:rtl w:val="true"/>
        </w:rPr>
        <w:t>ב</w:t>
      </w:r>
      <w:r>
        <w:rPr>
          <w:rtl w:val="true"/>
        </w:rPr>
        <w:t>. (</w:t>
      </w:r>
      <w:r>
        <w:rPr>
          <w:rtl w:val="true"/>
        </w:rPr>
        <w:t>א</w:t>
      </w:r>
      <w:r>
        <w:rPr>
          <w:rtl w:val="true"/>
        </w:rPr>
        <w:t>) [...]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eastAsia="Arial TUR" w:cs="Arial TUR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301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הגורם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ליקוי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השכלי</w:t>
      </w:r>
      <w:r>
        <w:rPr>
          <w:rtl w:val="true"/>
        </w:rPr>
        <w:t xml:space="preserve">, </w:t>
      </w:r>
      <w:r>
        <w:rPr>
          <w:rtl w:val="true"/>
        </w:rPr>
        <w:t>הוגבלה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34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שבמעשהו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או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eastAsia="Arial TUR" w:cs="Arial TUR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301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eastAsia="Arial TUR" w:cs="Arial TUR"/>
          <w:rtl w:val="true"/>
        </w:rPr>
        <w:t xml:space="preserve"> </w:t>
      </w:r>
      <w:r>
        <w:rPr/>
        <w:t>34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), </w:t>
      </w:r>
      <w:r>
        <w:rPr/>
        <w:t>34</w:t>
      </w:r>
      <w:r>
        <w:rPr>
          <w:rtl w:val="true"/>
        </w:rPr>
        <w:t>ט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/>
        <w:t>34</w:t>
      </w:r>
      <w:r>
        <w:rPr>
          <w:rtl w:val="true"/>
        </w:rPr>
        <w:t>יד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רישה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נתייחס תחילה לסוגיית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ההוכחה</w:t>
      </w:r>
      <w:r>
        <w:rPr>
          <w:rtl w:val="true"/>
        </w:rPr>
        <w:t xml:space="preserve"> הנדרש להוכחת התקיימות תנאי סעיף זה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יש לציין כי בעבר נקבע שלצורך עמידה בתנאי </w:t>
      </w:r>
      <w:hyperlink r:id="rId58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300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לחוק</w:t>
      </w:r>
      <w:r>
        <w:rPr>
          <w:rtl w:val="true"/>
        </w:rPr>
        <w:t xml:space="preserve"> שנמחק בגדרי התיקון</w:t>
      </w:r>
      <w:r>
        <w:rPr>
          <w:rtl w:val="true"/>
        </w:rPr>
        <w:t xml:space="preserve">, </w:t>
      </w:r>
      <w:r>
        <w:rPr>
          <w:rtl w:val="true"/>
        </w:rPr>
        <w:t xml:space="preserve">שכותרתו הייתה </w:t>
      </w:r>
      <w:r>
        <w:rPr>
          <w:rtl w:val="true"/>
        </w:rPr>
        <w:t>"</w:t>
      </w:r>
      <w:r>
        <w:rPr>
          <w:rtl w:val="true"/>
        </w:rPr>
        <w:t>עונש מופחת</w:t>
      </w:r>
      <w:r>
        <w:rPr>
          <w:rtl w:val="true"/>
        </w:rPr>
        <w:t xml:space="preserve">" </w:t>
      </w:r>
      <w:r>
        <w:rPr>
          <w:rtl w:val="true"/>
        </w:rPr>
        <w:t xml:space="preserve">ואִפשר הקלה בעונשו של מי שהורשע בעבירת רצח במקרים מסוימים </w:t>
      </w:r>
      <w:r>
        <w:rPr>
          <w:rtl w:val="true"/>
        </w:rPr>
        <w:t>–</w:t>
      </w:r>
      <w:r>
        <w:rPr>
          <w:rtl w:val="true"/>
        </w:rPr>
        <w:t xml:space="preserve"> היה על הנאשם לעמוד ברף הוכחה של מאזן הסתברויות ולא די היה בהעלאת ספק סביר מצדו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למשל</w:t>
      </w:r>
      <w:r>
        <w:rPr>
          <w:rtl w:val="true"/>
        </w:rPr>
        <w:t xml:space="preserve">: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3243/95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צאלח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נב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/>
        <w:t>769</w:t>
      </w:r>
      <w:r>
        <w:rPr>
          <w:rtl w:val="true"/>
        </w:rPr>
        <w:t xml:space="preserve">, </w:t>
      </w:r>
      <w:r>
        <w:rPr/>
        <w:t>790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 xml:space="preserve">);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7926/00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נט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817</w:t>
      </w:r>
      <w:r>
        <w:rPr>
          <w:rtl w:val="true"/>
        </w:rPr>
        <w:t xml:space="preserve">, </w:t>
      </w:r>
      <w:r>
        <w:rPr/>
        <w:t>825-824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5266/05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זלנצקי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22.2.2007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זלנצקי</w:t>
      </w:r>
      <w:r>
        <w:rPr>
          <w:rtl w:val="true"/>
        </w:rPr>
        <w:t xml:space="preserve">);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27.6.2019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דאהן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זאת בין היתר</w:t>
      </w:r>
      <w:r>
        <w:rPr>
          <w:rtl w:val="true"/>
        </w:rPr>
        <w:t xml:space="preserve">, </w:t>
      </w:r>
      <w:r>
        <w:rPr>
          <w:rtl w:val="true"/>
        </w:rPr>
        <w:t>מכיוון ש</w:t>
      </w:r>
      <w:r>
        <w:rPr>
          <w:rtl w:val="true"/>
        </w:rPr>
        <w:t>"</w:t>
      </w:r>
      <w:r>
        <w:rPr>
          <w:rtl w:val="true"/>
        </w:rPr>
        <w:t>הסעיף</w:t>
      </w:r>
      <w:r>
        <w:rPr>
          <w:rtl w:val="true"/>
        </w:rPr>
        <w:t xml:space="preserve"> </w:t>
      </w:r>
      <w:r>
        <w:rPr>
          <w:rtl w:val="true"/>
        </w:rPr>
        <w:t>מתווה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החורג</w:t>
      </w:r>
      <w:r>
        <w:rPr>
          <w:rtl w:val="true"/>
        </w:rPr>
        <w:t xml:space="preserve"> </w:t>
      </w:r>
      <w:r>
        <w:rPr>
          <w:rtl w:val="true"/>
        </w:rPr>
        <w:t>מעונש</w:t>
      </w:r>
      <w:r>
        <w:rPr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 </w:t>
      </w:r>
      <w:r>
        <w:rPr>
          <w:rtl w:val="true"/>
        </w:rPr>
        <w:t>הקבוע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 </w:t>
      </w:r>
      <w:r>
        <w:rPr>
          <w:rtl w:val="true"/>
        </w:rPr>
        <w:t>ומאחר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עוסק</w:t>
      </w:r>
      <w:r>
        <w:rPr>
          <w:rtl w:val="true"/>
        </w:rPr>
        <w:t xml:space="preserve"> </w:t>
      </w:r>
      <w:r>
        <w:rPr>
          <w:rtl w:val="true"/>
        </w:rPr>
        <w:t>בשלב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בקיומו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סייג</w:t>
      </w:r>
      <w:r>
        <w:rPr>
          <w:rtl w:val="true"/>
        </w:rPr>
        <w:t xml:space="preserve"> </w:t>
      </w:r>
      <w:r>
        <w:rPr>
          <w:rtl w:val="true"/>
        </w:rPr>
        <w:t>לאחריות</w:t>
      </w:r>
      <w:r>
        <w:rPr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>" (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10669/05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מטטוב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7.2.2008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מטטוב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נשאלת השאלה אם במחיקת </w:t>
      </w:r>
      <w:hyperlink r:id="rId6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ובחקיקת 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הנתפש כמקביל לו</w:t>
      </w:r>
      <w:r>
        <w:rPr>
          <w:rtl w:val="true"/>
        </w:rPr>
        <w:t xml:space="preserve">, </w:t>
      </w:r>
      <w:r>
        <w:rPr>
          <w:rtl w:val="true"/>
        </w:rPr>
        <w:t xml:space="preserve">ביקש המחוקק לשנות את רף ההוכחה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>: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גם אורי שהם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ו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אור שחרור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ענישה או אחריות מופחתת בעבירת הרצ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ח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מנחם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פינקלשטיין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משפט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ביטחון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וספר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hd w:fill="FFFFFF" w:val="clear"/>
        </w:rPr>
        <w:t>443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  <w:shd w:fill="FFFFFF" w:val="clear"/>
        </w:rPr>
        <w:t>480-479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  <w:shd w:fill="FFFFFF" w:val="clear"/>
        </w:rPr>
        <w:t>2020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 xml:space="preserve">זאת נוכח העובדה </w:t>
      </w:r>
      <w:hyperlink r:id="rId66">
        <w:r>
          <w:rPr>
            <w:rStyle w:val="Hyperlink"/>
            <w:rtl w:val="true"/>
          </w:rPr>
          <w:t>שסעיף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 xml:space="preserve">שכותרתו כאמור </w:t>
      </w:r>
      <w:r>
        <w:rPr>
          <w:rtl w:val="true"/>
        </w:rPr>
        <w:t>"</w:t>
      </w:r>
      <w:r>
        <w:rPr>
          <w:rtl w:val="true"/>
        </w:rPr>
        <w:t>המתה בנסיבות של אחריות מופחתת</w:t>
      </w:r>
      <w:r>
        <w:rPr>
          <w:rtl w:val="true"/>
        </w:rPr>
        <w:t xml:space="preserve">", </w:t>
      </w:r>
      <w:r>
        <w:rPr>
          <w:rtl w:val="true"/>
        </w:rPr>
        <w:t xml:space="preserve">עניינו במישור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האחריות</w:t>
      </w:r>
      <w:r>
        <w:rPr>
          <w:rtl w:val="true"/>
        </w:rPr>
        <w:t xml:space="preserve"> ולא רק במישור מידת העונש </w:t>
      </w:r>
      <w:r>
        <w:rPr>
          <w:rtl w:val="true"/>
        </w:rPr>
        <w:t>(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7535/17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קרא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25.5.2021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דורון</w:t>
      </w:r>
      <w:r>
        <w:rPr>
          <w:rtl w:val="true"/>
        </w:rPr>
        <w:t xml:space="preserve">)). </w:t>
      </w:r>
      <w:r>
        <w:rPr>
          <w:rtl w:val="true"/>
        </w:rPr>
        <w:t>כפי שמצוין בדברי ההסבר</w:t>
      </w:r>
      <w:r>
        <w:rPr>
          <w:rtl w:val="true"/>
        </w:rPr>
        <w:t xml:space="preserve">, </w:t>
      </w:r>
      <w:r>
        <w:rPr>
          <w:rtl w:val="true"/>
        </w:rPr>
        <w:t>כותרת</w:t>
      </w:r>
      <w:r>
        <w:rPr>
          <w:rtl w:val="true"/>
        </w:rPr>
        <w:t xml:space="preserve"> </w:t>
      </w:r>
      <w:r>
        <w:rPr>
          <w:rtl w:val="true"/>
        </w:rPr>
        <w:t xml:space="preserve">הסעיף </w:t>
      </w:r>
      <w:r>
        <w:rPr>
          <w:rtl w:val="true"/>
        </w:rPr>
        <w:t>באה</w:t>
      </w:r>
      <w:r>
        <w:rPr>
          <w:rtl w:val="true"/>
        </w:rPr>
        <w:t xml:space="preserve"> </w:t>
      </w:r>
      <w:r>
        <w:rPr>
          <w:rtl w:val="true"/>
        </w:rPr>
        <w:t>לתת</w:t>
      </w:r>
      <w:r>
        <w:rPr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 </w:t>
      </w:r>
      <w:r>
        <w:rPr>
          <w:rtl w:val="true"/>
        </w:rPr>
        <w:t>לאשם</w:t>
      </w:r>
      <w:r>
        <w:rPr>
          <w:rtl w:val="true"/>
        </w:rPr>
        <w:t xml:space="preserve"> </w:t>
      </w:r>
      <w:r>
        <w:rPr>
          <w:rtl w:val="true"/>
        </w:rPr>
        <w:t>הפחו</w:t>
      </w:r>
      <w:r>
        <w:rPr>
          <w:rtl w:val="true"/>
        </w:rPr>
        <w:t>ּ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>
          <w:rtl w:val="true"/>
        </w:rPr>
        <w:t>המיוחס</w:t>
      </w:r>
      <w:r>
        <w:rPr>
          <w:rtl w:val="true"/>
        </w:rPr>
        <w:t xml:space="preserve"> </w:t>
      </w:r>
      <w:r>
        <w:rPr>
          <w:rtl w:val="true"/>
        </w:rPr>
        <w:t>למבצע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בהשוואה</w:t>
      </w:r>
      <w:r>
        <w:rPr>
          <w:rtl w:val="true"/>
        </w:rPr>
        <w:t xml:space="preserve"> </w:t>
      </w:r>
      <w:r>
        <w:rPr>
          <w:rtl w:val="true"/>
        </w:rPr>
        <w:t>לעבירת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דברי ההסבר להצעת החוק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174</w:t>
      </w:r>
      <w:r>
        <w:rPr>
          <w:rtl w:val="true"/>
        </w:rPr>
        <w:t xml:space="preserve">).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 xml:space="preserve">מדובר בשינוי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בהיקף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הפלילית</w:t>
      </w:r>
      <w:r>
        <w:rPr>
          <w:rtl w:val="true"/>
        </w:rPr>
        <w:t xml:space="preserve"> שמגלמת העבירה</w:t>
      </w:r>
      <w:r>
        <w:rPr>
          <w:rtl w:val="true"/>
        </w:rPr>
        <w:t xml:space="preserve">, </w:t>
      </w:r>
      <w:r>
        <w:rPr>
          <w:rtl w:val="true"/>
        </w:rPr>
        <w:t xml:space="preserve">ולא רק מתן שיקול דעת לבית המשפט להפחתה בעונש </w:t>
      </w:r>
      <w:r>
        <w:rPr>
          <w:rtl w:val="true"/>
        </w:rPr>
        <w:t>(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5374/20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12.4.2022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); </w:t>
      </w:r>
      <w:hyperlink r:id="rId69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30.12.2019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דהאן</w:t>
      </w:r>
      <w:r>
        <w:rPr>
          <w:rtl w:val="true"/>
        </w:rPr>
        <w:t xml:space="preserve">)). </w:t>
      </w:r>
      <w:r>
        <w:rPr>
          <w:rtl w:val="true"/>
        </w:rPr>
        <w:t>אחת הנפקויות הנובעות מהבחנה זו שהיא החשובה בענייננו</w:t>
      </w:r>
      <w:r>
        <w:rPr>
          <w:rtl w:val="true"/>
        </w:rPr>
        <w:t xml:space="preserve">, </w:t>
      </w:r>
      <w:r>
        <w:rPr>
          <w:rtl w:val="true"/>
        </w:rPr>
        <w:t>נוגעת לנטל הראיה המוטל על נאשם להוכיח את התקיימותן של אחת מנסיבות האחריות המופחתת המתקיימות לטענתו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בפשטות הדברים</w:t>
      </w:r>
      <w:r>
        <w:rPr>
          <w:rtl w:val="true"/>
        </w:rPr>
        <w:t xml:space="preserve">, </w:t>
      </w:r>
      <w:r>
        <w:rPr>
          <w:rtl w:val="true"/>
        </w:rPr>
        <w:t>כבכל עבירה</w:t>
      </w:r>
      <w:r>
        <w:rPr>
          <w:rtl w:val="true"/>
        </w:rPr>
        <w:t xml:space="preserve">, </w:t>
      </w:r>
      <w:r>
        <w:rPr>
          <w:rtl w:val="true"/>
        </w:rPr>
        <w:t xml:space="preserve">כאשר מבקשת התביעה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להרשיע</w:t>
      </w:r>
      <w:r>
        <w:rPr>
          <w:rtl w:val="true"/>
        </w:rPr>
        <w:t xml:space="preserve"> נאשם לפי סעיף זה</w:t>
      </w:r>
      <w:r>
        <w:rPr>
          <w:rtl w:val="true"/>
        </w:rPr>
        <w:t xml:space="preserve">, </w:t>
      </w:r>
      <w:r>
        <w:rPr>
          <w:rtl w:val="true"/>
        </w:rPr>
        <w:t>עליה להוכיח את יסודותיה ברף הוכחה של מעבר לספק סביר</w:t>
      </w:r>
      <w:r>
        <w:rPr>
          <w:rtl w:val="true"/>
        </w:rPr>
        <w:t xml:space="preserve">, </w:t>
      </w:r>
      <w:r>
        <w:rPr>
          <w:rtl w:val="true"/>
        </w:rPr>
        <w:t>כאשר ספק סביר ביחס להתגבשות תנאי הסעיף יפעל לטובת הנאשם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מתעוררת השאלה לגבי רף ההוכחה הנדרש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מנאשם</w:t>
      </w:r>
      <w:r>
        <w:rPr>
          <w:rtl w:val="true"/>
        </w:rPr>
        <w:t xml:space="preserve"> המבקש</w:t>
      </w:r>
      <w:r>
        <w:rPr>
          <w:rtl w:val="true"/>
        </w:rPr>
        <w:t xml:space="preserve">, </w:t>
      </w:r>
      <w:r>
        <w:rPr>
          <w:rtl w:val="true"/>
        </w:rPr>
        <w:t>כמעין טענת הגנה</w:t>
      </w:r>
      <w:r>
        <w:rPr>
          <w:rtl w:val="true"/>
        </w:rPr>
        <w:t xml:space="preserve">, </w:t>
      </w:r>
      <w:r>
        <w:rPr>
          <w:rtl w:val="true"/>
        </w:rPr>
        <w:t xml:space="preserve">להוכיח כי התקיימו בעניינו תנאי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. </w:t>
      </w:r>
      <w:r>
        <w:rPr>
          <w:rtl w:val="true"/>
        </w:rPr>
        <w:t xml:space="preserve">האם במקרה זה עליו לעמוד ברף הוכחה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מאזן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הסתברויות</w:t>
      </w:r>
      <w:r>
        <w:rPr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: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בקשי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דורון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  <w:shd w:fill="FFFFFF" w:val="clear"/>
        </w:rPr>
        <w:t>38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וילנר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לעומת 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קרא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  <w:shd w:fill="FFFFFF" w:val="clear"/>
        </w:rPr>
        <w:t>8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וכן ראו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: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עניין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פלוני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  <w:shd w:fill="FFFFFF" w:val="clear"/>
        </w:rPr>
        <w:t>11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או שמא יש לראות בטענה זו כמעין טענת </w:t>
      </w:r>
      <w:r>
        <w:rPr>
          <w:rtl w:val="true"/>
        </w:rPr>
        <w:t>"</w:t>
      </w:r>
      <w:r>
        <w:rPr>
          <w:rtl w:val="true"/>
        </w:rPr>
        <w:t>סייג</w:t>
      </w:r>
      <w:r>
        <w:rPr>
          <w:rtl w:val="true"/>
        </w:rPr>
        <w:t xml:space="preserve">" </w:t>
      </w:r>
      <w:r>
        <w:rPr>
          <w:rtl w:val="true"/>
        </w:rPr>
        <w:t>לאחריות</w:t>
      </w:r>
      <w:r>
        <w:rPr>
          <w:rtl w:val="true"/>
        </w:rPr>
        <w:t xml:space="preserve">, </w:t>
      </w:r>
      <w:r>
        <w:rPr>
          <w:rtl w:val="true"/>
        </w:rPr>
        <w:t xml:space="preserve">שמשמעותה כי כל שמוטל על הנאשם לעשות הוא לעורר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tl w:val="true"/>
        </w:rPr>
        <w:t xml:space="preserve"> בלבד בדבר התקיימותה </w:t>
      </w:r>
      <w:r>
        <w:rPr>
          <w:rtl w:val="true"/>
        </w:rPr>
        <w:t>(</w:t>
      </w:r>
      <w:hyperlink r:id="rId71">
        <w:r>
          <w:rPr>
            <w:rStyle w:val="Hyperlink"/>
            <w:rFonts w:ascii="FrankRuehl" w:hAnsi="FrankRuehl" w:cs="FrankRuehl"/>
            <w:sz w:val="28"/>
            <w:sz w:val="28"/>
            <w:shd w:fill="FFFFFF" w:val="clear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hd w:fill="FFFFFF" w:val="clear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hd w:fill="FFFFFF" w:val="clear"/>
          </w:rPr>
          <w:t>34</w:t>
        </w:r>
        <w:r>
          <w:rPr>
            <w:rStyle w:val="Hyperlink"/>
            <w:rFonts w:ascii="FrankRuehl" w:hAnsi="FrankRuehl" w:cs="FrankRuehl"/>
            <w:sz w:val="28"/>
            <w:sz w:val="28"/>
            <w:shd w:fill="FFFFFF" w:val="clear"/>
            <w:rtl w:val="true"/>
          </w:rPr>
          <w:t>כב</w:t>
        </w:r>
      </w:hyperlink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והשוו לדיון בקשר לרף ההוכחה הנדרש לצורך הוכחת היעדר כשירות לעמוד לדין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דורון</w:t>
      </w:r>
      <w:r>
        <w:rPr>
          <w:rtl w:val="true"/>
        </w:rPr>
        <w:t xml:space="preserve">). </w:t>
      </w:r>
      <w:r>
        <w:rPr>
          <w:rtl w:val="true"/>
        </w:rPr>
        <w:t>שאלה זו אינה פשוטה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בענייננו הדברים אינם טעונים הכרעה שכן כפי שנראה להלן</w:t>
      </w:r>
      <w:r>
        <w:rPr>
          <w:rtl w:val="true"/>
        </w:rPr>
        <w:t xml:space="preserve">, </w:t>
      </w:r>
      <w:r>
        <w:rPr>
          <w:rtl w:val="true"/>
        </w:rPr>
        <w:t xml:space="preserve">בצדק קבע בית המשפט כי בכל מקרה המערער לא עמד בנטל להוכיח </w:t>
      </w:r>
      <w:r>
        <w:rPr>
          <w:rtl w:val="true"/>
        </w:rPr>
        <w:t>–</w:t>
      </w:r>
      <w:r>
        <w:rPr>
          <w:rtl w:val="true"/>
        </w:rPr>
        <w:t xml:space="preserve"> אף לעמדה המקלה </w:t>
      </w:r>
      <w:r>
        <w:rPr>
          <w:rtl w:val="true"/>
        </w:rPr>
        <w:t>–</w:t>
      </w:r>
      <w:r>
        <w:rPr>
          <w:rtl w:val="true"/>
        </w:rPr>
        <w:t xml:space="preserve"> כי מתעורר ולוּ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tl w:val="true"/>
        </w:rPr>
        <w:t xml:space="preserve"> ביחס להתקיימות התנאים המקלים המנויים בסעיף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hyperlink r:id="rId72">
        <w:r>
          <w:rPr>
            <w:rStyle w:val="Hyperlink"/>
            <w:rtl w:val="true"/>
          </w:rPr>
          <w:t>לסעיפים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3"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hyperlink r:id="rId74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301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ג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)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מופחתת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השכרות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hyperlink r:id="rId7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עניינו בהטלת אחריות מופחתת על מי שגרם למותו של אדם ורואים אותו כמי שעשה את המעשה באדישות</w:t>
      </w:r>
      <w:r>
        <w:rPr>
          <w:rtl w:val="true"/>
        </w:rPr>
        <w:t xml:space="preserve">, </w:t>
      </w:r>
      <w:r>
        <w:rPr>
          <w:rtl w:val="true"/>
        </w:rPr>
        <w:t xml:space="preserve">בין היתר לפי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שעניינו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שכרות</w:t>
      </w:r>
      <w:r>
        <w:rPr>
          <w:rtl w:val="true"/>
        </w:rPr>
        <w:t xml:space="preserve">". </w:t>
      </w:r>
      <w:r>
        <w:rPr>
          <w:rtl w:val="true"/>
        </w:rPr>
        <w:t xml:space="preserve">מצב של שכרות מוגדר בהוראת </w:t>
      </w:r>
      <w:hyperlink r:id="rId7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כמצב שבו 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>מצא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בהשפעת</w:t>
      </w:r>
      <w:r>
        <w:rPr>
          <w:rtl w:val="true"/>
        </w:rPr>
        <w:t xml:space="preserve"> </w:t>
      </w:r>
      <w:r>
        <w:rPr>
          <w:rtl w:val="true"/>
        </w:rPr>
        <w:t>חומר</w:t>
      </w:r>
      <w:r>
        <w:rPr>
          <w:rtl w:val="true"/>
        </w:rPr>
        <w:t xml:space="preserve"> </w:t>
      </w:r>
      <w:r>
        <w:rPr>
          <w:rtl w:val="true"/>
        </w:rPr>
        <w:t>אלכוהולי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גורם</w:t>
      </w:r>
      <w:r>
        <w:rPr>
          <w:rtl w:val="true"/>
        </w:rPr>
        <w:t xml:space="preserve"> </w:t>
      </w:r>
      <w:r>
        <w:rPr>
          <w:rtl w:val="true"/>
        </w:rPr>
        <w:t>מסמם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חסר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יכולת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להבין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הפסול</w:t>
      </w:r>
      <w:r>
        <w:rPr>
          <w:rtl w:val="true"/>
        </w:rPr>
        <w:t xml:space="preserve"> </w:t>
      </w:r>
      <w:r>
        <w:rPr>
          <w:rtl w:val="true"/>
        </w:rPr>
        <w:t>שבמעשהו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tl w:val="true"/>
        </w:rPr>
        <w:t xml:space="preserve"> </w:t>
      </w:r>
      <w:r>
        <w:rPr>
          <w:rtl w:val="true"/>
        </w:rPr>
        <w:t>מעשיית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". 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קובע כי הגנת השכרות רלוונטית לא רק במצב דברים של שכרות </w:t>
      </w:r>
      <w:r>
        <w:rPr>
          <w:rtl w:val="true"/>
        </w:rPr>
        <w:t>"</w:t>
      </w:r>
      <w:r>
        <w:rPr>
          <w:rtl w:val="true"/>
        </w:rPr>
        <w:t>מלאה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היינו כאשר אדם היה </w:t>
      </w:r>
      <w:r>
        <w:rPr>
          <w:rtl w:val="true"/>
        </w:rPr>
        <w:t>"</w:t>
      </w:r>
      <w:r>
        <w:rPr>
          <w:rtl w:val="true"/>
        </w:rPr>
        <w:t>חסר יכולת</w:t>
      </w:r>
      <w:r>
        <w:rPr>
          <w:rtl w:val="true"/>
        </w:rPr>
        <w:t xml:space="preserve">" </w:t>
      </w:r>
      <w:r>
        <w:rPr>
          <w:rtl w:val="true"/>
        </w:rPr>
        <w:t xml:space="preserve">כאמור </w:t>
      </w:r>
      <w:hyperlink r:id="rId7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אלא גם בשכרות </w:t>
      </w:r>
      <w:r>
        <w:rPr>
          <w:rtl w:val="true"/>
        </w:rPr>
        <w:t>"</w:t>
      </w:r>
      <w:r>
        <w:rPr>
          <w:rtl w:val="true"/>
        </w:rPr>
        <w:t>חלקית</w:t>
      </w:r>
      <w:r>
        <w:rPr>
          <w:rtl w:val="true"/>
        </w:rPr>
        <w:t xml:space="preserve">", </w:t>
      </w:r>
      <w:r>
        <w:rPr>
          <w:rtl w:val="true"/>
        </w:rPr>
        <w:t xml:space="preserve">כאשר האדם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לא היה מודע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בשעת מעשה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לפרט מפרטי העבירה</w:t>
      </w:r>
      <w:r>
        <w:rPr>
          <w:rFonts w:cs="FrankRuehl" w:ascii="FrankRuehl" w:hAnsi="FrankRuehl"/>
          <w:color w:val="000000"/>
          <w:sz w:val="28"/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משמעות הדבר</w:t>
      </w:r>
      <w:r>
        <w:rPr>
          <w:rtl w:val="true"/>
        </w:rPr>
        <w:t xml:space="preserve">, </w:t>
      </w:r>
      <w:r>
        <w:rPr>
          <w:rtl w:val="true"/>
        </w:rPr>
        <w:t xml:space="preserve">כי על מנת שניתן יהיה לראות בנאשם כמי שעשה מעשה לפי </w:t>
      </w:r>
      <w:hyperlink r:id="rId8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עליו להוכיח</w:t>
      </w:r>
      <w:r>
        <w:rPr>
          <w:rtl w:val="true"/>
        </w:rPr>
        <w:t>: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כי הוא היה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מצב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כמשמעותו</w:t>
      </w:r>
      <w:r>
        <w:rPr>
          <w:rtl w:val="true"/>
        </w:rPr>
        <w:t xml:space="preserve"> </w:t>
      </w:r>
      <w:hyperlink r:id="rId8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hyperlink r:id="rId82"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 xml:space="preserve">–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השפעת</w:t>
      </w:r>
      <w:r>
        <w:rPr>
          <w:rtl w:val="true"/>
        </w:rPr>
        <w:t xml:space="preserve"> </w:t>
      </w:r>
      <w:r>
        <w:rPr>
          <w:rtl w:val="true"/>
        </w:rPr>
        <w:t>חומר</w:t>
      </w:r>
      <w:r>
        <w:rPr>
          <w:rtl w:val="true"/>
        </w:rPr>
        <w:t xml:space="preserve"> </w:t>
      </w:r>
      <w:r>
        <w:rPr>
          <w:rtl w:val="true"/>
        </w:rPr>
        <w:t>אלכוהולי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גורם</w:t>
      </w:r>
      <w:r>
        <w:rPr>
          <w:rtl w:val="true"/>
        </w:rPr>
        <w:t xml:space="preserve"> </w:t>
      </w:r>
      <w:r>
        <w:rPr>
          <w:rtl w:val="true"/>
        </w:rPr>
        <w:t>מסמם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";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 היה מודע למעשיו ו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חסר</w:t>
      </w:r>
      <w:r>
        <w:rPr>
          <w:rtl w:val="true"/>
        </w:rPr>
        <w:t xml:space="preserve"> </w:t>
      </w:r>
      <w:r>
        <w:rPr>
          <w:rtl w:val="true"/>
        </w:rPr>
        <w:t>יכולת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 </w:t>
      </w:r>
      <w:r>
        <w:rPr>
          <w:rtl w:val="true"/>
        </w:rPr>
        <w:t xml:space="preserve">בשעת המעשה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הפסול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י</w:t>
      </w:r>
      <w:r>
        <w:rPr>
          <w:rtl w:val="true"/>
        </w:rPr>
        <w:t>מנע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שכרות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מלאה</w:t>
      </w:r>
      <w:r>
        <w:rPr>
          <w:rtl w:val="true"/>
        </w:rPr>
        <w:t xml:space="preserve">") </w:t>
      </w:r>
      <w:r>
        <w:rPr>
          <w:rtl w:val="true"/>
        </w:rPr>
        <w:t>ולחלופין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מודע</w:t>
      </w:r>
      <w:r>
        <w:rPr>
          <w:rtl w:val="true"/>
        </w:rPr>
        <w:t xml:space="preserve"> </w:t>
      </w:r>
      <w:r>
        <w:rPr>
          <w:rtl w:val="true"/>
        </w:rPr>
        <w:t>לפרט</w:t>
      </w:r>
      <w:r>
        <w:rPr>
          <w:rtl w:val="true"/>
        </w:rPr>
        <w:t xml:space="preserve"> </w:t>
      </w:r>
      <w:r>
        <w:rPr>
          <w:rtl w:val="true"/>
        </w:rPr>
        <w:t>מפרטי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שכרות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חלקית</w:t>
      </w:r>
      <w:r>
        <w:rPr>
          <w:rtl w:val="true"/>
        </w:rPr>
        <w:t xml:space="preserve">");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 xml:space="preserve">כי קיים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סיבתי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צריכת</w:t>
      </w:r>
      <w:r>
        <w:rPr>
          <w:rtl w:val="true"/>
        </w:rPr>
        <w:t xml:space="preserve"> </w:t>
      </w:r>
      <w:r>
        <w:rPr>
          <w:rtl w:val="true"/>
        </w:rPr>
        <w:t>החומר</w:t>
      </w:r>
      <w:r>
        <w:rPr>
          <w:rtl w:val="true"/>
        </w:rPr>
        <w:t xml:space="preserve"> </w:t>
      </w:r>
      <w:r>
        <w:rPr>
          <w:rtl w:val="true"/>
        </w:rPr>
        <w:t>המשכר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 הסם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 xml:space="preserve">הפגם במודעותו </w:t>
      </w:r>
      <w:r>
        <w:rPr>
          <w:rtl w:val="true"/>
        </w:rPr>
        <w:t>(</w:t>
      </w:r>
      <w:hyperlink r:id="rId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6679/04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סטקלר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52-51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11.5.2006</w:t>
      </w:r>
      <w:r>
        <w:rPr>
          <w:rtl w:val="true"/>
        </w:rPr>
        <w:t xml:space="preserve">); 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10477/09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10.4.2013</w:t>
      </w:r>
      <w:r>
        <w:rPr>
          <w:rtl w:val="true"/>
        </w:rPr>
        <w:t xml:space="preserve">); </w:t>
      </w:r>
      <w:hyperlink r:id="rId85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2589/15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וינוקורסקי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40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29.10.2018</w:t>
      </w:r>
      <w:r>
        <w:rPr>
          <w:rFonts w:cs="FrankRuehl" w:ascii="FrankRuehl" w:hAnsi="FrankRuehl"/>
          <w:color w:val="000000"/>
          <w:sz w:val="28"/>
          <w:rtl w:val="true"/>
        </w:rPr>
        <w:t>) 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וינוקורסקי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86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8965/18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פסקאות </w:t>
      </w:r>
      <w:r>
        <w:rPr>
          <w:rFonts w:cs="FrankRuehl" w:ascii="FrankRuehl" w:hAnsi="FrankRuehl"/>
          <w:color w:val="000000"/>
          <w:sz w:val="28"/>
        </w:rPr>
        <w:t>11-10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3.11.2019</w:t>
      </w:r>
      <w:r>
        <w:rPr>
          <w:rFonts w:cs="FrankRuehl" w:ascii="FrankRuehl" w:hAnsi="FrankRuehl"/>
          <w:color w:val="000000"/>
          <w:sz w:val="28"/>
          <w:rtl w:val="true"/>
        </w:rPr>
        <w:t>) 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)).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ויודגש כי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בדמו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המבצע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 xml:space="preserve">נמצא </w:t>
      </w:r>
      <w:r>
        <w:rPr>
          <w:rtl w:val="true"/>
        </w:rPr>
        <w:t>ריכוז</w:t>
      </w:r>
      <w:r>
        <w:rPr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 או שרידי סם מסוכן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 xml:space="preserve">די בעובדה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להכניסו</w:t>
      </w:r>
      <w:r>
        <w:rPr>
          <w:rtl w:val="true"/>
        </w:rPr>
        <w:t xml:space="preserve"> </w:t>
      </w:r>
      <w:r>
        <w:rPr>
          <w:rtl w:val="true"/>
        </w:rPr>
        <w:t xml:space="preserve">בגדרי הגדרת </w:t>
      </w:r>
      <w:r>
        <w:rPr>
          <w:rtl w:val="true"/>
        </w:rPr>
        <w:t>השכרות</w:t>
      </w:r>
      <w:r>
        <w:rPr>
          <w:rtl w:val="true"/>
        </w:rPr>
        <w:t xml:space="preserve">. </w:t>
      </w:r>
      <w:r>
        <w:rPr>
          <w:rtl w:val="true"/>
        </w:rPr>
        <w:t xml:space="preserve">על הנאשם </w:t>
      </w:r>
      <w:r>
        <w:rPr>
          <w:rtl w:val="true"/>
        </w:rPr>
        <w:t>להוסיף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להוכיח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טיב</w:t>
      </w:r>
      <w:r>
        <w:rPr>
          <w:rtl w:val="true"/>
        </w:rPr>
        <w:t xml:space="preserve"> </w:t>
      </w:r>
      <w:r>
        <w:rPr>
          <w:rtl w:val="true"/>
        </w:rPr>
        <w:t>השפעת</w:t>
      </w:r>
      <w:r>
        <w:rPr>
          <w:rtl w:val="true"/>
        </w:rPr>
        <w:t xml:space="preserve"> </w:t>
      </w:r>
      <w:r>
        <w:rPr>
          <w:rtl w:val="true"/>
        </w:rPr>
        <w:t>האלכוהול</w:t>
      </w:r>
      <w:r>
        <w:rPr>
          <w:rtl w:val="true"/>
        </w:rPr>
        <w:t xml:space="preserve"> </w:t>
      </w:r>
      <w:r>
        <w:rPr>
          <w:rtl w:val="true"/>
        </w:rPr>
        <w:t xml:space="preserve">או הסם המסוכן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 </w:t>
      </w:r>
      <w:r>
        <w:rPr>
          <w:rtl w:val="true"/>
        </w:rPr>
        <w:t>ומודעותו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hyperlink r:id="rId87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hyperlink r:id="rId8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וינוקורסקי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). </w:t>
      </w:r>
      <w:r>
        <w:rPr>
          <w:rtl w:val="true"/>
        </w:rPr>
        <w:t xml:space="preserve">וכך למשל נאמר בעניין 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7164/10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1.12.20211</w:t>
      </w:r>
      <w:r>
        <w:rPr>
          <w:rtl w:val="true"/>
        </w:rPr>
        <w:t>):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>-</w:t>
      </w:r>
      <w:r>
        <w:rPr>
          <w:rtl w:val="true"/>
        </w:rPr>
        <w:t>אין</w:t>
      </w:r>
      <w:r>
        <w:rPr>
          <w:rtl w:val="true"/>
        </w:rPr>
        <w:t>-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ואנו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'</w:t>
      </w:r>
      <w:r>
        <w:rPr>
          <w:rtl w:val="true"/>
        </w:rPr>
        <w:t>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ועמוקה</w:t>
      </w:r>
      <w:r>
        <w:rPr>
          <w:rtl w:val="true"/>
        </w:rPr>
        <w:t xml:space="preserve">' [...]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ומעצוריו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התרופפו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שתוי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סחרחרת</w:t>
      </w:r>
      <w:r>
        <w:rPr>
          <w:rtl w:val="true"/>
        </w:rPr>
        <w:t>'</w:t>
      </w:r>
      <w:r>
        <w:rPr>
          <w:rtl w:val="true"/>
        </w:rPr>
        <w:t xml:space="preserve"> [...]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שיכור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' </w:t>
      </w:r>
      <w:r>
        <w:rPr>
          <w:rtl w:val="true"/>
        </w:rPr>
        <w:t>ותואר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לגמרי</w:t>
      </w:r>
      <w:r>
        <w:rPr>
          <w:rtl w:val="true"/>
        </w:rPr>
        <w:t xml:space="preserve">, </w:t>
      </w:r>
      <w:r>
        <w:rPr>
          <w:rtl w:val="true"/>
        </w:rPr>
        <w:t>שיכור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מסריח</w:t>
      </w:r>
      <w:r>
        <w:rPr>
          <w:rtl w:val="true"/>
        </w:rPr>
        <w:t xml:space="preserve">, </w:t>
      </w:r>
      <w:r>
        <w:rPr>
          <w:rtl w:val="true"/>
        </w:rPr>
        <w:t>מזיע</w:t>
      </w:r>
      <w:r>
        <w:rPr>
          <w:rtl w:val="true"/>
        </w:rPr>
        <w:t xml:space="preserve">, </w:t>
      </w:r>
      <w:r>
        <w:rPr>
          <w:rtl w:val="true"/>
        </w:rPr>
        <w:t>רואים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בסרטים</w:t>
      </w:r>
      <w:r>
        <w:rPr>
          <w:rtl w:val="true"/>
        </w:rPr>
        <w:t>' [...]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בהכרעת דינו המנומקת קבע בית המשפט קביעה המעוגנת היטב בחומר הראיות והמבוססת על ממצאי מהימנות</w:t>
      </w:r>
      <w:r>
        <w:rPr>
          <w:rtl w:val="true"/>
        </w:rPr>
        <w:t xml:space="preserve">, </w:t>
      </w:r>
      <w:r>
        <w:rPr>
          <w:rtl w:val="true"/>
        </w:rPr>
        <w:t>כי המערער לא הוכיח כלל</w:t>
      </w:r>
      <w:r>
        <w:rPr>
          <w:rtl w:val="true"/>
        </w:rPr>
        <w:t xml:space="preserve">, </w:t>
      </w:r>
      <w:r>
        <w:rPr>
          <w:rtl w:val="true"/>
        </w:rPr>
        <w:t>אף לא ברמה מינימלית</w:t>
      </w:r>
      <w:r>
        <w:rPr>
          <w:rtl w:val="true"/>
        </w:rPr>
        <w:t xml:space="preserve">, </w:t>
      </w:r>
      <w:r>
        <w:rPr>
          <w:rtl w:val="true"/>
        </w:rPr>
        <w:t>כי היה בעת ביצוע הרצח תחת השפעת סמים</w:t>
      </w:r>
      <w:r>
        <w:rPr>
          <w:rtl w:val="true"/>
        </w:rPr>
        <w:t xml:space="preserve">. </w:t>
      </w:r>
      <w:r>
        <w:rPr>
          <w:rtl w:val="true"/>
        </w:rPr>
        <w:t>זאת בין היתר תוך התייחסות לגרסאותיו הסותרות והמשתנות ביחס לשאלה האם הוא השתמש בסמים ביום האירוע</w:t>
      </w:r>
      <w:r>
        <w:rPr>
          <w:rtl w:val="true"/>
        </w:rPr>
        <w:t xml:space="preserve">, </w:t>
      </w:r>
      <w:r>
        <w:rPr>
          <w:rtl w:val="true"/>
        </w:rPr>
        <w:t xml:space="preserve">ותוך שנקבע כי לגרסתו </w:t>
      </w:r>
      <w:r>
        <w:rPr>
          <w:rtl w:val="true"/>
        </w:rPr>
        <w:t>(</w:t>
      </w:r>
      <w:r>
        <w:rPr>
          <w:rtl w:val="true"/>
        </w:rPr>
        <w:t>המתפתחת והמאוחרת</w:t>
      </w:r>
      <w:r>
        <w:rPr>
          <w:rtl w:val="true"/>
        </w:rPr>
        <w:t xml:space="preserve">) </w:t>
      </w:r>
      <w:r>
        <w:rPr>
          <w:rtl w:val="true"/>
        </w:rPr>
        <w:t>שעלתה במהלך עדותו בבית המשפט לפיה עישן סמים במהלך אותו היום</w:t>
      </w:r>
      <w:r>
        <w:rPr>
          <w:rtl w:val="true"/>
        </w:rPr>
        <w:t xml:space="preserve">, </w:t>
      </w:r>
      <w:r>
        <w:rPr>
          <w:rtl w:val="true"/>
        </w:rPr>
        <w:t>יש ליתן משקל אפסי</w:t>
      </w:r>
      <w:r>
        <w:rPr>
          <w:rtl w:val="true"/>
        </w:rPr>
        <w:t xml:space="preserve">. </w:t>
      </w:r>
      <w:r>
        <w:rPr>
          <w:rtl w:val="true"/>
        </w:rPr>
        <w:t>הלכה למעשה המערער אינו כופר בכך בערעורו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גם אם הוכרע כי הוא לא השתמש בסמים בסמוך לאירוע </w:t>
      </w:r>
      <w:r>
        <w:rPr>
          <w:rtl w:val="true"/>
        </w:rPr>
        <w:t>–</w:t>
      </w:r>
      <w:r>
        <w:rPr>
          <w:rtl w:val="true"/>
        </w:rPr>
        <w:t xml:space="preserve"> הרי ש</w:t>
      </w:r>
      <w:r>
        <w:rPr>
          <w:rtl w:val="true"/>
        </w:rPr>
        <w:t>"</w:t>
      </w:r>
      <w:r>
        <w:rPr>
          <w:rtl w:val="true"/>
        </w:rPr>
        <w:t>לא ניתן להתעלם מעברו בתחום הסמים המלמד באופן ברור כי המדובר באדם שמכור לסמים</w:t>
      </w:r>
      <w:r>
        <w:rPr>
          <w:rtl w:val="true"/>
        </w:rPr>
        <w:t xml:space="preserve">". </w:t>
      </w:r>
      <w:r>
        <w:rPr>
          <w:rtl w:val="true"/>
        </w:rPr>
        <w:t>אלא שטענה זו לא ניתן לקבל</w:t>
      </w:r>
      <w:r>
        <w:rPr>
          <w:rtl w:val="true"/>
        </w:rPr>
        <w:t xml:space="preserve">. </w:t>
      </w:r>
      <w:r>
        <w:rPr>
          <w:rtl w:val="true"/>
        </w:rPr>
        <w:t>עצם עובדת התמכרותו של המערער לסמים</w:t>
      </w:r>
      <w:r>
        <w:rPr>
          <w:rtl w:val="true"/>
        </w:rPr>
        <w:t xml:space="preserve">, </w:t>
      </w:r>
      <w:r>
        <w:rPr>
          <w:rtl w:val="true"/>
        </w:rPr>
        <w:t>והעובדה שצרך סמים בעבר</w:t>
      </w:r>
      <w:r>
        <w:rPr>
          <w:rtl w:val="true"/>
        </w:rPr>
        <w:t xml:space="preserve">, </w:t>
      </w:r>
      <w:r>
        <w:rPr>
          <w:rtl w:val="true"/>
        </w:rPr>
        <w:t>אין בהם די לצורך הוכחת היותו נתון תחת השפעת סמים בזמן האירוע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מעבר לאמור</w:t>
      </w:r>
      <w:r>
        <w:rPr>
          <w:rtl w:val="true"/>
        </w:rPr>
        <w:t xml:space="preserve">, </w:t>
      </w:r>
      <w:r>
        <w:rPr>
          <w:rtl w:val="true"/>
        </w:rPr>
        <w:t>לא רק שכלל לא הוכחה טענת השימוש בסמים ביום האירוע</w:t>
      </w:r>
      <w:r>
        <w:rPr>
          <w:rtl w:val="true"/>
        </w:rPr>
        <w:t xml:space="preserve">, </w:t>
      </w:r>
      <w:r>
        <w:rPr>
          <w:rtl w:val="true"/>
        </w:rPr>
        <w:t xml:space="preserve">אלא שהמערער לא הוכיח ולוּ במעט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ההשפעה</w:t>
      </w:r>
      <w:r>
        <w:rPr>
          <w:rtl w:val="true"/>
        </w:rPr>
        <w:t xml:space="preserve"> שהייתה לצריכת הסם הנטענת עליו</w:t>
      </w:r>
      <w:r>
        <w:rPr>
          <w:rtl w:val="true"/>
        </w:rPr>
        <w:t xml:space="preserve">, </w:t>
      </w:r>
      <w:r>
        <w:rPr>
          <w:rtl w:val="true"/>
        </w:rPr>
        <w:t>הנדרשת כאמור להוכחת הטענה של שכרות מלאה או חלקית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שלל חוות הדעת שניתנו בעניינו של המערער מצאו כי המערער היה אחראי למעשיו ולא היה מצוי במצב פסיכוטי עקב שימוש בסמים או מסיבה אחרת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בהערכה שביצעה ד</w:t>
      </w:r>
      <w:r>
        <w:rPr>
          <w:rtl w:val="true"/>
        </w:rPr>
        <w:t>"</w:t>
      </w:r>
      <w:r>
        <w:rPr>
          <w:rtl w:val="true"/>
        </w:rPr>
        <w:t>ר טל למערער בבית החולים רמב</w:t>
      </w:r>
      <w:r>
        <w:rPr>
          <w:rtl w:val="true"/>
        </w:rPr>
        <w:t>"</w:t>
      </w:r>
      <w:r>
        <w:rPr>
          <w:rtl w:val="true"/>
        </w:rPr>
        <w:t xml:space="preserve">ם </w:t>
      </w:r>
      <w:r>
        <w:rPr>
          <w:rtl w:val="true"/>
        </w:rPr>
        <w:t>(</w:t>
      </w:r>
      <w:r>
        <w:rPr>
          <w:rtl w:val="true"/>
        </w:rPr>
        <w:t>מוצג ת</w:t>
      </w:r>
      <w:r>
        <w:rPr>
          <w:rtl w:val="true"/>
        </w:rPr>
        <w:t>/</w:t>
      </w:r>
      <w:r>
        <w:rPr/>
        <w:t>76</w:t>
      </w:r>
      <w:r>
        <w:rPr>
          <w:rtl w:val="true"/>
        </w:rPr>
        <w:t xml:space="preserve">) </w:t>
      </w:r>
      <w:r>
        <w:rPr>
          <w:rtl w:val="true"/>
        </w:rPr>
        <w:t xml:space="preserve">ביום </w:t>
      </w:r>
      <w:r>
        <w:rPr/>
        <w:t>29.7.2019</w:t>
      </w:r>
      <w:r>
        <w:rPr>
          <w:rtl w:val="true"/>
        </w:rPr>
        <w:t xml:space="preserve">, </w:t>
      </w:r>
      <w:r>
        <w:rPr>
          <w:rtl w:val="true"/>
        </w:rPr>
        <w:t>יומיים לאחר האירוע</w:t>
      </w:r>
      <w:r>
        <w:rPr>
          <w:rtl w:val="true"/>
        </w:rPr>
        <w:t xml:space="preserve">, </w:t>
      </w:r>
      <w:r>
        <w:rPr>
          <w:rtl w:val="true"/>
        </w:rPr>
        <w:t xml:space="preserve">נקבע כי אין עדות לפסיכוזה פעילה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להערכה</w:t>
      </w:r>
      <w:r>
        <w:rPr>
          <w:rtl w:val="true"/>
        </w:rPr>
        <w:t xml:space="preserve">). </w:t>
      </w:r>
      <w:r>
        <w:rPr>
          <w:rtl w:val="true"/>
        </w:rPr>
        <w:t>בחוות דעתו של ד</w:t>
      </w:r>
      <w:r>
        <w:rPr>
          <w:rtl w:val="true"/>
        </w:rPr>
        <w:t>"</w:t>
      </w:r>
      <w:r>
        <w:rPr>
          <w:rtl w:val="true"/>
        </w:rPr>
        <w:t>ר שינקרנקו נאמר כי על סמך מידע שהתקבל הן מבדיקתו על ידי ד</w:t>
      </w:r>
      <w:r>
        <w:rPr>
          <w:rtl w:val="true"/>
        </w:rPr>
        <w:t>"</w:t>
      </w:r>
      <w:r>
        <w:rPr>
          <w:rtl w:val="true"/>
        </w:rPr>
        <w:t xml:space="preserve">ר טל והן ממהלך אשפוזו במועד הבדיקה </w:t>
      </w:r>
      <w:r>
        <w:rPr>
          <w:rtl w:val="true"/>
        </w:rPr>
        <w:t>(</w:t>
      </w:r>
      <w:r>
        <w:rPr>
          <w:rtl w:val="true"/>
        </w:rPr>
        <w:t>כחודשיים לאחר מכן</w:t>
      </w:r>
      <w:r>
        <w:rPr>
          <w:rtl w:val="true"/>
        </w:rPr>
        <w:t xml:space="preserve">), </w:t>
      </w:r>
      <w:r>
        <w:rPr>
          <w:rtl w:val="true"/>
        </w:rPr>
        <w:t xml:space="preserve">המערער </w:t>
      </w:r>
      <w:r>
        <w:rPr>
          <w:rtl w:val="true"/>
        </w:rPr>
        <w:t>"</w:t>
      </w:r>
      <w:r>
        <w:rPr>
          <w:rtl w:val="true"/>
        </w:rPr>
        <w:t>לא היה שרוי במצב פסיכוטי</w:t>
      </w:r>
      <w:r>
        <w:rPr>
          <w:rtl w:val="true"/>
        </w:rPr>
        <w:t xml:space="preserve">" </w:t>
      </w:r>
      <w:r>
        <w:rPr>
          <w:rtl w:val="true"/>
        </w:rPr>
        <w:t xml:space="preserve">בזמן ביצוע המעשים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לסיכום חוות הדעת מיום </w:t>
      </w:r>
      <w:r>
        <w:rPr/>
        <w:t>23.9.2019</w:t>
      </w:r>
      <w:r>
        <w:rPr>
          <w:rtl w:val="true"/>
        </w:rPr>
        <w:t xml:space="preserve">). </w:t>
      </w:r>
      <w:r>
        <w:rPr>
          <w:rtl w:val="true"/>
        </w:rPr>
        <w:t>זאת כאשר הובהר כי המערער חולה במחלת סכיזופרניה</w:t>
      </w:r>
      <w:r>
        <w:rPr>
          <w:rtl w:val="true"/>
        </w:rPr>
        <w:t xml:space="preserve">, </w:t>
      </w:r>
      <w:r>
        <w:rPr>
          <w:rtl w:val="true"/>
        </w:rPr>
        <w:t>אך מחלתו כעת נמצאת ב</w:t>
      </w:r>
      <w:r>
        <w:rPr>
          <w:rtl w:val="true"/>
        </w:rPr>
        <w:t>"</w:t>
      </w:r>
      <w:r>
        <w:rPr>
          <w:rtl w:val="true"/>
        </w:rPr>
        <w:t>הפוגה</w:t>
      </w:r>
      <w:r>
        <w:rPr>
          <w:rtl w:val="true"/>
        </w:rPr>
        <w:t>" (</w:t>
      </w:r>
      <w:r>
        <w:rPr>
          <w:rtl w:val="true"/>
        </w:rPr>
        <w:t xml:space="preserve">סעיף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לסיכום</w:t>
      </w:r>
      <w:r>
        <w:rPr>
          <w:rtl w:val="true"/>
        </w:rPr>
        <w:t xml:space="preserve">). </w:t>
      </w:r>
      <w:r>
        <w:rPr>
          <w:rtl w:val="true"/>
        </w:rPr>
        <w:t>בחוות דעת פסיכיאטרית שניתנה על ידי פאנל מומחים שמוּנה בהתאם להחלטת בית המשפט ובהסכמת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אף נקבע כי </w:t>
      </w:r>
      <w:r>
        <w:rPr>
          <w:rtl w:val="true"/>
        </w:rPr>
        <w:t>"</w:t>
      </w:r>
      <w:r>
        <w:rPr>
          <w:rtl w:val="true"/>
        </w:rPr>
        <w:t>בעת ביצוע העבירות המיוחסות לו</w:t>
      </w:r>
      <w:r>
        <w:rPr>
          <w:rtl w:val="true"/>
        </w:rPr>
        <w:t xml:space="preserve">, </w:t>
      </w:r>
      <w:r>
        <w:rPr>
          <w:rtl w:val="true"/>
        </w:rPr>
        <w:t>לא סבל הנבדק מתסמינים פעילים של מחלת נפש</w:t>
      </w:r>
      <w:r>
        <w:rPr>
          <w:rtl w:val="true"/>
        </w:rPr>
        <w:t xml:space="preserve">, </w:t>
      </w:r>
      <w:r>
        <w:rPr>
          <w:rtl w:val="true"/>
        </w:rPr>
        <w:t>פסיכוטית או אפקטיבית</w:t>
      </w:r>
      <w:r>
        <w:rPr>
          <w:rtl w:val="true"/>
        </w:rPr>
        <w:t xml:space="preserve">" </w:t>
      </w:r>
      <w:r>
        <w:rPr>
          <w:rtl w:val="true"/>
        </w:rPr>
        <w:t xml:space="preserve">והוא נמצא </w:t>
      </w:r>
      <w:r>
        <w:rPr>
          <w:rtl w:val="true"/>
        </w:rPr>
        <w:t>"</w:t>
      </w:r>
      <w:r>
        <w:rPr>
          <w:rtl w:val="true"/>
        </w:rPr>
        <w:t>אחראי למעשיו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לחוות הדעת</w:t>
      </w:r>
      <w:r>
        <w:rPr>
          <w:rtl w:val="true"/>
        </w:rPr>
        <w:t xml:space="preserve">).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לא די באמור</w:t>
      </w:r>
      <w:r>
        <w:rPr>
          <w:rtl w:val="true"/>
        </w:rPr>
        <w:t xml:space="preserve">, </w:t>
      </w:r>
      <w:r>
        <w:rPr>
          <w:rtl w:val="true"/>
        </w:rPr>
        <w:t>ביסוס נוסף לכך שהמערער לא היה נתון במצב פסיכוטי בעת האירוע נמצא גם בעדויות בני המשפחה לפיהן לא נמצא דבר חריג או מוזר בהתנהלותו בסמוך לאירוע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הן אף הצביעו על התנהלות מושכלת וקרת רוח של המערער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בית המשפט נתן משקל בעיקר למפגש שבין המערער לבין אחיינו</w:t>
      </w:r>
      <w:r>
        <w:rPr>
          <w:rtl w:val="true"/>
        </w:rPr>
        <w:t xml:space="preserve">, </w:t>
      </w:r>
      <w:r>
        <w:rPr>
          <w:rtl w:val="true"/>
        </w:rPr>
        <w:t>מוהנד</w:t>
      </w:r>
      <w:r>
        <w:rPr>
          <w:rtl w:val="true"/>
        </w:rPr>
        <w:t xml:space="preserve">, </w:t>
      </w:r>
      <w:r>
        <w:rPr>
          <w:rtl w:val="true"/>
        </w:rPr>
        <w:t>אשר מתגורר בדירה הממוקמת מעל דירת המנוחה ופגש במערער בסמוך לאחר הרצח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בעדותו סיפר מוהנד כיצד ירד לדירה על רקע הרעשים ששמע</w:t>
      </w:r>
      <w:r>
        <w:rPr>
          <w:rtl w:val="true"/>
        </w:rPr>
        <w:t xml:space="preserve">, </w:t>
      </w:r>
      <w:r>
        <w:rPr>
          <w:rtl w:val="true"/>
        </w:rPr>
        <w:t>דפק על דלת דירת המנוחה</w:t>
      </w:r>
      <w:r>
        <w:rPr>
          <w:rtl w:val="true"/>
        </w:rPr>
        <w:t xml:space="preserve">, </w:t>
      </w:r>
      <w:r>
        <w:rPr>
          <w:rtl w:val="true"/>
        </w:rPr>
        <w:t>בעוד המערער ביקש ממנו מעבר לדלת הנעולה להמתין על מנת שיוכל להתלבש</w:t>
      </w:r>
      <w:r>
        <w:rPr>
          <w:rtl w:val="true"/>
        </w:rPr>
        <w:t xml:space="preserve">. </w:t>
      </w:r>
      <w:r>
        <w:rPr>
          <w:rtl w:val="true"/>
        </w:rPr>
        <w:t>מוהנד המתין במשך 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דקות מעבר לדלת עד שנפתחה הדלת על ידי המערער</w:t>
      </w:r>
      <w:r>
        <w:rPr>
          <w:rtl w:val="true"/>
        </w:rPr>
        <w:t xml:space="preserve">, </w:t>
      </w:r>
      <w:r>
        <w:rPr>
          <w:rtl w:val="true"/>
        </w:rPr>
        <w:t>אז הבחין בכתמי דם על החולצה שלבש</w:t>
      </w:r>
      <w:r>
        <w:rPr>
          <w:rtl w:val="true"/>
        </w:rPr>
        <w:t xml:space="preserve">. </w:t>
      </w:r>
      <w:r>
        <w:rPr>
          <w:rtl w:val="true"/>
        </w:rPr>
        <w:t>כשנשאל המערער מדוע חולצתו מוכתמת בדם</w:t>
      </w:r>
      <w:r>
        <w:rPr>
          <w:rtl w:val="true"/>
        </w:rPr>
        <w:t xml:space="preserve">, </w:t>
      </w:r>
      <w:r>
        <w:rPr>
          <w:rtl w:val="true"/>
        </w:rPr>
        <w:t>טען כי נשרט מהתריס בדירה</w:t>
      </w:r>
      <w:r>
        <w:rPr>
          <w:rtl w:val="true"/>
        </w:rPr>
        <w:t xml:space="preserve">. </w:t>
      </w:r>
      <w:r>
        <w:rPr>
          <w:rtl w:val="true"/>
        </w:rPr>
        <w:t>מוהנד תיאר כי נכנס לדירת המנוחה</w:t>
      </w:r>
      <w:r>
        <w:rPr>
          <w:rtl w:val="true"/>
        </w:rPr>
        <w:t xml:space="preserve">, </w:t>
      </w:r>
      <w:r>
        <w:rPr>
          <w:rtl w:val="true"/>
        </w:rPr>
        <w:t>ניגש למקרר והוציא ממנו שוקולד</w:t>
      </w:r>
      <w:r>
        <w:rPr>
          <w:rtl w:val="true"/>
        </w:rPr>
        <w:t xml:space="preserve">, </w:t>
      </w:r>
      <w:r>
        <w:rPr>
          <w:rtl w:val="true"/>
        </w:rPr>
        <w:t xml:space="preserve">ולאחר מכן עזב את הדירה ועלה לדירתו שלו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5.11.2020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100-99</w:t>
      </w:r>
      <w:r>
        <w:rPr>
          <w:rtl w:val="true"/>
        </w:rPr>
        <w:t xml:space="preserve">). </w:t>
      </w:r>
      <w:r>
        <w:rPr>
          <w:rtl w:val="true"/>
        </w:rPr>
        <w:t>בית המשפט קבע כי עדות זו הייתה עקבית</w:t>
      </w:r>
      <w:r>
        <w:rPr>
          <w:rtl w:val="true"/>
        </w:rPr>
        <w:t xml:space="preserve">, </w:t>
      </w:r>
      <w:r>
        <w:rPr>
          <w:rtl w:val="true"/>
        </w:rPr>
        <w:t>קוהרנטית וסדורה</w:t>
      </w:r>
      <w:r>
        <w:rPr>
          <w:rtl w:val="true"/>
        </w:rPr>
        <w:t xml:space="preserve">, </w:t>
      </w:r>
      <w:r>
        <w:rPr>
          <w:rtl w:val="true"/>
        </w:rPr>
        <w:t>והיא נמצאה כמשקפת את האירועים המתוארים בה כהווייתם</w:t>
      </w:r>
      <w:r>
        <w:rPr>
          <w:rtl w:val="true"/>
        </w:rPr>
        <w:t xml:space="preserve">. </w:t>
      </w:r>
      <w:r>
        <w:rPr>
          <w:rtl w:val="true"/>
        </w:rPr>
        <w:t>זאת לעומת גרסת המערער בהקשר זה</w:t>
      </w:r>
      <w:r>
        <w:rPr>
          <w:rtl w:val="true"/>
        </w:rPr>
        <w:t xml:space="preserve">, </w:t>
      </w:r>
      <w:r>
        <w:rPr>
          <w:rtl w:val="true"/>
        </w:rPr>
        <w:t>אשר הייתה רצופה הכחשות וסתירות</w:t>
      </w:r>
      <w:r>
        <w:rPr>
          <w:rtl w:val="true"/>
        </w:rPr>
        <w:t xml:space="preserve">, </w:t>
      </w:r>
      <w:r>
        <w:rPr>
          <w:rtl w:val="true"/>
        </w:rPr>
        <w:t xml:space="preserve">ולבסוף איששה את גרעין סיפור הדברים שתיאר מוהנד </w:t>
      </w:r>
      <w:r>
        <w:rPr>
          <w:rtl w:val="true"/>
        </w:rPr>
        <w:t>(</w:t>
      </w:r>
      <w:r>
        <w:rPr>
          <w:rtl w:val="true"/>
        </w:rPr>
        <w:t>גם אם מיקם את המפגש עם מוהנד מספר שעות מוקדם יותר באותו יום</w:t>
      </w:r>
      <w:r>
        <w:rPr>
          <w:rtl w:val="true"/>
        </w:rPr>
        <w:t xml:space="preserve">), </w:t>
      </w:r>
      <w:r>
        <w:rPr>
          <w:rtl w:val="true"/>
        </w:rPr>
        <w:t xml:space="preserve">לרבות העובדה שהוא נשאל על ידי מוהנד לגבי מקור הדם על חולצתו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r>
        <w:rPr>
          <w:rtl w:val="true"/>
        </w:rPr>
        <w:t xml:space="preserve">פרוטוקול הדיון מיום </w:t>
      </w:r>
      <w:r>
        <w:rPr/>
        <w:t>7.1.2021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287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327-326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התמונה המצטיירת היא אפוא של התנהלות בלתי נתפסת בקור רוח</w:t>
      </w:r>
      <w:r>
        <w:rPr>
          <w:rtl w:val="true"/>
        </w:rPr>
        <w:t xml:space="preserve">. </w:t>
      </w:r>
      <w:r>
        <w:rPr>
          <w:rtl w:val="true"/>
        </w:rPr>
        <w:t>ממש בסמוך לאחר הרצח</w:t>
      </w:r>
      <w:r>
        <w:rPr>
          <w:rtl w:val="true"/>
        </w:rPr>
        <w:t xml:space="preserve">, </w:t>
      </w:r>
      <w:r>
        <w:rPr>
          <w:rtl w:val="true"/>
        </w:rPr>
        <w:t>מבקש המערער ממוהנד הדופק בדלת להמתין בזמן שהוא מתארגן ומחביא את החפץ החד שבו השתמש לתקיפת המנוחה</w:t>
      </w:r>
      <w:r>
        <w:rPr>
          <w:rtl w:val="true"/>
        </w:rPr>
        <w:t xml:space="preserve">, </w:t>
      </w:r>
      <w:r>
        <w:rPr>
          <w:rtl w:val="true"/>
        </w:rPr>
        <w:t>פותח את דלת הבית אל מול פניו של מוהנד</w:t>
      </w:r>
      <w:r>
        <w:rPr>
          <w:rtl w:val="true"/>
        </w:rPr>
        <w:t xml:space="preserve">, </w:t>
      </w:r>
      <w:r>
        <w:rPr>
          <w:rtl w:val="true"/>
        </w:rPr>
        <w:t>מספק תירוץ רציונלי והגיוני בשיקול דעת ובקור רוח למראה הדם שעל בגדיו</w:t>
      </w:r>
      <w:r>
        <w:rPr>
          <w:rtl w:val="true"/>
        </w:rPr>
        <w:t xml:space="preserve">, </w:t>
      </w:r>
      <w:r>
        <w:rPr>
          <w:rtl w:val="true"/>
        </w:rPr>
        <w:t>והכל בה בשעה שגופת המנוחה מוטלת במרפסת השירות</w:t>
      </w:r>
      <w:r>
        <w:rPr>
          <w:rtl w:val="true"/>
        </w:rPr>
        <w:t xml:space="preserve">. </w:t>
      </w:r>
      <w:r>
        <w:rPr>
          <w:rtl w:val="true"/>
        </w:rPr>
        <w:t>גם לאחר מכן</w:t>
      </w:r>
      <w:r>
        <w:rPr>
          <w:rtl w:val="true"/>
        </w:rPr>
        <w:t xml:space="preserve">, </w:t>
      </w:r>
      <w:r>
        <w:rPr>
          <w:rtl w:val="true"/>
        </w:rPr>
        <w:t>כפי שקבע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המערער המשיך בהתנהלות שקולה ורגועה</w:t>
      </w:r>
      <w:r>
        <w:rPr>
          <w:rtl w:val="true"/>
        </w:rPr>
        <w:t xml:space="preserve">. </w:t>
      </w:r>
      <w:r>
        <w:rPr>
          <w:rtl w:val="true"/>
        </w:rPr>
        <w:t>במהלך אותו הלילה הוא הלך לבקר את אחיינו אנס מחאמיד אשר העיד כי המערער הגיע אליו וביקש ממנו סיגריה</w:t>
      </w:r>
      <w:r>
        <w:rPr>
          <w:rtl w:val="true"/>
        </w:rPr>
        <w:t xml:space="preserve">. </w:t>
      </w:r>
      <w:r>
        <w:rPr>
          <w:rtl w:val="true"/>
        </w:rPr>
        <w:t>גרסה זו נמצאה אמינה</w:t>
      </w:r>
      <w:r>
        <w:rPr>
          <w:rtl w:val="true"/>
        </w:rPr>
        <w:t xml:space="preserve">, </w:t>
      </w:r>
      <w:r>
        <w:rPr>
          <w:rtl w:val="true"/>
        </w:rPr>
        <w:t>ונתמכה גם בתצלומי מצלמת האבטחה וסרטוני אבטחה מהמקום</w:t>
      </w:r>
      <w:r>
        <w:rPr>
          <w:rtl w:val="true"/>
        </w:rPr>
        <w:t xml:space="preserve">. </w:t>
      </w:r>
      <w:r>
        <w:rPr>
          <w:rtl w:val="true"/>
        </w:rPr>
        <w:t xml:space="preserve">לאחר מכן הוא פגש באחיינו סוהיל מחאמיד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סוהיל</w:t>
      </w:r>
      <w:r>
        <w:rPr>
          <w:rtl w:val="true"/>
        </w:rPr>
        <w:t xml:space="preserve">) </w:t>
      </w:r>
      <w:r>
        <w:rPr>
          <w:rtl w:val="true"/>
        </w:rPr>
        <w:t>ליד ביתה של אחותו אינשיראח</w:t>
      </w:r>
      <w:r>
        <w:rPr>
          <w:rtl w:val="true"/>
        </w:rPr>
        <w:t xml:space="preserve">, </w:t>
      </w:r>
      <w:r>
        <w:rPr>
          <w:rtl w:val="true"/>
        </w:rPr>
        <w:t>וביקש ממנו פרטי לבוש ושמיכה</w:t>
      </w:r>
      <w:r>
        <w:rPr>
          <w:rtl w:val="true"/>
        </w:rPr>
        <w:t xml:space="preserve">, </w:t>
      </w:r>
      <w:r>
        <w:rPr>
          <w:rtl w:val="true"/>
        </w:rPr>
        <w:t>וכן שלא יספר שהוא נמצא שם</w:t>
      </w:r>
      <w:r>
        <w:rPr>
          <w:rtl w:val="true"/>
        </w:rPr>
        <w:t xml:space="preserve">. </w:t>
      </w:r>
      <w:r>
        <w:rPr>
          <w:rtl w:val="true"/>
        </w:rPr>
        <w:t>לאחר שסוהיל התמהמה בהבאת החפצים</w:t>
      </w:r>
      <w:r>
        <w:rPr>
          <w:rtl w:val="true"/>
        </w:rPr>
        <w:t xml:space="preserve">, </w:t>
      </w:r>
      <w:r>
        <w:rPr>
          <w:rtl w:val="true"/>
        </w:rPr>
        <w:t>המערער נכנס לבית אחותו</w:t>
      </w:r>
      <w:r>
        <w:rPr>
          <w:rtl w:val="true"/>
        </w:rPr>
        <w:t xml:space="preserve">. </w:t>
      </w:r>
      <w:r>
        <w:rPr>
          <w:rtl w:val="true"/>
        </w:rPr>
        <w:t>גם עדות זו נתמכה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בתצלומי סרטוני אבטחה</w:t>
      </w:r>
      <w:r>
        <w:rPr>
          <w:rtl w:val="true"/>
        </w:rPr>
        <w:t xml:space="preserve">. </w:t>
      </w:r>
      <w:r>
        <w:rPr>
          <w:rtl w:val="true"/>
        </w:rPr>
        <w:t>המערער אף נצפה בשלב מאוחר יותר חוזר לדירת המנוחה</w:t>
      </w:r>
      <w:r>
        <w:rPr>
          <w:rtl w:val="true"/>
        </w:rPr>
        <w:t xml:space="preserve">, </w:t>
      </w:r>
      <w:r>
        <w:rPr>
          <w:rtl w:val="true"/>
        </w:rPr>
        <w:t>ויוצא ממנה לאחר שנטל משם נעלי ספורט ונעל אותן על רגליו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תמונת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בגדיו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להחליף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9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9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בהקשר זה גם לא </w:t>
      </w:r>
      <w:r>
        <w:rPr>
          <w:rtl w:val="true"/>
        </w:rPr>
        <w:t>ניתן לקבל</w:t>
      </w:r>
      <w:r>
        <w:rPr>
          <w:rtl w:val="true"/>
        </w:rPr>
        <w:t xml:space="preserve"> את ניסיונו של המערער להיבנות מעדותו של ד</w:t>
      </w:r>
      <w:r>
        <w:rPr>
          <w:rtl w:val="true"/>
        </w:rPr>
        <w:t>"</w:t>
      </w:r>
      <w:r>
        <w:rPr>
          <w:rtl w:val="true"/>
        </w:rPr>
        <w:t>ר שינקרנקו בבית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בטענה כי בעדות זו לא נשללה אפשרות קיומה של </w:t>
      </w:r>
      <w:r>
        <w:rPr>
          <w:rtl w:val="true"/>
        </w:rPr>
        <w:t>"</w:t>
      </w:r>
      <w:r>
        <w:rPr>
          <w:rtl w:val="true"/>
        </w:rPr>
        <w:t>גלישה פסיכוטית</w:t>
      </w:r>
      <w:r>
        <w:rPr>
          <w:rtl w:val="true"/>
        </w:rPr>
        <w:t xml:space="preserve">" </w:t>
      </w:r>
      <w:r>
        <w:rPr>
          <w:rtl w:val="true"/>
        </w:rPr>
        <w:t>אצלו עקב שימוש בסמים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עיון בפרוטוקול הדיון בבית המשפט מגלה כי ד</w:t>
      </w:r>
      <w:r>
        <w:rPr>
          <w:rtl w:val="true"/>
        </w:rPr>
        <w:t>"</w:t>
      </w:r>
      <w:r>
        <w:rPr>
          <w:rtl w:val="true"/>
        </w:rPr>
        <w:t xml:space="preserve">ר שינקרנקו לא שלל את האפשרות התאורטית כי שימוש בסמים היה יכול להביא את המערער להתנהגות פסיכוטית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22.11.2020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243-242</w:t>
      </w:r>
      <w:r>
        <w:rPr>
          <w:rtl w:val="true"/>
        </w:rPr>
        <w:t xml:space="preserve">). </w:t>
      </w:r>
      <w:r>
        <w:rPr>
          <w:rtl w:val="true"/>
        </w:rPr>
        <w:t>אולם בד בבד ד</w:t>
      </w:r>
      <w:r>
        <w:rPr>
          <w:rtl w:val="true"/>
        </w:rPr>
        <w:t>"</w:t>
      </w:r>
      <w:r>
        <w:rPr>
          <w:rtl w:val="true"/>
        </w:rPr>
        <w:t xml:space="preserve">ר שינקרנקו הבהיר כי אין ברקע העובדתי הנקודתי בעניינו של המערער אינדיקציות שיכולות להצביע על כך שהוא אכן היה מצוי במצב פסיכוטי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243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25-20</w:t>
      </w:r>
      <w:r>
        <w:rPr>
          <w:rtl w:val="true"/>
        </w:rPr>
        <w:t xml:space="preserve">).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האפשרות התאורטית בדבר ההשפעה שהייתה יכולה להיות לצריכת סמים</w:t>
      </w:r>
      <w:r>
        <w:rPr>
          <w:rtl w:val="true"/>
        </w:rPr>
        <w:t xml:space="preserve">, </w:t>
      </w:r>
      <w:r>
        <w:rPr>
          <w:rtl w:val="true"/>
        </w:rPr>
        <w:t xml:space="preserve">הותנתה בכך שהיה מוכח כי המערער אכן השתמש בסמים בסמוך לאירוע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244</w:t>
      </w:r>
      <w:r>
        <w:rPr>
          <w:rtl w:val="true"/>
        </w:rPr>
        <w:t xml:space="preserve">), </w:t>
      </w:r>
      <w:r>
        <w:rPr>
          <w:rtl w:val="true"/>
        </w:rPr>
        <w:t>דבר אשר כאמור לא הוכח</w:t>
      </w:r>
      <w:r>
        <w:rPr>
          <w:rtl w:val="true"/>
        </w:rPr>
        <w:t xml:space="preserve">.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 xml:space="preserve">עצם האפשרות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התאורטית</w:t>
      </w:r>
      <w:r>
        <w:rPr>
          <w:rtl w:val="true"/>
        </w:rPr>
        <w:t xml:space="preserve"> כי אדם במצבו של המערער עשוי להגיע למצב פסיכוטי שיביא להתנהגות כמו זו של המערער באירוע</w:t>
      </w:r>
      <w:r>
        <w:rPr>
          <w:rtl w:val="true"/>
        </w:rPr>
        <w:t xml:space="preserve">, </w:t>
      </w:r>
      <w:r>
        <w:rPr>
          <w:rtl w:val="true"/>
        </w:rPr>
        <w:t>אין בה די כדי לעמוד</w:t>
      </w:r>
      <w:r>
        <w:rPr>
          <w:rtl w:val="true"/>
        </w:rPr>
        <w:t xml:space="preserve">, </w:t>
      </w:r>
      <w:r>
        <w:rPr>
          <w:rtl w:val="true"/>
        </w:rPr>
        <w:t>ולוּ ברף הוכחה מקל</w:t>
      </w:r>
      <w:r>
        <w:rPr>
          <w:rtl w:val="true"/>
        </w:rPr>
        <w:t xml:space="preserve">, </w:t>
      </w:r>
      <w:r>
        <w:rPr>
          <w:rtl w:val="true"/>
        </w:rPr>
        <w:t>בדרישה שעניינה לא רק הוכחת השימוש בסמים</w:t>
      </w:r>
      <w:r>
        <w:rPr>
          <w:rtl w:val="true"/>
        </w:rPr>
        <w:t xml:space="preserve">, </w:t>
      </w:r>
      <w:r>
        <w:rPr>
          <w:rtl w:val="true"/>
        </w:rPr>
        <w:t>אלא גם כי לשימוש זה הייתה השפעה של ממש על תודעתו והבנתו או יכולתו של המבצע לשלוט במעשיו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בשולי עניין זה</w:t>
      </w:r>
      <w:r>
        <w:rPr>
          <w:rtl w:val="true"/>
        </w:rPr>
        <w:t xml:space="preserve">, </w:t>
      </w:r>
      <w:r>
        <w:rPr>
          <w:rtl w:val="true"/>
        </w:rPr>
        <w:t>אעיר כי גם לא מצאתי ממש בטענת המערער שנטענה לראשונה בערעורו</w:t>
      </w:r>
      <w:r>
        <w:rPr>
          <w:rtl w:val="true"/>
        </w:rPr>
        <w:t xml:space="preserve">, </w:t>
      </w:r>
      <w:r>
        <w:rPr>
          <w:rtl w:val="true"/>
        </w:rPr>
        <w:t>כי נפל בעניינו מחדל חקירתי הבא לידי ביטוי בכך שלא נערכה לו בדיקה לאיתור שרידי סם בגופו</w:t>
      </w:r>
      <w:r>
        <w:rPr>
          <w:rtl w:val="true"/>
        </w:rPr>
        <w:t xml:space="preserve">, </w:t>
      </w:r>
      <w:r>
        <w:rPr>
          <w:rtl w:val="true"/>
        </w:rPr>
        <w:t>וכי את תוצאות מחדל זה יש לזקוף לזכותו ולקבוע כי יש בכך כדי לתמוך באפשרות כי בעת המעשה היה תחת השפעת סמים</w:t>
      </w:r>
      <w:r>
        <w:rPr>
          <w:rtl w:val="true"/>
        </w:rPr>
        <w:t xml:space="preserve">.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אין די בהוכחת שרידי סם אצל המערער על מנת שניתן לראות את המעשה כחוסה תחת </w:t>
      </w:r>
      <w:hyperlink r:id="rId9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מעבר לכך נדרשת כאמור הוכחת תשתית ראייתית על פיה הנאשם לא היה מודע לטיב המעשה שעשה</w:t>
      </w:r>
      <w:r>
        <w:rPr>
          <w:rtl w:val="true"/>
        </w:rPr>
        <w:t xml:space="preserve">, </w:t>
      </w:r>
      <w:r>
        <w:rPr>
          <w:rtl w:val="true"/>
        </w:rPr>
        <w:t>בשל השימוש בסם</w:t>
      </w:r>
      <w:r>
        <w:rPr>
          <w:rtl w:val="true"/>
        </w:rPr>
        <w:t xml:space="preserve">. </w:t>
      </w:r>
      <w:r>
        <w:rPr>
          <w:rtl w:val="true"/>
        </w:rPr>
        <w:t xml:space="preserve">משלא נמנעה מהמערער האפשרות להציג ראיות ממשיות על מצבו הנפשי ועל מודעותו בעת ביצוע המעשים </w:t>
      </w:r>
      <w:r>
        <w:rPr>
          <w:rtl w:val="true"/>
        </w:rPr>
        <w:t>–</w:t>
      </w:r>
      <w:r>
        <w:rPr>
          <w:rtl w:val="true"/>
        </w:rPr>
        <w:t xml:space="preserve"> והוא כאמור לא עשה כן</w:t>
      </w:r>
      <w:r>
        <w:rPr>
          <w:rtl w:val="true"/>
        </w:rPr>
        <w:t xml:space="preserve">, </w:t>
      </w:r>
      <w:r>
        <w:rPr>
          <w:rtl w:val="true"/>
        </w:rPr>
        <w:t xml:space="preserve">ולא הציג אף לא חוות דעת פסיכיאטרית נוגדת </w:t>
      </w:r>
      <w:r>
        <w:rPr>
          <w:rtl w:val="true"/>
        </w:rPr>
        <w:t>–</w:t>
      </w:r>
      <w:r>
        <w:rPr>
          <w:rtl w:val="true"/>
        </w:rPr>
        <w:t xml:space="preserve"> לא ניתן לומר כי קופחה הגנתו</w:t>
      </w:r>
      <w:r>
        <w:rPr>
          <w:rtl w:val="true"/>
        </w:rPr>
        <w:t xml:space="preserve">. </w:t>
      </w:r>
      <w:r>
        <w:rPr>
          <w:rtl w:val="true"/>
        </w:rPr>
        <w:t xml:space="preserve">זאת חרף העובדה שלא בוצעה לוֹ בדיקת שתן לאיתור שרידי סם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; </w:t>
      </w:r>
      <w:hyperlink r:id="rId9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קפוסטין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11.9.2022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קסאי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" w:cs="Arial TUR"/>
          <w:rtl w:val="true"/>
        </w:rPr>
        <w:t xml:space="preserve"> </w:t>
      </w:r>
      <w:hyperlink r:id="rId9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hyperlink r:id="rId96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301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)(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2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)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שפיות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הוראת </w:t>
      </w:r>
      <w:hyperlink r:id="rId9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קובעת אחריות מופחתת לנאשם אשר נמצא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סף</w:t>
      </w:r>
      <w:r>
        <w:rPr>
          <w:rtl w:val="true"/>
        </w:rPr>
        <w:t xml:space="preserve"> העמידה בתנאי </w:t>
      </w:r>
      <w:hyperlink r:id="rId9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ח</w:t>
        </w:r>
      </w:hyperlink>
      <w:r>
        <w:rPr>
          <w:rtl w:val="true"/>
        </w:rPr>
        <w:t xml:space="preserve"> לחוק שעניינו בסייג היעדר שפיות</w:t>
      </w:r>
      <w:r>
        <w:rPr>
          <w:rtl w:val="true"/>
        </w:rPr>
        <w:t xml:space="preserve">. </w:t>
      </w:r>
      <w:r>
        <w:rPr>
          <w:rtl w:val="true"/>
        </w:rPr>
        <w:t xml:space="preserve">המילים </w:t>
      </w:r>
      <w:r>
        <w:rPr>
          <w:rtl w:val="true"/>
        </w:rPr>
        <w:t>"</w:t>
      </w:r>
      <w:r>
        <w:rPr>
          <w:rtl w:val="true"/>
        </w:rPr>
        <w:t>במצב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הפרעה</w:t>
      </w:r>
      <w:r>
        <w:rPr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ליקוי</w:t>
      </w:r>
      <w:r>
        <w:rPr>
          <w:rtl w:val="true"/>
        </w:rPr>
        <w:t xml:space="preserve"> </w:t>
      </w:r>
      <w:r>
        <w:rPr>
          <w:rtl w:val="true"/>
        </w:rPr>
        <w:t>בכושרו</w:t>
      </w:r>
      <w:r>
        <w:rPr>
          <w:rtl w:val="true"/>
        </w:rPr>
        <w:t xml:space="preserve"> </w:t>
      </w:r>
      <w:r>
        <w:rPr>
          <w:rtl w:val="true"/>
        </w:rPr>
        <w:t>השכלי</w:t>
      </w:r>
      <w:r>
        <w:rPr>
          <w:rtl w:val="true"/>
        </w:rPr>
        <w:t xml:space="preserve">, </w:t>
      </w:r>
      <w:r>
        <w:rPr>
          <w:rtl w:val="true"/>
        </w:rPr>
        <w:t>הוגבלה</w:t>
      </w:r>
      <w:r>
        <w:rPr>
          <w:rtl w:val="true"/>
        </w:rPr>
        <w:t xml:space="preserve"> </w:t>
      </w:r>
      <w:r>
        <w:rPr>
          <w:rtl w:val="true"/>
        </w:rPr>
        <w:t>יכולתו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במידה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חוסר</w:t>
      </w:r>
      <w:r>
        <w:rPr>
          <w:rtl w:val="true"/>
        </w:rPr>
        <w:t xml:space="preserve"> </w:t>
      </w:r>
      <w:r>
        <w:rPr>
          <w:rtl w:val="true"/>
        </w:rPr>
        <w:t>יכולת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 </w:t>
      </w:r>
      <w:hyperlink r:id="rId9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ח</w:t>
        </w:r>
      </w:hyperlink>
      <w:r>
        <w:rPr>
          <w:rtl w:val="true"/>
        </w:rPr>
        <w:t xml:space="preserve">, </w:t>
      </w:r>
      <w:r>
        <w:rPr>
          <w:rtl w:val="true"/>
        </w:rPr>
        <w:t>להבין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הפסול</w:t>
      </w:r>
      <w:r>
        <w:rPr>
          <w:rtl w:val="true"/>
        </w:rPr>
        <w:t xml:space="preserve"> </w:t>
      </w:r>
      <w:r>
        <w:rPr>
          <w:rtl w:val="true"/>
        </w:rPr>
        <w:t>שבמעשה</w:t>
      </w:r>
      <w:r>
        <w:rPr>
          <w:rtl w:val="true"/>
        </w:rPr>
        <w:t xml:space="preserve">ו או </w:t>
      </w:r>
      <w:r>
        <w:rPr>
          <w:rtl w:val="true"/>
        </w:rPr>
        <w:t>להימנע</w:t>
      </w:r>
      <w:r>
        <w:rPr>
          <w:rtl w:val="true"/>
        </w:rPr>
        <w:t xml:space="preserve"> </w:t>
      </w:r>
      <w:r>
        <w:rPr>
          <w:rtl w:val="true"/>
        </w:rPr>
        <w:t>מעשיית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" </w:t>
      </w:r>
      <w:r>
        <w:rPr>
          <w:rtl w:val="true"/>
        </w:rPr>
        <w:t xml:space="preserve">הופיעו גם בנוסחו של </w:t>
      </w:r>
      <w:hyperlink r:id="rId10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בנוסחו טרם התיקון</w:t>
      </w:r>
      <w:r>
        <w:rPr>
          <w:rtl w:val="true"/>
        </w:rPr>
        <w:t xml:space="preserve">. </w:t>
      </w:r>
      <w:r>
        <w:rPr>
          <w:rtl w:val="true"/>
        </w:rPr>
        <w:t xml:space="preserve">מילים אלו פורשו בפסיקה באופן שבו מדובר בקרבה הדוקה עד כדי </w:t>
      </w:r>
      <w:r>
        <w:rPr>
          <w:rtl w:val="true"/>
        </w:rPr>
        <w:t>"</w:t>
      </w:r>
      <w:r>
        <w:rPr>
          <w:rtl w:val="true"/>
        </w:rPr>
        <w:t>מרחק פסע בלבד</w:t>
      </w:r>
      <w:r>
        <w:rPr>
          <w:rtl w:val="true"/>
        </w:rPr>
        <w:t xml:space="preserve">" </w:t>
      </w:r>
      <w:r>
        <w:rPr>
          <w:rtl w:val="true"/>
        </w:rPr>
        <w:t xml:space="preserve">לסייג היעדר השפיות הקבוע </w:t>
      </w:r>
      <w:hyperlink r:id="rId10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ח</w:t>
        </w:r>
      </w:hyperlink>
      <w:r>
        <w:rPr>
          <w:rtl w:val="true"/>
        </w:rPr>
        <w:t xml:space="preserve"> לחוק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מטטוב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זלנצקי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60</w:t>
      </w:r>
      <w:r>
        <w:rPr>
          <w:rtl w:val="true"/>
        </w:rPr>
        <w:t xml:space="preserve">; </w:t>
      </w:r>
      <w:hyperlink r:id="rId1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רוזינקין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24.8.2015</w:t>
      </w:r>
      <w:r>
        <w:rPr>
          <w:rtl w:val="true"/>
        </w:rPr>
        <w:t xml:space="preserve">); </w:t>
      </w:r>
      <w:r>
        <w:rPr>
          <w:rtl w:val="true"/>
        </w:rPr>
        <w:t>וראו גם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דורון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38-37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וילנר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יש גם לזכור כי מדובר באחריות מופחתת</w:t>
      </w:r>
      <w:r>
        <w:rPr>
          <w:rtl w:val="true"/>
        </w:rPr>
        <w:t xml:space="preserve">, </w:t>
      </w:r>
      <w:r>
        <w:rPr>
          <w:rtl w:val="true"/>
        </w:rPr>
        <w:t xml:space="preserve">היינו שהנאשם אחראי לתוצאה הקטלנית אך לא באופן מלא אלא באופן פחות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אין לתת פרשנות רחבה לתנאי הסעיף ועל בית המשפט לבחון היטב ובזהירות את התקיימותם של התנאים במלואם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דאהן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מרחיבה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מצמצמת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16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hyperlink r:id="rId10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: </w:t>
      </w:r>
      <w:hyperlink r:id="rId10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7.7.2022</w:t>
      </w:r>
      <w:r>
        <w:rPr>
          <w:rtl w:val="true"/>
        </w:rPr>
        <w:t xml:space="preserve">)),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חווֹת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שֹטנים</w:t>
      </w:r>
      <w:r>
        <w:rPr>
          <w:rtl w:val="true"/>
        </w:rPr>
        <w:t xml:space="preserve">"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התבלבל</w:t>
      </w:r>
      <w:r>
        <w:rPr>
          <w:rtl w:val="true"/>
        </w:rPr>
        <w:t>" (</w:t>
      </w:r>
      <w:r>
        <w:rPr>
          <w:rtl w:val="true"/>
        </w:rPr>
        <w:t>תמלול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6.8.2019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37-33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שדמיין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34-26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קביעת בית המשפט בדבר מצבו הנפשי של המערער</w:t>
      </w:r>
      <w:r>
        <w:rPr>
          <w:rtl w:val="true"/>
        </w:rPr>
        <w:t xml:space="preserve">, </w:t>
      </w:r>
      <w:r>
        <w:rPr>
          <w:rtl w:val="true"/>
        </w:rPr>
        <w:t>אשר לא נמצא כי היה במצב פסיכוטי</w:t>
      </w:r>
      <w:r>
        <w:rPr>
          <w:rtl w:val="true"/>
        </w:rPr>
        <w:t xml:space="preserve">, </w:t>
      </w:r>
      <w:r>
        <w:rPr>
          <w:rtl w:val="true"/>
        </w:rPr>
        <w:t>נשענה גם על עדויות בני המשפחה אשר תיארו את מעשיו והתנהלותו בסמוך לרצח</w:t>
      </w:r>
      <w:r>
        <w:rPr>
          <w:rtl w:val="true"/>
        </w:rPr>
        <w:t xml:space="preserve">, </w:t>
      </w:r>
      <w:r>
        <w:rPr>
          <w:rtl w:val="true"/>
        </w:rPr>
        <w:t xml:space="preserve">ואינני רואה צורך לחזור על הדברים שפורטו בהרחבה לעיל לעניין תחולת </w:t>
      </w:r>
      <w:hyperlink r:id="rId10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 xml:space="preserve">פסקאות </w:t>
      </w:r>
      <w:r>
        <w:rPr/>
        <w:t>34-33</w:t>
      </w:r>
      <w:r>
        <w:rPr>
          <w:rtl w:val="true"/>
        </w:rPr>
        <w:t xml:space="preserve">), </w:t>
      </w:r>
      <w:r>
        <w:rPr>
          <w:rtl w:val="true"/>
        </w:rPr>
        <w:t>הרלוונטיים גם כאן</w:t>
      </w:r>
      <w:r>
        <w:rPr>
          <w:rtl w:val="true"/>
        </w:rPr>
        <w:t xml:space="preserve">. </w:t>
      </w:r>
      <w:r>
        <w:rPr>
          <w:rtl w:val="true"/>
        </w:rPr>
        <w:t>אין לקבל בהקשר זה את טענת המערער כי לא ניתן להסיק מהתנהלותו בקור רוח לאחר הרצח</w:t>
      </w:r>
      <w:r>
        <w:rPr>
          <w:rtl w:val="true"/>
        </w:rPr>
        <w:t xml:space="preserve">, </w:t>
      </w:r>
      <w:r>
        <w:rPr>
          <w:rtl w:val="true"/>
        </w:rPr>
        <w:t>לגבי שאלת היותו מצוי בקרבה לסייג שעניינו הפרעה נפשית חמורה</w:t>
      </w:r>
      <w:r>
        <w:rPr>
          <w:rtl w:val="true"/>
        </w:rPr>
        <w:t xml:space="preserve">. </w:t>
      </w:r>
      <w:r>
        <w:rPr>
          <w:rtl w:val="true"/>
        </w:rPr>
        <w:t>התנהגות זו מצטרפת לתמונה הכללית המצטיירת והיא שלא נמצא אף ספק סביר כי מתקיימים תנאי הסעיף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הינה כי כן</w:t>
      </w:r>
      <w:r>
        <w:rPr>
          <w:rtl w:val="true"/>
        </w:rPr>
        <w:t xml:space="preserve">, </w:t>
      </w:r>
      <w:r>
        <w:rPr>
          <w:rtl w:val="true"/>
        </w:rPr>
        <w:t>המערער לא עמד בנטל מינימלי ביותר להוכחת התקיימות תנאי הסעיף</w:t>
      </w:r>
      <w:r>
        <w:rPr>
          <w:rtl w:val="true"/>
        </w:rPr>
        <w:t xml:space="preserve">, </w:t>
      </w:r>
      <w:r>
        <w:rPr>
          <w:rtl w:val="true"/>
        </w:rPr>
        <w:t>וזאת גם בהתחשב בטענתו כי התקיימו בעניינו נסיבות המצביעות על התדרדרות שחלה במצבו הנפשי בימים שלפני הרצח</w:t>
      </w:r>
      <w:r>
        <w:rPr>
          <w:rtl w:val="true"/>
        </w:rPr>
        <w:t xml:space="preserve">, </w:t>
      </w:r>
      <w:r>
        <w:rPr>
          <w:rtl w:val="true"/>
        </w:rPr>
        <w:t>לאור העובדה שבני משפחתו פנו באותו מועד לבית החולים שער מנשה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נתן דעתו לעובדה זו כאשר לא נמצא כי התדרדרות זו עולה כדי הפרעה במצב הנפשי כנדרש בהוראת </w:t>
      </w:r>
      <w:hyperlink r:id="rId10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 חולק כי למערער היסטוריה ארוכה של שימוש בסמים והוא אובחן כלוקה בסכיזופרניה בגינה גם אושפז לא פעם</w:t>
      </w:r>
      <w:r>
        <w:rPr>
          <w:rtl w:val="true"/>
        </w:rPr>
        <w:t xml:space="preserve">. </w:t>
      </w:r>
      <w:r>
        <w:rPr>
          <w:rtl w:val="true"/>
        </w:rPr>
        <w:t>יתכן שאף חלה התדרדרות במצבו הנפשי לפני הרצח</w:t>
      </w:r>
      <w:r>
        <w:rPr>
          <w:rtl w:val="true"/>
        </w:rPr>
        <w:t xml:space="preserve">. </w:t>
      </w:r>
      <w:r>
        <w:rPr>
          <w:rtl w:val="true"/>
        </w:rPr>
        <w:t>אולם מכאן ועד למסקנה כי מתקיימים תנאי הסעיף</w:t>
      </w:r>
      <w:r>
        <w:rPr>
          <w:rtl w:val="true"/>
        </w:rPr>
        <w:t xml:space="preserve">, </w:t>
      </w:r>
      <w:r>
        <w:rPr>
          <w:rtl w:val="true"/>
        </w:rPr>
        <w:t>הדרך רחוקה עד מאוד</w:t>
      </w:r>
      <w:r>
        <w:rPr>
          <w:rtl w:val="true"/>
        </w:rPr>
        <w:t xml:space="preserve">. </w:t>
      </w:r>
      <w:r>
        <w:rPr>
          <w:rtl w:val="true"/>
        </w:rPr>
        <w:t>זאת בהינתן המסקנות החד</w:t>
      </w:r>
      <w:r>
        <w:rPr>
          <w:rtl w:val="true"/>
        </w:rPr>
        <w:t>-</w:t>
      </w:r>
      <w:r>
        <w:rPr>
          <w:rtl w:val="true"/>
        </w:rPr>
        <w:t>משמעיות אליהן הגיעו המומחים השונים בחוות דעתם לאחר שבדקו את המערער</w:t>
      </w:r>
      <w:r>
        <w:rPr>
          <w:rtl w:val="true"/>
        </w:rPr>
        <w:t xml:space="preserve">, </w:t>
      </w:r>
      <w:r>
        <w:rPr>
          <w:rtl w:val="true"/>
        </w:rPr>
        <w:t>כאשר לכך מצטרפות כאמור עדויות בני המשפחה בדבר התנהגותו בסמוך לאחר הרצח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בעניין זה גם קשה לקבל את הסתייגותו של המערער מחוות דעת המומחים בדבר מצבו הנפשי</w:t>
      </w:r>
      <w:r>
        <w:rPr>
          <w:rtl w:val="true"/>
        </w:rPr>
        <w:t xml:space="preserve">, </w:t>
      </w:r>
      <w:r>
        <w:rPr>
          <w:rtl w:val="true"/>
        </w:rPr>
        <w:t>בעוד שהוא לא הביא כל חוות דעת פסיכאטרית מטעמו שיש בכוחה לסתור את חוות הדעת האמורות</w:t>
      </w:r>
      <w:r>
        <w:rPr>
          <w:rtl w:val="true"/>
        </w:rPr>
        <w:t xml:space="preserve">, </w:t>
      </w:r>
      <w:r>
        <w:rPr>
          <w:rtl w:val="true"/>
        </w:rPr>
        <w:t xml:space="preserve">ומבקש להיבנות מההערכה הכללית על פיה </w:t>
      </w:r>
      <w:r>
        <w:rPr>
          <w:rtl w:val="true"/>
        </w:rPr>
        <w:t>"</w:t>
      </w:r>
      <w:r>
        <w:rPr>
          <w:rtl w:val="true"/>
        </w:rPr>
        <w:t>אף אדם שפוי לא מנסה לכרות את ראשה של אימו</w:t>
      </w:r>
      <w:r>
        <w:rPr>
          <w:rtl w:val="true"/>
        </w:rPr>
        <w:t>-</w:t>
      </w:r>
      <w:r>
        <w:rPr>
          <w:rtl w:val="true"/>
        </w:rPr>
        <w:t>מולידתו</w:t>
      </w:r>
      <w:r>
        <w:rPr>
          <w:rtl w:val="true"/>
        </w:rPr>
        <w:t xml:space="preserve">".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מדובר במעשה קיצוני</w:t>
      </w:r>
      <w:r>
        <w:rPr>
          <w:rtl w:val="true"/>
        </w:rPr>
        <w:t xml:space="preserve">,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אכזרי וקשה</w:t>
      </w:r>
      <w:r>
        <w:rPr>
          <w:rtl w:val="true"/>
        </w:rPr>
        <w:t xml:space="preserve">. </w:t>
      </w:r>
      <w:r>
        <w:rPr>
          <w:rtl w:val="true"/>
        </w:rPr>
        <w:t>אולם שאלת מידת הקרבה לשפיות המצדיקה הטלת אחריות מופחתת אינה יכולה להיבחן רק לפי קנה מידה של מידת ההלם</w:t>
      </w:r>
      <w:r>
        <w:rPr>
          <w:rtl w:val="true"/>
        </w:rPr>
        <w:t xml:space="preserve">, </w:t>
      </w:r>
      <w:r>
        <w:rPr>
          <w:rtl w:val="true"/>
        </w:rPr>
        <w:t xml:space="preserve">הזוועה והסלידה </w:t>
      </w:r>
      <w:r>
        <w:rPr>
          <w:rtl w:val="true"/>
        </w:rPr>
        <w:t>שמעורר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עליה להישען בעיקר על קנה מידה של מומחיות והערכה פסיכיאטריים</w:t>
      </w:r>
      <w:r>
        <w:rPr>
          <w:rtl w:val="true"/>
        </w:rPr>
        <w:t xml:space="preserve">, </w:t>
      </w:r>
      <w:r>
        <w:rPr>
          <w:rtl w:val="true"/>
        </w:rPr>
        <w:t>לצד נתונים נוספים שיש בכוחם להאיר את התנהלות הנאשם בזמן האירוע ובסמוך לו</w:t>
      </w:r>
      <w:r>
        <w:rPr>
          <w:rtl w:val="true"/>
        </w:rPr>
        <w:t xml:space="preserve">, </w:t>
      </w:r>
      <w:r>
        <w:rPr>
          <w:rtl w:val="true"/>
        </w:rPr>
        <w:t>כאשר המערער לא עמד בהקשר זה ולוּ ברף של העלאת ספק סביר</w:t>
      </w:r>
      <w:r>
        <w:rPr>
          <w:rtl w:val="true"/>
        </w:rPr>
        <w:t xml:space="preserve">. </w:t>
      </w:r>
      <w:r>
        <w:rPr>
          <w:rtl w:val="true"/>
        </w:rPr>
        <w:t>על כן לסיכומו של דבר</w:t>
      </w:r>
      <w:r>
        <w:rPr>
          <w:rtl w:val="true"/>
        </w:rPr>
        <w:t xml:space="preserve">, </w:t>
      </w:r>
      <w:r>
        <w:rPr>
          <w:rtl w:val="true"/>
        </w:rPr>
        <w:t>גם טענה זו של המערער נדחית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ולבסוף באשר לטענת המערער כי היה על בית המשפט להחיל בעניינו את הוראת </w:t>
      </w:r>
      <w:hyperlink r:id="rId10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על פיה נתקיימו בעניינו נסיבות מיוחדות שבשלהן המעשה אינו מבטא דרגת אשמה חמורה במיוחד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hyperlink r:id="rId108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301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א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ב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>)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המילוט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עניינו של </w:t>
      </w:r>
      <w:hyperlink r:id="rId10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המכונה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>" (</w:t>
      </w:r>
      <w:r>
        <w:rPr>
          <w:rtl w:val="true"/>
        </w:rPr>
        <w:t>ראו לדוגמה</w:t>
      </w:r>
      <w:r>
        <w:rPr>
          <w:rtl w:val="true"/>
        </w:rPr>
        <w:t xml:space="preserve">: 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זרסנאי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19.4.2021</w:t>
      </w:r>
      <w:r>
        <w:rPr>
          <w:rtl w:val="true"/>
        </w:rPr>
        <w:t xml:space="preserve">); </w:t>
      </w:r>
      <w:hyperlink r:id="rId1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25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5.2.2023</w:t>
      </w:r>
      <w:r>
        <w:rPr>
          <w:rtl w:val="true"/>
        </w:rPr>
        <w:t xml:space="preserve">); </w:t>
      </w:r>
      <w:hyperlink r:id="rId1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15.1.2023</w:t>
      </w:r>
      <w:r>
        <w:rPr>
          <w:rtl w:val="true"/>
        </w:rPr>
        <w:t xml:space="preserve">)), </w:t>
      </w:r>
      <w:r>
        <w:rPr>
          <w:rtl w:val="true"/>
        </w:rPr>
        <w:t>במקרים אשר בהם מעשה ההמתה נכנס לגדרי אחת הנסיבות המחמירות שנקבעו בחוק</w:t>
      </w:r>
      <w:r>
        <w:rPr>
          <w:rtl w:val="true"/>
        </w:rPr>
        <w:t xml:space="preserve">, </w:t>
      </w:r>
      <w:r>
        <w:rPr>
          <w:rtl w:val="true"/>
        </w:rPr>
        <w:t>אולם מידת האשם שבו אינה תואמת לעבירת הרצח בנסיבות מחמירות</w:t>
      </w:r>
      <w:r>
        <w:rPr>
          <w:rtl w:val="true"/>
        </w:rPr>
        <w:t xml:space="preserve">. </w:t>
      </w:r>
      <w:r>
        <w:rPr>
          <w:rtl w:val="true"/>
        </w:rPr>
        <w:t>מדובר במקרים חריגים בלבד</w:t>
      </w:r>
      <w:r>
        <w:rPr>
          <w:rtl w:val="true"/>
        </w:rPr>
        <w:t xml:space="preserve">, </w:t>
      </w:r>
      <w:r>
        <w:rPr>
          <w:rtl w:val="true"/>
        </w:rPr>
        <w:t xml:space="preserve">שבהם המעשה אינו מבטא דרגת אשמה חמורה במיוחד </w:t>
      </w:r>
      <w:r>
        <w:rPr>
          <w:rtl w:val="true"/>
        </w:rPr>
        <w:t>(</w:t>
      </w:r>
      <w:hyperlink r:id="rId1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סרארי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16.2.2023</w:t>
      </w:r>
      <w:r>
        <w:rPr>
          <w:rtl w:val="true"/>
        </w:rPr>
        <w:t xml:space="preserve">); </w:t>
      </w:r>
      <w:hyperlink r:id="rId1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גולובקו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13.11.2022</w:t>
      </w:r>
      <w:r>
        <w:rPr>
          <w:rtl w:val="true"/>
        </w:rPr>
        <w:t xml:space="preserve">)). </w:t>
      </w:r>
      <w:r>
        <w:rPr>
          <w:rtl w:val="true"/>
        </w:rPr>
        <w:t xml:space="preserve">המערער טען כי נטל ההוכחה המוטל עליו להוכחת התקיימות תנאי הסעיף הוא של </w:t>
      </w:r>
      <w:r>
        <w:rPr>
          <w:rtl w:val="true"/>
        </w:rPr>
        <w:t>"</w:t>
      </w:r>
      <w:r>
        <w:rPr>
          <w:rtl w:val="true"/>
        </w:rPr>
        <w:t>ספק סביר</w:t>
      </w:r>
      <w:r>
        <w:rPr>
          <w:rtl w:val="true"/>
        </w:rPr>
        <w:t xml:space="preserve">" </w:t>
      </w:r>
      <w:r>
        <w:rPr>
          <w:rtl w:val="true"/>
        </w:rPr>
        <w:t xml:space="preserve">בלבד ולא של </w:t>
      </w:r>
      <w:r>
        <w:rPr>
          <w:rtl w:val="true"/>
        </w:rPr>
        <w:t>"</w:t>
      </w:r>
      <w:r>
        <w:rPr>
          <w:rtl w:val="true"/>
        </w:rPr>
        <w:t>מאזן הסתברויות</w:t>
      </w:r>
      <w:r>
        <w:rPr>
          <w:rtl w:val="true"/>
        </w:rPr>
        <w:t>" (</w:t>
      </w:r>
      <w:r>
        <w:rPr>
          <w:rtl w:val="true"/>
        </w:rPr>
        <w:t>וראו דיון בסוגיה זו</w:t>
      </w:r>
      <w:r>
        <w:rPr>
          <w:rtl w:val="true"/>
        </w:rPr>
        <w:t xml:space="preserve">: </w:t>
      </w:r>
      <w:hyperlink r:id="rId1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15.1.2020</w:t>
      </w:r>
      <w:r>
        <w:rPr>
          <w:rtl w:val="true"/>
        </w:rPr>
        <w:t xml:space="preserve">); </w:t>
      </w:r>
      <w:hyperlink r:id="rId1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5995/21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אלחסנה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16.6.2022</w:t>
      </w:r>
      <w:r>
        <w:rPr>
          <w:rtl w:val="true"/>
        </w:rPr>
        <w:t>);</w:t>
      </w:r>
      <w:r>
        <w:rPr>
          <w:rtl w:val="true"/>
        </w:rPr>
        <w:t xml:space="preserve">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31</w:t>
      </w:r>
      <w:r>
        <w:rPr>
          <w:rtl w:val="true"/>
        </w:rPr>
        <w:t xml:space="preserve">). </w:t>
      </w:r>
      <w:r>
        <w:rPr>
          <w:rtl w:val="true"/>
        </w:rPr>
        <w:t>אולם בין כך ובין כך</w:t>
      </w:r>
      <w:r>
        <w:rPr>
          <w:rtl w:val="true"/>
        </w:rPr>
        <w:t xml:space="preserve">, </w:t>
      </w:r>
      <w:r>
        <w:rPr>
          <w:rtl w:val="true"/>
        </w:rPr>
        <w:t>כמעט למותר לציין</w:t>
      </w:r>
      <w:r>
        <w:rPr>
          <w:rtl w:val="true"/>
        </w:rPr>
        <w:t xml:space="preserve">, </w:t>
      </w:r>
      <w:r>
        <w:rPr>
          <w:rtl w:val="true"/>
        </w:rPr>
        <w:t xml:space="preserve">כי מקרה זה אינו נמנה על המקרים החריגים המצדיקים החלת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", </w:t>
      </w:r>
      <w:r>
        <w:rPr>
          <w:rtl w:val="true"/>
        </w:rPr>
        <w:t>אפילו מחמת הספק</w:t>
      </w:r>
      <w:r>
        <w:rPr>
          <w:rtl w:val="true"/>
        </w:rPr>
        <w:t xml:space="preserve">. </w:t>
      </w:r>
      <w:r>
        <w:rPr>
          <w:rtl w:val="true"/>
        </w:rPr>
        <w:t>טענות המערער בהקשר זה ממחזרות את טענותיו כי היה מצוי במצב של קרבה לסייג האחריות הפלילית</w:t>
      </w:r>
      <w:r>
        <w:rPr>
          <w:rtl w:val="true"/>
        </w:rPr>
        <w:t xml:space="preserve">, </w:t>
      </w:r>
      <w:r>
        <w:rPr>
          <w:rtl w:val="true"/>
        </w:rPr>
        <w:t>ואינן מצביעות על נסיבות נוספות מלבד קו ההגנה שבו דבק</w:t>
      </w:r>
      <w:r>
        <w:rPr>
          <w:rtl w:val="true"/>
        </w:rPr>
        <w:t xml:space="preserve">, </w:t>
      </w:r>
      <w:r>
        <w:rPr>
          <w:rtl w:val="true"/>
        </w:rPr>
        <w:t>בין אם בבית המשפט המחוזי ובין אם לפנינו</w:t>
      </w:r>
      <w:r>
        <w:rPr>
          <w:rtl w:val="true"/>
        </w:rPr>
        <w:t xml:space="preserve">.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>טענות המערער נדחו כאמור זה מכבר</w:t>
      </w:r>
      <w:r>
        <w:rPr>
          <w:rtl w:val="true"/>
        </w:rPr>
        <w:t xml:space="preserve">, </w:t>
      </w:r>
      <w:r>
        <w:rPr>
          <w:rtl w:val="true"/>
        </w:rPr>
        <w:t>ולא הוכחה לא טענת היותו במצב של שכרות בעת האירוע</w:t>
      </w:r>
      <w:r>
        <w:rPr>
          <w:rtl w:val="true"/>
        </w:rPr>
        <w:t xml:space="preserve">, </w:t>
      </w:r>
      <w:r>
        <w:rPr>
          <w:rtl w:val="true"/>
        </w:rPr>
        <w:t>ולא טענת היותו במצב פסיכוטי כאמור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מכלול הנסיבות בענייננו</w:t>
      </w:r>
      <w:r>
        <w:rPr>
          <w:rtl w:val="true"/>
        </w:rPr>
        <w:t xml:space="preserve">, </w:t>
      </w:r>
      <w:r>
        <w:rPr>
          <w:rtl w:val="true"/>
        </w:rPr>
        <w:t>ובעיקר האכזריות החריגה והקשה שבאה לידי ביטוי במקרה זה של הפעלת אלימות קשה כלפי המנוחה</w:t>
      </w:r>
      <w:r>
        <w:rPr>
          <w:rtl w:val="true"/>
        </w:rPr>
        <w:t xml:space="preserve">, </w:t>
      </w:r>
      <w:r>
        <w:rPr>
          <w:rtl w:val="true"/>
        </w:rPr>
        <w:t xml:space="preserve">בין אם </w:t>
      </w:r>
      <w:r>
        <w:rPr>
          <w:rtl w:val="true"/>
        </w:rPr>
        <w:t>כריתת</w:t>
      </w:r>
      <w:r>
        <w:rPr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חפץ</w:t>
      </w:r>
      <w:r>
        <w:rPr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 נעשתה לפני המוות ובין אם לאחריו </w:t>
      </w:r>
      <w:r>
        <w:rPr>
          <w:rtl w:val="true"/>
        </w:rPr>
        <w:t>–</w:t>
      </w:r>
      <w:r>
        <w:rPr>
          <w:rtl w:val="true"/>
        </w:rPr>
        <w:t xml:space="preserve"> מצביע דווקא על מידת אשמה רבה ביותר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ובשולי הדברים אעיר כי אין גם מקום לניסיונו של המערער להיבנות בהקשר זה מהעובדה כי בני משפחתו פנו לבית החולים </w:t>
      </w:r>
      <w:r>
        <w:rPr>
          <w:rtl w:val="true"/>
        </w:rPr>
        <w:t>"</w:t>
      </w:r>
      <w:r>
        <w:rPr>
          <w:rtl w:val="true"/>
        </w:rPr>
        <w:t>שער מנשה</w:t>
      </w:r>
      <w:r>
        <w:rPr>
          <w:rtl w:val="true"/>
        </w:rPr>
        <w:t xml:space="preserve">" </w:t>
      </w:r>
      <w:r>
        <w:rPr>
          <w:rtl w:val="true"/>
        </w:rPr>
        <w:t>בסמוך לפני הרצח</w:t>
      </w:r>
      <w:r>
        <w:rPr>
          <w:rtl w:val="true"/>
        </w:rPr>
        <w:t xml:space="preserve">, </w:t>
      </w:r>
      <w:r>
        <w:rPr>
          <w:rtl w:val="true"/>
        </w:rPr>
        <w:t>בעת שחלה לטענתם התדרדרות במצבו</w:t>
      </w:r>
      <w:r>
        <w:rPr>
          <w:rtl w:val="true"/>
        </w:rPr>
        <w:t xml:space="preserve">, </w:t>
      </w:r>
      <w:r>
        <w:rPr>
          <w:rtl w:val="true"/>
        </w:rPr>
        <w:t>ולא קיבלו על פי הטענה מענה מספק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מדובר בנסיבות המצדיקות שימוש ב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". </w:t>
      </w:r>
      <w:r>
        <w:rPr>
          <w:rtl w:val="true"/>
        </w:rPr>
        <w:t>בעניין זה יצוין כי בית המשפט המחוזי נתן דעתו לטענה כי בני משפחת המערער לא זכו להתייחסות מספקת מצד בית החולים</w:t>
      </w:r>
      <w:r>
        <w:rPr>
          <w:rtl w:val="true"/>
        </w:rPr>
        <w:t xml:space="preserve">, </w:t>
      </w:r>
      <w:r>
        <w:rPr>
          <w:rtl w:val="true"/>
        </w:rPr>
        <w:t>ואף ביקש את תגובת עמדת משרד הבריאות לטענות שהועלו בקשר לכך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 נמצא כי היה בטענות אלה כדי להשפיע על היקף אחריותו של המערער בפלילים</w:t>
      </w:r>
      <w:r>
        <w:rPr>
          <w:rtl w:val="true"/>
        </w:rPr>
        <w:t xml:space="preserve">.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>אין מדובר בנסיבות שיש בכוחן להביא למסקנה בדבר דרגת אשמה פחותה במעשיו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סופו של יום</w:t>
      </w:r>
      <w:r>
        <w:rPr>
          <w:rtl w:val="true"/>
        </w:rPr>
        <w:t xml:space="preserve">, </w:t>
      </w:r>
      <w:r>
        <w:rPr>
          <w:rtl w:val="true"/>
        </w:rPr>
        <w:t>לא מצאתי כי יש מקום להתערב בהרשעתו של המערער בפסק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וכפועל יוצא מכך יש גם לדחות את הערעור על גזר דינו</w:t>
      </w:r>
      <w:r>
        <w:rPr>
          <w:rtl w:val="true"/>
        </w:rPr>
        <w:t xml:space="preserve">. </w:t>
      </w:r>
      <w:r>
        <w:rPr>
          <w:rtl w:val="true"/>
        </w:rPr>
        <w:t>אף אין מקום לקבל את ערעור המערער על רכיב הפיצוי המשקף את חומרת המעשים והולם את נסיבות המקרה ואין כל מקום להתערב בו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לא מן הנמנע כי בשל הנסיבות החמורות של ביצוע הרצח כפי שפורטו</w:t>
      </w:r>
      <w:r>
        <w:rPr>
          <w:rtl w:val="true"/>
        </w:rPr>
        <w:t xml:space="preserve">, </w:t>
      </w:r>
      <w:r>
        <w:rPr>
          <w:rtl w:val="true"/>
        </w:rPr>
        <w:t>היה מקום לפסוק את הסכום המקסימאלי שניתן לפסוק לפי החוק</w:t>
      </w:r>
      <w:r>
        <w:rPr>
          <w:rtl w:val="true"/>
        </w:rPr>
        <w:t xml:space="preserve">. </w:t>
      </w:r>
      <w:r>
        <w:rPr>
          <w:rtl w:val="true"/>
        </w:rPr>
        <w:t xml:space="preserve">אין למערער להלין אפוא על סכום הפיצויים שהושת עליו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1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4523/14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20.1.2016</w:t>
      </w:r>
      <w:r>
        <w:rPr>
          <w:rtl w:val="true"/>
        </w:rPr>
        <w:t xml:space="preserve">); </w:t>
      </w:r>
      <w:hyperlink r:id="rId1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8074/16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סוליימנוב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/>
        <w:t>72-69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2.4.2020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רכיביו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color w:val="0000FF"/>
          <w:sz w:val="28"/>
          <w:u w:val="single"/>
        </w:rPr>
      </w:pPr>
      <w:r>
        <w:rPr>
          <w:rFonts w:cs="FrankRuehl" w:ascii="FrankRuehl" w:hAnsi="FrankRuehl"/>
          <w:color w:val="0000FF"/>
          <w:sz w:val="28"/>
          <w:u w:val="single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color w:val="0000FF"/>
          <w:sz w:val="28"/>
          <w:u w:val="single"/>
        </w:rPr>
      </w:pPr>
      <w:r>
        <w:rPr>
          <w:rFonts w:cs="FrankRuehl" w:ascii="FrankRuehl" w:hAnsi="FrankRuehl"/>
          <w:color w:val="0000FF"/>
          <w:sz w:val="28"/>
          <w:u w:val="single"/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firstLine="720" w:end="0"/>
        <w:jc w:val="both"/>
        <w:rPr/>
      </w:pP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9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9.5.2023</w:t>
      </w:r>
      <w:r>
        <w:rPr>
          <w:rtl w:val="true"/>
        </w:rPr>
        <w:t xml:space="preserve">). </w:t>
      </w:r>
      <w:bookmarkEnd w:id="19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22024830</w:t>
      </w:r>
      <w:r>
        <w:rPr>
          <w:sz w:val="16"/>
          <w:rtl w:val="true"/>
        </w:rPr>
        <w:t>_</w:t>
      </w:r>
      <w:r>
        <w:rPr>
          <w:sz w:val="16"/>
        </w:rPr>
        <w:t>N04.docx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1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54678313-2483/22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2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21"/>
      <w:footerReference w:type="default" r:id="rId12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2483/22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נור אלדין מחאמיד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 w:bidi="he-I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 w:bidi="he-IL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FooterChar">
    <w:name w:val="Footer Char"/>
    <w:qFormat/>
    <w:rPr>
      <w:rFonts w:cs="David"/>
      <w:szCs w:val="24"/>
    </w:rPr>
  </w:style>
  <w:style w:type="character" w:styleId="HeaderChar">
    <w:name w:val="Header Char"/>
    <w:qFormat/>
    <w:rPr>
      <w:rFonts w:cs="David"/>
      <w:szCs w:val="24"/>
    </w:rPr>
  </w:style>
  <w:style w:type="character" w:styleId="FootnoteTextChar">
    <w:name w:val="Footnote Text Char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FootnoteText">
    <w:name w:val="footnote text"/>
    <w:basedOn w:val="Normal"/>
    <w:pPr/>
    <w:rPr>
      <w:rFonts w:ascii="Century" w:hAnsi="Century" w:cs="FrankRuehl"/>
      <w:spacing w:val="10"/>
      <w:szCs w:val="20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51">
    <w:name w:val="ruller5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P11">
    <w:name w:val="P11"/>
    <w:basedOn w:val="Normal"/>
    <w:qFormat/>
    <w:pPr>
      <w:widowControl w:val="false"/>
      <w:suppressAutoHyphens w:val="true"/>
      <w:overflowPunct w:val="true"/>
      <w:spacing w:before="60" w:after="0"/>
      <w:ind w:hanging="0" w:start="2835" w:end="624"/>
      <w:jc w:val="both"/>
      <w:textAlignment w:val="auto"/>
    </w:pPr>
    <w:rPr>
      <w:rFonts w:cs="Times New Roman"/>
      <w:szCs w:val="26"/>
      <w:lang w:val="en-IL" w:eastAsia="en-IL"/>
    </w:rPr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</w:pPr>
    <w:rPr>
      <w:rFonts w:ascii="Century" w:hAnsi="Century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91778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h" TargetMode="External"/><Relationship Id="rId5" Type="http://schemas.openxmlformats.org/officeDocument/2006/relationships/hyperlink" Target="http://www.nevo.co.il/law/70301/34i.b" TargetMode="External"/><Relationship Id="rId6" Type="http://schemas.openxmlformats.org/officeDocument/2006/relationships/hyperlink" Target="http://www.nevo.co.il/law/70301/34i.d" TargetMode="External"/><Relationship Id="rId7" Type="http://schemas.openxmlformats.org/officeDocument/2006/relationships/hyperlink" Target="http://www.nevo.co.il/law/70301/34i.e" TargetMode="External"/><Relationship Id="rId8" Type="http://schemas.openxmlformats.org/officeDocument/2006/relationships/hyperlink" Target="http://www.nevo.co.il/law/70301/300" TargetMode="External"/><Relationship Id="rId9" Type="http://schemas.openxmlformats.org/officeDocument/2006/relationships/hyperlink" Target="http://www.nevo.co.il/law/70301/300a" TargetMode="External"/><Relationship Id="rId10" Type="http://schemas.openxmlformats.org/officeDocument/2006/relationships/hyperlink" Target="http://www.nevo.co.il/law/70301/300a.a" TargetMode="External"/><Relationship Id="rId11" Type="http://schemas.openxmlformats.org/officeDocument/2006/relationships/hyperlink" Target="http://www.nevo.co.il/law/70301/301a" TargetMode="External"/><Relationship Id="rId12" Type="http://schemas.openxmlformats.org/officeDocument/2006/relationships/hyperlink" Target="http://www.nevo.co.il/law/70301/301a.a" TargetMode="External"/><Relationship Id="rId13" Type="http://schemas.openxmlformats.org/officeDocument/2006/relationships/hyperlink" Target="http://www.nevo.co.il/law/70301/301a.a.7" TargetMode="External"/><Relationship Id="rId14" Type="http://schemas.openxmlformats.org/officeDocument/2006/relationships/hyperlink" Target="http://www.nevo.co.il/law/70301/301a.b" TargetMode="External"/><Relationship Id="rId15" Type="http://schemas.openxmlformats.org/officeDocument/2006/relationships/hyperlink" Target="http://www.nevo.co.il/law/70301/301b" TargetMode="External"/><Relationship Id="rId16" Type="http://schemas.openxmlformats.org/officeDocument/2006/relationships/hyperlink" Target="http://www.nevo.co.il/law/70301/301b.b.2" TargetMode="External"/><Relationship Id="rId17" Type="http://schemas.openxmlformats.org/officeDocument/2006/relationships/hyperlink" Target="http://www.nevo.co.il/law/70301/301b.b.3" TargetMode="External"/><Relationship Id="rId18" Type="http://schemas.openxmlformats.org/officeDocument/2006/relationships/hyperlink" Target="http://www.nevo.co.il/law/70301/301b.c" TargetMode="External"/><Relationship Id="rId19" Type="http://schemas.openxmlformats.org/officeDocument/2006/relationships/hyperlink" Target="http://www.nevo.co.il/law/70301/34kb" TargetMode="External"/><Relationship Id="rId20" Type="http://schemas.openxmlformats.org/officeDocument/2006/relationships/hyperlink" Target="http://www.nevo.co.il/case/28917785" TargetMode="External"/><Relationship Id="rId21" Type="http://schemas.openxmlformats.org/officeDocument/2006/relationships/hyperlink" Target="http://www.nevo.co.il/law/70301/301a.a.7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01b.c" TargetMode="External"/><Relationship Id="rId24" Type="http://schemas.openxmlformats.org/officeDocument/2006/relationships/hyperlink" Target="http://www.nevo.co.il/law/70301/301a.b" TargetMode="External"/><Relationship Id="rId25" Type="http://schemas.openxmlformats.org/officeDocument/2006/relationships/hyperlink" Target="http://www.nevo.co.il/law/70301/301b.c" TargetMode="External"/><Relationship Id="rId26" Type="http://schemas.openxmlformats.org/officeDocument/2006/relationships/hyperlink" Target="http://www.nevo.co.il/law/70301/301a.b" TargetMode="External"/><Relationship Id="rId27" Type="http://schemas.openxmlformats.org/officeDocument/2006/relationships/hyperlink" Target="http://www.nevo.co.il/law/70301/300" TargetMode="External"/><Relationship Id="rId28" Type="http://schemas.openxmlformats.org/officeDocument/2006/relationships/hyperlink" Target="http://www.nevo.co.il/law/70301/301a" TargetMode="External"/><Relationship Id="rId29" Type="http://schemas.openxmlformats.org/officeDocument/2006/relationships/hyperlink" Target="http://www.nevo.co.il/law/70301/301a.b" TargetMode="External"/><Relationship Id="rId30" Type="http://schemas.openxmlformats.org/officeDocument/2006/relationships/hyperlink" Target="http://www.nevo.co.il/law/70301/301b.b.2" TargetMode="External"/><Relationship Id="rId31" Type="http://schemas.openxmlformats.org/officeDocument/2006/relationships/hyperlink" Target="http://www.nevo.co.il/law/70301/301b.b.2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01b.c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301a.b" TargetMode="External"/><Relationship Id="rId36" Type="http://schemas.openxmlformats.org/officeDocument/2006/relationships/hyperlink" Target="http://www.nevo.co.il/law/70301/301a.b" TargetMode="External"/><Relationship Id="rId37" Type="http://schemas.openxmlformats.org/officeDocument/2006/relationships/hyperlink" Target="http://www.nevo.co.il/law/70301/301a.a.7" TargetMode="External"/><Relationship Id="rId38" Type="http://schemas.openxmlformats.org/officeDocument/2006/relationships/hyperlink" Target="http://www.nevo.co.il/law/70301/301b" TargetMode="External"/><Relationship Id="rId39" Type="http://schemas.openxmlformats.org/officeDocument/2006/relationships/hyperlink" Target="http://www.nevo.co.il/law/70301/301b.c" TargetMode="External"/><Relationship Id="rId40" Type="http://schemas.openxmlformats.org/officeDocument/2006/relationships/hyperlink" Target="http://www.nevo.co.il/law/70301/301b.b.2" TargetMode="External"/><Relationship Id="rId41" Type="http://schemas.openxmlformats.org/officeDocument/2006/relationships/hyperlink" Target="http://www.nevo.co.il/law/70301/301a.b" TargetMode="External"/><Relationship Id="rId42" Type="http://schemas.openxmlformats.org/officeDocument/2006/relationships/hyperlink" Target="http://www.nevo.co.il/law/70301/301a.a.7" TargetMode="External"/><Relationship Id="rId43" Type="http://schemas.openxmlformats.org/officeDocument/2006/relationships/hyperlink" Target="http://www.nevo.co.il/law/70301/301a.a.7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301a.a" TargetMode="External"/><Relationship Id="rId46" Type="http://schemas.openxmlformats.org/officeDocument/2006/relationships/hyperlink" Target="http://www.nevo.co.il/case/26995434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25679793" TargetMode="External"/><Relationship Id="rId49" Type="http://schemas.openxmlformats.org/officeDocument/2006/relationships/hyperlink" Target="http://www.nevo.co.il/case/26280666" TargetMode="External"/><Relationship Id="rId50" Type="http://schemas.openxmlformats.org/officeDocument/2006/relationships/hyperlink" Target="http://www.nevo.co.il/case/27189912" TargetMode="External"/><Relationship Id="rId51" Type="http://schemas.openxmlformats.org/officeDocument/2006/relationships/hyperlink" Target="http://www.nevo.co.il/law/70301/301a.a.7" TargetMode="External"/><Relationship Id="rId52" Type="http://schemas.openxmlformats.org/officeDocument/2006/relationships/hyperlink" Target="http://www.nevo.co.il/law/70301/301b" TargetMode="External"/><Relationship Id="rId53" Type="http://schemas.openxmlformats.org/officeDocument/2006/relationships/hyperlink" Target="http://www.nevo.co.il/law/70301/301b" TargetMode="External"/><Relationship Id="rId54" Type="http://schemas.openxmlformats.org/officeDocument/2006/relationships/hyperlink" Target="http://www.nevo.co.il/law/70301/301b" TargetMode="External"/><Relationship Id="rId55" Type="http://schemas.openxmlformats.org/officeDocument/2006/relationships/hyperlink" Target="http://www.nevo.co.il/law/70301/301b.c" TargetMode="External"/><Relationship Id="rId56" Type="http://schemas.openxmlformats.org/officeDocument/2006/relationships/hyperlink" Target="http://www.nevo.co.il/law/70301/301b.b.2" TargetMode="External"/><Relationship Id="rId57" Type="http://schemas.openxmlformats.org/officeDocument/2006/relationships/hyperlink" Target="http://www.nevo.co.il/law/70301/301b" TargetMode="External"/><Relationship Id="rId58" Type="http://schemas.openxmlformats.org/officeDocument/2006/relationships/hyperlink" Target="http://www.nevo.co.il/law/70301/300a" TargetMode="External"/><Relationship Id="rId59" Type="http://schemas.openxmlformats.org/officeDocument/2006/relationships/hyperlink" Target="http://www.nevo.co.il/case/5815566" TargetMode="External"/><Relationship Id="rId60" Type="http://schemas.openxmlformats.org/officeDocument/2006/relationships/hyperlink" Target="http://www.nevo.co.il/case/5706299" TargetMode="External"/><Relationship Id="rId61" Type="http://schemas.openxmlformats.org/officeDocument/2006/relationships/hyperlink" Target="http://www.nevo.co.il/case/5714534" TargetMode="External"/><Relationship Id="rId62" Type="http://schemas.openxmlformats.org/officeDocument/2006/relationships/hyperlink" Target="http://www.nevo.co.il/case/13041923" TargetMode="External"/><Relationship Id="rId63" Type="http://schemas.openxmlformats.org/officeDocument/2006/relationships/hyperlink" Target="http://www.nevo.co.il/case/5810758" TargetMode="External"/><Relationship Id="rId64" Type="http://schemas.openxmlformats.org/officeDocument/2006/relationships/hyperlink" Target="http://www.nevo.co.il/law/70301/300a" TargetMode="External"/><Relationship Id="rId65" Type="http://schemas.openxmlformats.org/officeDocument/2006/relationships/hyperlink" Target="http://www.nevo.co.il/law/70301/301b" TargetMode="External"/><Relationship Id="rId66" Type="http://schemas.openxmlformats.org/officeDocument/2006/relationships/hyperlink" Target="http://www.nevo.co.il/law/70301/301b" TargetMode="External"/><Relationship Id="rId67" Type="http://schemas.openxmlformats.org/officeDocument/2006/relationships/hyperlink" Target="http://www.nevo.co.il/case/24263019" TargetMode="External"/><Relationship Id="rId68" Type="http://schemas.openxmlformats.org/officeDocument/2006/relationships/hyperlink" Target="http://www.nevo.co.il/case/26892078" TargetMode="External"/><Relationship Id="rId69" Type="http://schemas.openxmlformats.org/officeDocument/2006/relationships/hyperlink" Target="http://www.nevo.co.il/case/25917200" TargetMode="External"/><Relationship Id="rId70" Type="http://schemas.openxmlformats.org/officeDocument/2006/relationships/hyperlink" Target="http://www.nevo.co.il/law/70301/301b" TargetMode="External"/><Relationship Id="rId71" Type="http://schemas.openxmlformats.org/officeDocument/2006/relationships/hyperlink" Target="http://www.nevo.co.il/law/70301/34kb" TargetMode="External"/><Relationship Id="rId72" Type="http://schemas.openxmlformats.org/officeDocument/2006/relationships/hyperlink" Target="http://www.nevo.co.il/law/70301/301b.c" TargetMode="External"/><Relationship Id="rId73" Type="http://schemas.openxmlformats.org/officeDocument/2006/relationships/hyperlink" Target="http://www.nevo.co.il/law/70301/301b.b.2" TargetMode="External"/><Relationship Id="rId74" Type="http://schemas.openxmlformats.org/officeDocument/2006/relationships/hyperlink" Target="http://www.nevo.co.il/law/70301/301b.c" TargetMode="External"/><Relationship Id="rId75" Type="http://schemas.openxmlformats.org/officeDocument/2006/relationships/hyperlink" Target="http://www.nevo.co.il/law/70301/301b.c" TargetMode="External"/><Relationship Id="rId76" Type="http://schemas.openxmlformats.org/officeDocument/2006/relationships/hyperlink" Target="http://www.nevo.co.il/law/70301/34i.b" TargetMode="External"/><Relationship Id="rId77" Type="http://schemas.openxmlformats.org/officeDocument/2006/relationships/hyperlink" Target="http://www.nevo.co.il/law/70301/34i.d" TargetMode="External"/><Relationship Id="rId78" Type="http://schemas.openxmlformats.org/officeDocument/2006/relationships/hyperlink" Target="http://www.nevo.co.il/law/70301/34i.e" TargetMode="External"/><Relationship Id="rId79" Type="http://schemas.openxmlformats.org/officeDocument/2006/relationships/hyperlink" Target="http://www.nevo.co.il/law/70301/34i.d" TargetMode="External"/><Relationship Id="rId80" Type="http://schemas.openxmlformats.org/officeDocument/2006/relationships/hyperlink" Target="http://www.nevo.co.il/law/70301/34i.b" TargetMode="External"/><Relationship Id="rId81" Type="http://schemas.openxmlformats.org/officeDocument/2006/relationships/hyperlink" Target="http://www.nevo.co.il/law/70301/34i.d" TargetMode="External"/><Relationship Id="rId82" Type="http://schemas.openxmlformats.org/officeDocument/2006/relationships/hyperlink" Target="http://www.nevo.co.il/law/70301/34i.e" TargetMode="External"/><Relationship Id="rId83" Type="http://schemas.openxmlformats.org/officeDocument/2006/relationships/hyperlink" Target="http://www.nevo.co.il/case/5770260" TargetMode="External"/><Relationship Id="rId84" Type="http://schemas.openxmlformats.org/officeDocument/2006/relationships/hyperlink" Target="http://www.nevo.co.il/case/5718544" TargetMode="External"/><Relationship Id="rId85" Type="http://schemas.openxmlformats.org/officeDocument/2006/relationships/hyperlink" Target="http://www.nevo.co.il/case/20198054" TargetMode="External"/><Relationship Id="rId86" Type="http://schemas.openxmlformats.org/officeDocument/2006/relationships/hyperlink" Target="http://www.nevo.co.il/case/25246134" TargetMode="External"/><Relationship Id="rId87" Type="http://schemas.openxmlformats.org/officeDocument/2006/relationships/hyperlink" Target="http://www.nevo.co.il/law/70301/34i.d" TargetMode="External"/><Relationship Id="rId88" Type="http://schemas.openxmlformats.org/officeDocument/2006/relationships/hyperlink" Target="http://www.nevo.co.il/law/70301/34i.e" TargetMode="External"/><Relationship Id="rId89" Type="http://schemas.openxmlformats.org/officeDocument/2006/relationships/hyperlink" Target="http://www.nevo.co.il/case/6097128" TargetMode="External"/><Relationship Id="rId90" Type="http://schemas.openxmlformats.org/officeDocument/2006/relationships/hyperlink" Target="http://www.nevo.co.il/law/70301/34i.d" TargetMode="External"/><Relationship Id="rId91" Type="http://schemas.openxmlformats.org/officeDocument/2006/relationships/hyperlink" Target="http://www.nevo.co.il/law/70301" TargetMode="External"/><Relationship Id="rId92" Type="http://schemas.openxmlformats.org/officeDocument/2006/relationships/hyperlink" Target="http://www.nevo.co.il/law/70301/34i.e" TargetMode="External"/><Relationship Id="rId93" Type="http://schemas.openxmlformats.org/officeDocument/2006/relationships/hyperlink" Target="http://www.nevo.co.il/law/70301/34i.b" TargetMode="External"/><Relationship Id="rId94" Type="http://schemas.openxmlformats.org/officeDocument/2006/relationships/hyperlink" Target="http://www.nevo.co.il/case/27443208" TargetMode="External"/><Relationship Id="rId95" Type="http://schemas.openxmlformats.org/officeDocument/2006/relationships/hyperlink" Target="http://www.nevo.co.il/law/70301/301b.b.2" TargetMode="External"/><Relationship Id="rId96" Type="http://schemas.openxmlformats.org/officeDocument/2006/relationships/hyperlink" Target="http://www.nevo.co.il/law/70301/301b.b.2" TargetMode="External"/><Relationship Id="rId97" Type="http://schemas.openxmlformats.org/officeDocument/2006/relationships/hyperlink" Target="http://www.nevo.co.il/law/70301/301b.b.2" TargetMode="External"/><Relationship Id="rId98" Type="http://schemas.openxmlformats.org/officeDocument/2006/relationships/hyperlink" Target="http://www.nevo.co.il/law/70301/34h" TargetMode="External"/><Relationship Id="rId99" Type="http://schemas.openxmlformats.org/officeDocument/2006/relationships/hyperlink" Target="http://www.nevo.co.il/law/70301/34h" TargetMode="External"/><Relationship Id="rId100" Type="http://schemas.openxmlformats.org/officeDocument/2006/relationships/hyperlink" Target="http://www.nevo.co.il/law/70301/300a.a" TargetMode="External"/><Relationship Id="rId101" Type="http://schemas.openxmlformats.org/officeDocument/2006/relationships/hyperlink" Target="http://www.nevo.co.il/law/70301/34h" TargetMode="External"/><Relationship Id="rId102" Type="http://schemas.openxmlformats.org/officeDocument/2006/relationships/hyperlink" Target="http://www.nevo.co.il/case/13015521" TargetMode="External"/><Relationship Id="rId103" Type="http://schemas.openxmlformats.org/officeDocument/2006/relationships/hyperlink" Target="http://www.nevo.co.il/law/70301/301b.b.3" TargetMode="External"/><Relationship Id="rId104" Type="http://schemas.openxmlformats.org/officeDocument/2006/relationships/hyperlink" Target="http://www.nevo.co.il/case/27361163" TargetMode="External"/><Relationship Id="rId105" Type="http://schemas.openxmlformats.org/officeDocument/2006/relationships/hyperlink" Target="http://www.nevo.co.il/law/70301/301b.c" TargetMode="External"/><Relationship Id="rId106" Type="http://schemas.openxmlformats.org/officeDocument/2006/relationships/hyperlink" Target="http://www.nevo.co.il/law/70301/301b.b.2" TargetMode="External"/><Relationship Id="rId107" Type="http://schemas.openxmlformats.org/officeDocument/2006/relationships/hyperlink" Target="http://www.nevo.co.il/law/70301/301a.b" TargetMode="External"/><Relationship Id="rId108" Type="http://schemas.openxmlformats.org/officeDocument/2006/relationships/hyperlink" Target="http://www.nevo.co.il/law/70301/301a.b" TargetMode="External"/><Relationship Id="rId109" Type="http://schemas.openxmlformats.org/officeDocument/2006/relationships/hyperlink" Target="http://www.nevo.co.il/law/70301/301a.b" TargetMode="External"/><Relationship Id="rId110" Type="http://schemas.openxmlformats.org/officeDocument/2006/relationships/hyperlink" Target="http://www.nevo.co.il/case/26205760" TargetMode="External"/><Relationship Id="rId111" Type="http://schemas.openxmlformats.org/officeDocument/2006/relationships/hyperlink" Target="http://www.nevo.co.il/case/28429417" TargetMode="External"/><Relationship Id="rId112" Type="http://schemas.openxmlformats.org/officeDocument/2006/relationships/hyperlink" Target="http://www.nevo.co.il/case/25727571" TargetMode="External"/><Relationship Id="rId113" Type="http://schemas.openxmlformats.org/officeDocument/2006/relationships/hyperlink" Target="http://www.nevo.co.il/case/27355022" TargetMode="External"/><Relationship Id="rId114" Type="http://schemas.openxmlformats.org/officeDocument/2006/relationships/hyperlink" Target="http://www.nevo.co.il/case/27347633" TargetMode="External"/><Relationship Id="rId115" Type="http://schemas.openxmlformats.org/officeDocument/2006/relationships/hyperlink" Target="http://www.nevo.co.il/case/22540397" TargetMode="External"/><Relationship Id="rId116" Type="http://schemas.openxmlformats.org/officeDocument/2006/relationships/hyperlink" Target="http://www.nevo.co.il/case/27907586" TargetMode="External"/><Relationship Id="rId117" Type="http://schemas.openxmlformats.org/officeDocument/2006/relationships/hyperlink" Target="http://www.nevo.co.il/case/17015929" TargetMode="External"/><Relationship Id="rId118" Type="http://schemas.openxmlformats.org/officeDocument/2006/relationships/hyperlink" Target="http://www.nevo.co.il/case/21506844" TargetMode="External"/><Relationship Id="rId119" Type="http://schemas.openxmlformats.org/officeDocument/2006/relationships/hyperlink" Target="https://supreme.court.gov.il/" TargetMode="External"/><Relationship Id="rId120" Type="http://schemas.openxmlformats.org/officeDocument/2006/relationships/hyperlink" Target="http://www.nevo.co.il/advertisements/nevo-100.doc" TargetMode="External"/><Relationship Id="rId121" Type="http://schemas.openxmlformats.org/officeDocument/2006/relationships/header" Target="header1.xml"/><Relationship Id="rId122" Type="http://schemas.openxmlformats.org/officeDocument/2006/relationships/footer" Target="footer1.xml"/><Relationship Id="rId123" Type="http://schemas.openxmlformats.org/officeDocument/2006/relationships/numbering" Target="numbering.xml"/><Relationship Id="rId124" Type="http://schemas.openxmlformats.org/officeDocument/2006/relationships/fontTable" Target="fontTable.xml"/><Relationship Id="rId125" Type="http://schemas.openxmlformats.org/officeDocument/2006/relationships/settings" Target="settings.xml"/><Relationship Id="rId1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2023-05-13T03:18:00Z</dcterms:created>
  <dc:creator>h4</dc:creator>
  <dc:description/>
  <cp:keywords/>
  <dc:language>en-IL</dc:language>
  <cp:lastModifiedBy>h1</cp:lastModifiedBy>
  <cp:lastPrinted>2023-05-09T10:03:00Z</cp:lastPrinted>
  <dcterms:modified xsi:type="dcterms:W3CDTF">2023-05-13T03:18:00Z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נור אלדין מחאמיד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ישראל;בכרייה מחמאיד;אינשיראח מחמאיד;פואד מחאמיד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28917785:2;26995434;25679793;26280666;27189912;5815566;5706299;5714534;13041923;5810758;24263019;26892078;25917200;5770260;5718544;20198054;25246134;6097128;27443208;13015521;27361163;26205760;28429417;25727571;27355022;27347633;22540397;27907586</vt:lpwstr>
  </property>
  <property fmtid="{D5CDD505-2E9C-101B-9397-08002B2CF9AE}" pid="9" name="CASESLISTTMP2">
    <vt:lpwstr>17015929;21506844</vt:lpwstr>
  </property>
  <property fmtid="{D5CDD505-2E9C-101B-9397-08002B2CF9AE}" pid="10" name="CITY">
    <vt:lpwstr/>
  </property>
  <property fmtid="{D5CDD505-2E9C-101B-9397-08002B2CF9AE}" pid="11" name="DATE">
    <vt:lpwstr>20230509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עמית;ד' מינץ;ח' כבוב</vt:lpwstr>
  </property>
  <property fmtid="{D5CDD505-2E9C-101B-9397-08002B2CF9AE}" pid="15" name="LAWLISTTMP1">
    <vt:lpwstr>70301/301a.a.7:5;301b.c:9;301a.b:9;300;301a;301b.b.2:9;301b:8;301a.a;300a:2;34kb;034i.b:3;034i.d:5;034i.e:4;034h:3;300a.a;301b.b.3</vt:lpwstr>
  </property>
  <property fmtid="{D5CDD505-2E9C-101B-9397-08002B2CF9AE}" pid="16" name="LAWYER">
    <vt:lpwstr>נאג'י עאמר;עינת גדעוני;אסי פיסו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עבירת הרצח</vt:lpwstr>
  </property>
  <property fmtid="{D5CDD505-2E9C-101B-9397-08002B2CF9AE}" pid="39" name="NOSE210">
    <vt:lpwstr/>
  </property>
  <property fmtid="{D5CDD505-2E9C-101B-9397-08002B2CF9AE}" pid="40" name="NOSE22">
    <vt:lpwstr>עבירת הרצח</vt:lpwstr>
  </property>
  <property fmtid="{D5CDD505-2E9C-101B-9397-08002B2CF9AE}" pid="41" name="NOSE23">
    <vt:lpwstr>עבירת הרצח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12455;12455;12455;1446;1446</vt:lpwstr>
  </property>
  <property fmtid="{D5CDD505-2E9C-101B-9397-08002B2CF9AE}" pid="49" name="NOSE31">
    <vt:lpwstr>אכזריות מיוחדת או תוך התעללות גופנית או נפשית בקורבן ‏</vt:lpwstr>
  </property>
  <property fmtid="{D5CDD505-2E9C-101B-9397-08002B2CF9AE}" pid="50" name="NOSE310">
    <vt:lpwstr/>
  </property>
  <property fmtid="{D5CDD505-2E9C-101B-9397-08002B2CF9AE}" pid="51" name="NOSE32">
    <vt:lpwstr>רצח חריג בחומרתו</vt:lpwstr>
  </property>
  <property fmtid="{D5CDD505-2E9C-101B-9397-08002B2CF9AE}" pid="52" name="NOSE33">
    <vt:lpwstr>מדיניות ענישה: רצח בנסיבות חריגות בחומרתן</vt:lpwstr>
  </property>
  <property fmtid="{D5CDD505-2E9C-101B-9397-08002B2CF9AE}" pid="53" name="NOSE34">
    <vt:lpwstr>ענישה מופחתת</vt:lpwstr>
  </property>
  <property fmtid="{D5CDD505-2E9C-101B-9397-08002B2CF9AE}" pid="54" name="NOSE35">
    <vt:lpwstr>דרכי ענישה: פיצויים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19079;18042;17077;9003;8968</vt:lpwstr>
  </property>
  <property fmtid="{D5CDD505-2E9C-101B-9397-08002B2CF9AE}" pid="60" name="PADIDATE">
    <vt:lpwstr>20230510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2483</vt:lpwstr>
  </property>
  <property fmtid="{D5CDD505-2E9C-101B-9397-08002B2CF9AE}" pid="66" name="PROCYEAR">
    <vt:lpwstr>22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410120230509</vt:lpwstr>
  </property>
  <property fmtid="{D5CDD505-2E9C-101B-9397-08002B2CF9AE}" pid="70" name="TYPE_N_DATE">
    <vt:lpwstr>41020230509</vt:lpwstr>
  </property>
  <property fmtid="{D5CDD505-2E9C-101B-9397-08002B2CF9AE}" pid="71" name="VOLUME">
    <vt:lpwstr/>
  </property>
  <property fmtid="{D5CDD505-2E9C-101B-9397-08002B2CF9AE}" pid="72" name="WORDNUMPAGES">
    <vt:lpwstr>24</vt:lpwstr>
  </property>
</Properties>
</file>