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2490/18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ורנו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;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בתה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43874-12-17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נוה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ימיה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יקיר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ישראל – מדינת הלאום של העם היהודי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ונספחיה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';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מישורים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שעתיד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ולדקדק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שיתרשם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שנפרשׂה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הפרוטוקול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מסמכים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הצהרות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מתצהיר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תצהיר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ותצהיר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דורמונט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ותצהיר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התצהירים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שנאספו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אותנטיות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הבאות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2004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חקירת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בדיקתה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יומיים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ונספחיה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8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יוסגר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ימנע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מהכרזה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והמוסר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תפעלנה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בערובה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לשטוח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שדורש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אזרחות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התחייבויותיה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יתחמק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ימלט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FrankRuehl"/>
            <w:sz w:val="24"/>
            <w:szCs w:val="26"/>
            <w:rtl w:val="true"/>
          </w:rPr>
          <w:t>-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יסוד</w:t>
        </w:r>
        <w:r>
          <w:rPr>
            <w:rStyle w:val="Hyperlink"/>
            <w:rFonts w:cs="FrankRuehl"/>
            <w:sz w:val="24"/>
            <w:szCs w:val="26"/>
            <w:rtl w:val="true"/>
          </w:rPr>
          <w:t xml:space="preserve">: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ישראל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–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מדינת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הלאום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של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העם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היהודי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ההסגרה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ההסגרה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כמפורט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לנשיאת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עונש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מאסר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במדינת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אזרחותו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של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האסיר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bookmarkStart w:id="17" w:name="_GoBack"/>
      <w:bookmarkEnd w:id="17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27.2.2018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/>
        <w:t>43874-12-17</w:t>
      </w:r>
      <w:r>
        <w:rPr>
          <w:rtl w:val="true"/>
        </w:rPr>
        <w:t xml:space="preserve">,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31.1.2017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מנספחיה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דורמונט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פנסילבניה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6.9.2004</w:t>
      </w:r>
      <w:r>
        <w:rPr>
          <w:rtl w:val="true"/>
        </w:rPr>
        <w:t xml:space="preserve"> </w:t>
      </w:r>
      <w:r>
        <w:rPr>
          <w:rtl w:val="true"/>
        </w:rPr>
        <w:t>ביקרו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חיוורת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 xml:space="preserve">;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שהתפשטה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</w:t>
      </w:r>
      <w:r>
        <w:rPr>
          <w:rtl w:val="true"/>
        </w:rPr>
        <w:t xml:space="preserve">;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;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7.9.2004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/>
        <w:t>Allegheny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14.10.2004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28.12.2004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4.1.2005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הפדרלית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24.5.2006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בשלהי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לאיתורו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'.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: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',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יוסגר אדם אלא אם המדינה המבקשת התחייבה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במקרה שיורשע ויוטל עליו עונש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 יוחזר למדינת ישראל </w:t>
      </w:r>
      <w:r>
        <w:rPr>
          <w:rStyle w:val="default"/>
          <w:sz w:val="28"/>
          <w:sz w:val="28"/>
          <w:rtl w:val="true"/>
        </w:rPr>
        <w:t>לצורך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ריצוי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עונשו</w:t>
      </w:r>
      <w:r>
        <w:rPr>
          <w:rStyle w:val="default"/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 כי המערער לא היה זכאי להגנה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שלא היה תושב ישראל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לא עמד בדרישות המצוינות בחוק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;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: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</w:t>
      </w:r>
      <w:r>
        <w:rPr>
          <w:rtl w:val="true"/>
        </w:rPr>
        <w:t>'</w:t>
      </w:r>
      <w:r>
        <w:rPr>
          <w:rtl w:val="true"/>
        </w:rPr>
        <w:t>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מאנינג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גולדפרב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בביסוסה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לדחייתה</w:t>
      </w:r>
      <w:r>
        <w:rPr>
          <w:rtl w:val="true"/>
        </w:rPr>
        <w:t xml:space="preserve">. </w:t>
      </w:r>
      <w:r>
        <w:rPr>
          <w:rtl w:val="true"/>
        </w:rPr>
        <w:t>התצהירים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לקונית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;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tl w:val="true"/>
        </w:rPr>
        <w:t xml:space="preserve">'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להוליד</w:t>
      </w:r>
      <w:r>
        <w:rPr>
          <w:rtl w:val="true"/>
        </w:rPr>
        <w:t xml:space="preserve">'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וליבון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', </w:t>
      </w:r>
      <w:r>
        <w:rPr>
          <w:rtl w:val="true"/>
        </w:rPr>
        <w:t>המבססות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הלאום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היהודי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הלאום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יֵצא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'.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יִמלט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מושבו</w:t>
      </w:r>
      <w:r>
        <w:rPr>
          <w:rtl w:val="true"/>
        </w:rPr>
        <w:t xml:space="preserve">, </w:t>
      </w:r>
      <w:r>
        <w:rPr>
          <w:rtl w:val="true"/>
        </w:rPr>
        <w:t>ויהנה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b/>
          <w:spacing w:val="0"/>
        </w:rPr>
      </w:pPr>
      <w:r>
        <w:rPr>
          <w:b/>
          <w:spacing w:val="0"/>
        </w:rPr>
        <w:t>11</w:t>
      </w:r>
      <w:r>
        <w:rPr>
          <w:b/>
          <w:spacing w:val="0"/>
          <w:rtl w:val="true"/>
        </w:rPr>
        <w:t>.</w:t>
        <w:tab/>
      </w:r>
      <w:r>
        <w:rPr>
          <w:rStyle w:val="Strong"/>
          <w:sz w:val="28"/>
          <w:sz w:val="28"/>
          <w:rtl w:val="true"/>
        </w:rPr>
        <w:t>למקרא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החלטת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בית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המשפט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המחוזי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>לאחר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שקילת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נימוקי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הערעור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מזה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וטיעוני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המדינה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מזה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>הגעתי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לכלל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מסקנה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כי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דין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הערעור</w:t>
      </w:r>
      <w:r>
        <w:rPr>
          <w:rStyle w:val="Strong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להידחות</w:t>
      </w:r>
      <w:r>
        <w:rPr>
          <w:rStyle w:val="Strong"/>
          <w:sz w:val="28"/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b/>
          <w:spacing w:val="0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spacing w:val="0"/>
          <w:sz w:val="28"/>
        </w:rPr>
      </w:pPr>
      <w:r>
        <w:rPr>
          <w:b/>
          <w:spacing w:val="0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';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לדחייתה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sz w:val="28"/>
        </w:rPr>
      </w:pPr>
      <w:r>
        <w:rPr>
          <w:b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אחיזה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לאישום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b/>
          <w:b/>
          <w:sz w:val="28"/>
          <w:sz w:val="28"/>
          <w:rtl w:val="true"/>
        </w:rPr>
        <w:t>הלכה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מושרשת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וידועה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היא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כי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התשתית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הראייתית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צריכה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לבסס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sz w:val="28"/>
          <w:rtl w:val="true"/>
        </w:rPr>
        <w:t>"</w:t>
      </w:r>
      <w:r>
        <w:rPr>
          <w:b/>
          <w:b/>
          <w:sz w:val="28"/>
          <w:sz w:val="28"/>
          <w:rtl w:val="true"/>
        </w:rPr>
        <w:t>אחיזה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לאישום</w:t>
      </w:r>
      <w:r>
        <w:rPr>
          <w:b/>
          <w:sz w:val="28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שעתיד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נגזר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אינו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נדרש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לבחון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את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מהימנותה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ומשקלה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של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כל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ראיה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ולדקדק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בגרסאות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העדים</w:t>
      </w:r>
      <w:r>
        <w:rPr>
          <w:b/>
          <w:sz w:val="28"/>
          <w:rtl w:val="true"/>
        </w:rPr>
        <w:t xml:space="preserve">. </w:t>
      </w:r>
      <w:r>
        <w:rPr>
          <w:b/>
          <w:b/>
          <w:sz w:val="28"/>
          <w:sz w:val="28"/>
          <w:rtl w:val="true"/>
        </w:rPr>
        <w:t>די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בכך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שבית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המשפט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יתרשם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מכך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שמסכת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הראיות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שנפרשׂה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לפניו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–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אינה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sz w:val="28"/>
          <w:rtl w:val="true"/>
        </w:rPr>
        <w:t>'</w:t>
      </w:r>
      <w:r>
        <w:rPr>
          <w:b/>
          <w:b/>
          <w:sz w:val="28"/>
          <w:sz w:val="28"/>
          <w:rtl w:val="true"/>
        </w:rPr>
        <w:t>חסרת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כל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b/>
          <w:sz w:val="28"/>
          <w:sz w:val="28"/>
          <w:rtl w:val="true"/>
        </w:rPr>
        <w:t>ערך</w:t>
      </w:r>
      <w:r>
        <w:rPr>
          <w:b/>
          <w:sz w:val="28"/>
          <w:rtl w:val="true"/>
        </w:rPr>
        <w:t>' (</w:t>
      </w:r>
      <w:r>
        <w:rPr>
          <w:b/>
          <w:b/>
          <w:sz w:val="28"/>
          <w:sz w:val="28"/>
          <w:rtl w:val="true"/>
        </w:rPr>
        <w:t>ראו</w:t>
      </w:r>
      <w:r>
        <w:rPr>
          <w:b/>
          <w:sz w:val="28"/>
          <w:rtl w:val="true"/>
        </w:rPr>
        <w:t xml:space="preserve">: </w:t>
      </w:r>
      <w:hyperlink r:id="rId32"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z w:val="28"/>
            <w:u w:val="single"/>
          </w:rPr>
          <w:t>308/75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פסחוביץ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לא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449</w:t>
      </w:r>
      <w:r>
        <w:rPr>
          <w:rtl w:val="true"/>
        </w:rPr>
        <w:t xml:space="preserve">, </w:t>
      </w:r>
      <w:r>
        <w:rPr>
          <w:b/>
          <w:sz w:val="28"/>
        </w:rPr>
        <w:t>461-460</w:t>
      </w:r>
      <w:r>
        <w:rPr>
          <w:b/>
          <w:sz w:val="28"/>
          <w:rtl w:val="true"/>
        </w:rPr>
        <w:t xml:space="preserve"> (</w:t>
      </w:r>
      <w:r>
        <w:rPr>
          <w:b/>
          <w:sz w:val="28"/>
        </w:rPr>
        <w:t>1977</w:t>
      </w:r>
      <w:r>
        <w:rPr>
          <w:b/>
          <w:sz w:val="28"/>
          <w:rtl w:val="true"/>
        </w:rPr>
        <w:t xml:space="preserve">); </w:t>
      </w:r>
      <w:hyperlink r:id="rId33"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z w:val="28"/>
            <w:u w:val="single"/>
          </w:rPr>
          <w:t>318/79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אנגל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לד</w:t>
        </w:r>
      </w:hyperlink>
      <w:r>
        <w:rPr>
          <w:b/>
          <w:sz w:val="28"/>
          <w:rtl w:val="true"/>
        </w:rPr>
        <w:t>(</w:t>
      </w:r>
      <w:r>
        <w:rPr>
          <w:b/>
          <w:sz w:val="28"/>
        </w:rPr>
        <w:t>3</w:t>
      </w:r>
      <w:r>
        <w:rPr>
          <w:b/>
          <w:sz w:val="28"/>
          <w:rtl w:val="true"/>
        </w:rPr>
        <w:t xml:space="preserve">) </w:t>
      </w:r>
      <w:r>
        <w:rPr>
          <w:b/>
          <w:sz w:val="28"/>
        </w:rPr>
        <w:t>98</w:t>
      </w:r>
      <w:r>
        <w:rPr>
          <w:b/>
          <w:sz w:val="28"/>
          <w:rtl w:val="true"/>
        </w:rPr>
        <w:t xml:space="preserve"> (</w:t>
      </w:r>
      <w:r>
        <w:rPr>
          <w:b/>
          <w:sz w:val="28"/>
        </w:rPr>
        <w:t>1980</w:t>
      </w:r>
      <w:r>
        <w:rPr>
          <w:b/>
          <w:sz w:val="28"/>
          <w:rtl w:val="true"/>
        </w:rPr>
        <w:t xml:space="preserve">); </w:t>
      </w:r>
      <w:hyperlink r:id="rId34"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z w:val="28"/>
            <w:u w:val="single"/>
          </w:rPr>
          <w:t>8010/07</w:t>
        </w:r>
      </w:hyperlink>
      <w:r>
        <w:rPr>
          <w:b/>
          <w:sz w:val="28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חזיזה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b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b/>
          <w:b/>
          <w:sz w:val="28"/>
          <w:sz w:val="28"/>
          <w:rtl w:val="true"/>
        </w:rPr>
        <w:t>פסקה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b/>
          <w:sz w:val="28"/>
        </w:rPr>
        <w:t>17</w:t>
      </w:r>
      <w:r>
        <w:rPr>
          <w:b/>
          <w:sz w:val="28"/>
          <w:rtl w:val="true"/>
        </w:rPr>
        <w:t xml:space="preserve"> (</w:t>
      </w:r>
      <w:r>
        <w:rPr>
          <w:b/>
          <w:sz w:val="28"/>
        </w:rPr>
        <w:t>13.5.2009</w:t>
      </w:r>
      <w:r>
        <w:rPr>
          <w:b/>
          <w:sz w:val="28"/>
          <w:rtl w:val="true"/>
        </w:rPr>
        <w:t>) (</w:t>
      </w:r>
      <w:r>
        <w:rPr>
          <w:b/>
          <w:b/>
          <w:sz w:val="28"/>
          <w:sz w:val="28"/>
          <w:rtl w:val="true"/>
        </w:rPr>
        <w:t>להלן</w:t>
      </w:r>
      <w:r>
        <w:rPr>
          <w:b/>
          <w:sz w:val="28"/>
          <w:rtl w:val="true"/>
        </w:rPr>
        <w:t xml:space="preserve">: </w:t>
      </w:r>
      <w:r>
        <w:rPr>
          <w:b/>
          <w:b/>
          <w:sz w:val="28"/>
          <w:sz w:val="28"/>
          <w:rtl w:val="true"/>
        </w:rPr>
        <w:t>עניין</w:t>
      </w:r>
      <w:r>
        <w:rPr>
          <w:rFonts w:eastAsia="Arial TUR;Arial" w:cs="Arial TUR;Arial"/>
          <w:b/>
          <w:b/>
          <w:sz w:val="28"/>
          <w:sz w:val="28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חזיזה</w:t>
      </w:r>
      <w:r>
        <w:rPr>
          <w:rtl w:val="true"/>
        </w:rPr>
        <w:t>)</w:t>
      </w:r>
      <w:r>
        <w:rPr>
          <w:b/>
          <w:sz w:val="28"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sz w:val="28"/>
        </w:rPr>
      </w:pPr>
      <w:r>
        <w:rPr>
          <w:b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7840/01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אקווה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680</w:t>
      </w:r>
      <w:r>
        <w:rPr>
          <w:rtl w:val="true"/>
        </w:rPr>
        <w:t xml:space="preserve">, </w:t>
      </w:r>
      <w:r>
        <w:rPr/>
        <w:t>689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Cs w:val="24"/>
          <w:rtl w:val="true"/>
        </w:rPr>
        <w:t>חזיזה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sz w:val="28"/>
        </w:rPr>
      </w:pPr>
      <w:r>
        <w:rPr>
          <w:b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</w:rPr>
        <w:t>15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18"/>
          <w:sz w:val="18"/>
          <w:rtl w:val="true"/>
        </w:rPr>
        <w:t>בטרם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אפנה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לנתח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את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המצע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הראייתי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שהובא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בענייננו</w:t>
      </w:r>
      <w:r>
        <w:rPr>
          <w:sz w:val="18"/>
          <w:rtl w:val="true"/>
        </w:rPr>
        <w:t xml:space="preserve">, </w:t>
      </w:r>
      <w:r>
        <w:rPr>
          <w:sz w:val="18"/>
          <w:sz w:val="18"/>
          <w:rtl w:val="true"/>
        </w:rPr>
        <w:t>אוסיף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כי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על</w:t>
      </w:r>
      <w:r>
        <w:rPr>
          <w:sz w:val="18"/>
          <w:rtl w:val="true"/>
        </w:rPr>
        <w:t>-</w:t>
      </w:r>
      <w:r>
        <w:rPr>
          <w:sz w:val="18"/>
          <w:sz w:val="18"/>
          <w:rtl w:val="true"/>
        </w:rPr>
        <w:t>פי</w:t>
      </w:r>
      <w:r>
        <w:rPr>
          <w:rFonts w:eastAsia="Arial TUR;Arial" w:cs="Arial TUR;Arial"/>
          <w:sz w:val="18"/>
          <w:sz w:val="18"/>
          <w:rtl w:val="true"/>
        </w:rPr>
        <w:t xml:space="preserve"> </w:t>
      </w:r>
      <w:r>
        <w:rPr>
          <w:sz w:val="28"/>
          <w:sz w:val="28"/>
          <w:rtl w:val="true"/>
        </w:rPr>
        <w:t>הפרוטוקול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הברית</w:t>
      </w:r>
      <w:r>
        <w:rPr>
          <w:sz w:val="28"/>
          <w:rtl w:val="true"/>
        </w:rPr>
        <w:t xml:space="preserve">: 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מסמכים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הצהרות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או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סוגים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אחרים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של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מידע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כאמור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יהיו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קבילים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כראיה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בהליכי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הסגרה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גם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היו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נחשבים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לעדות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שמיעה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או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לא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היו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עומדים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בכללי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הראיות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החלים</w:t>
      </w:r>
      <w:r>
        <w:rPr>
          <w:rFonts w:eastAsia="Arial TUR;Arial" w:cs="Arial TUR;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במשפט</w:t>
      </w:r>
      <w:r>
        <w:rPr>
          <w:rFonts w:cs="Miriam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sz w:val="28"/>
        </w:rPr>
      </w:pPr>
      <w:r>
        <w:rPr>
          <w:b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דורמונט</w:t>
      </w:r>
      <w:r>
        <w:rPr>
          <w:rtl w:val="true"/>
        </w:rPr>
        <w:t xml:space="preserve">, </w:t>
      </w:r>
      <w:r>
        <w:rPr>
          <w:rtl w:val="true"/>
        </w:rPr>
        <w:t>ותצהיר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התצהירים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מכניסתן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חושׂפים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;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;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; </w:t>
      </w:r>
      <w:r>
        <w:rPr>
          <w:rtl w:val="true"/>
        </w:rPr>
        <w:t>לדיווח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נחשׂפים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: </w:t>
      </w:r>
      <w:r>
        <w:rPr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והחיפושׂים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לאתרו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8"/>
        </w:rPr>
      </w:pPr>
      <w:r>
        <w:rPr>
          <w:b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b/>
          <w:spacing w:val="0"/>
          <w:sz w:val="28"/>
        </w:rPr>
        <w:t>17</w:t>
      </w:r>
      <w:r>
        <w:rPr>
          <w:b/>
          <w:spacing w:val="0"/>
          <w:sz w:val="28"/>
          <w:rtl w:val="true"/>
        </w:rPr>
        <w:t>.</w:t>
      </w:r>
      <w:r>
        <w:rPr>
          <w:b/>
          <w:spacing w:val="0"/>
          <w:sz w:val="28"/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תצהיר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חיוורת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;Arial" w:cs="Arial TUR;Arial"/>
          <w:rtl w:val="true"/>
        </w:rPr>
        <w:t xml:space="preserve"> </w:t>
      </w:r>
      <w:r>
        <w:rPr/>
        <w:t>Hair Cosmetics</w:t>
      </w:r>
      <w:r>
        <w:rPr>
          <w:rtl w:val="true"/>
        </w:rPr>
        <w:t xml:space="preserve">, </w:t>
      </w:r>
      <w:r>
        <w:rPr>
          <w:rtl w:val="true"/>
        </w:rPr>
        <w:t>ולהנות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.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להשתזף</w:t>
      </w:r>
      <w:r>
        <w:rPr>
          <w:rtl w:val="true"/>
        </w:rPr>
        <w:t xml:space="preserve">, </w:t>
      </w:r>
      <w:r>
        <w:rPr>
          <w:rtl w:val="true"/>
        </w:rPr>
        <w:t>ולפתע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השיזוף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. </w:t>
      </w:r>
      <w:r>
        <w:rPr>
          <w:rtl w:val="true"/>
        </w:rPr>
        <w:t>ככלות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לאימותיהן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שאימו</w:t>
      </w:r>
      <w:r>
        <w:rPr>
          <w:rtl w:val="true"/>
        </w:rPr>
        <w:t>ת</w:t>
      </w:r>
      <w:r>
        <w:rPr>
          <w:rtl w:val="true"/>
        </w:rPr>
        <w:t>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נחשׂפו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דורמונט</w:t>
      </w:r>
      <w:r>
        <w:rPr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/>
        <w:t>18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4.6.2004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פנתה </w:t>
      </w:r>
      <w:r>
        <w:rPr>
          <w:rtl w:val="true"/>
        </w:rPr>
        <w:t>אם</w:t>
      </w:r>
      <w:r>
        <w:rPr>
          <w:rFonts w:ascii="Century" w:hAnsi="Century" w:cs="Century"/>
          <w:rtl w:val="true"/>
        </w:rPr>
        <w:t xml:space="preserve"> חברתה של המתלוננת למשטרת מחוז דורמונט ודיווחה על אשר אירע יום קודם לכן במכון היופי </w:t>
      </w:r>
      <w:r>
        <w:rPr/>
        <w:t>Hair Cosmetics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אמהּ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הועברה לבדיקה רפואית בבית חולים בפנסילבניה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המתלוננת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ומפרט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 שבוצעו בהמשך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נעצר ביום </w:t>
      </w:r>
      <w:r>
        <w:rPr>
          <w:rFonts w:cs="Century" w:ascii="Century" w:hAnsi="Century"/>
        </w:rPr>
        <w:t>5.6.2004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ושוחרר בהמשך לאחר שהפקיד ערבות בשיעור של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לא התייצב לדיונים המשפטיים שהתקיימו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זאת הושקעו מאמצי חיפוש רבים לצורך איתורו והבאתו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בחודש דצמבר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מנהל דף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פייסבוק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בעברית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הונח כי נמלט למדינת ישראל באמצעות דרכונו הישראלי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דורמונט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ותצהיר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תצהירו של התובע מגלה השתלשלות עובדתית דומה לזו המתוארת בתצהיר המתלוננת ובתצהיר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דוח משטרת דורמונט מציג את ניסיונות החיפושׂ אחר המערער מיום שחרורו בערבות ועד למועד שבו נודע לרשויות כי הוא שוהה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התצהיר המשלים של החוקר מלמד על חקירת המערער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בחקירתו הכחיש כי הכיר את המתלוננת ואת חברתה מביקורים קודמים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הבחין בסימנים על צווארה של אחת הבנות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והעלה השערה כי סימנים אלה הם תוצאה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נשיכות מציצה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בשל כך הוא הציע לבנות שיזוף אשר יאפשר להן להסתיר אותם סימנים</w:t>
      </w:r>
      <w:r>
        <w:rPr>
          <w:rFonts w:cs="Century" w:ascii="Century" w:hAnsi="Century"/>
          <w:rtl w:val="true"/>
        </w:rPr>
        <w:t xml:space="preserve">. </w:t>
        <w:tab/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אמת נכון הדבר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בקשת ההסגרה הסתפקה בהבאתם של התצהירים המפורטים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נתמכה בראיות שנאספו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בזמן אמת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לא הובאו הראיות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אותנטיות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גרסת המתלוננת משנת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חקירת המערער במשטרה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תוצאות בדיקתה הרפואית של המתלוננת יומיים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דומה כי כל אותו מארג ראייתי שנאסף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מחויב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הליך ההסגרה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בחינת בקשת ההסגרה נדרש בית המשפט לשאלה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האם הבקשה ונספחיה מבססים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אחיזה לאישום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במקרה שלפנינו דומה כי המענה לשאלה זו הוא בחיוב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סבורני כי התצהירים שצורפו לבקשה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הפרת תנאי הערבות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והימלטותו מאימת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מבססים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אחיזה לאישום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כמו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הראיות שנסקרו לעיל הן חסרות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כנטען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ראיתי צורך להידרש בפרטוּת לטענות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צירופן של ראיות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מזמן אמת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מלמד כי הן אבדו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כי צירוף הראיות לבקשה נעשה באופן סלקטיבי ומכוון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אלה נטענו בעלמא וללא תימוכין כלשהם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אציין את הבהרת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בשיטה האמריקאית נגבים לעתים תצהירים מאת עדים מרכזיים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ערב הגשת בקשת 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אף שבחומר הראיות קיימות עדויות קודמות שנגבו מאותם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לגופו של 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דעתי כדעתו של בית המשפט המחוזי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מקומן של טענות אלה להתברר במסגרת ההליך הפלילי העיקרי ולא בהליך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לכך שהמדינה מבקשת ההסגרה אינה מחויבת לצרף את כל הראיות שמצויות ברשותה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מקדיש התייחסות נרחבת בטיעוניו לכך שסעיף העבירה שיוחס לו בתחילה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שוּנה בשנת 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להסיק משינוי זה שתי מסקנות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הגרסה שנמסרה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כבושה ומתפתחת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תיקון כתב האישום בשלב מאוחר יותר נועד רק כדי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ליצור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עילה לבקשת ההסגרה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הנוגע לחלקו הראשון של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מקומה של טענה זו להתברר לפני הערכאה הדיונית אשר תשב על המדוכה ותברר את טיב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משקלן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לחלקו השני של הטיעון אזכיר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הליך חקירה הוא הליך דינמי ומתפתח אשר מניב לא אחת ממצאים חדשים עם התקדמותו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נקבעו למשל במשפטנו הוראות גמישות המאפשרות לתביעה לתקן את כתב האישום גם לאחר שכבר החל ההליך המשפטי נגד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91-92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כתב האישום בעניינו של המערער תוקן כבר בשנת 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שהמידע בדבר הימלטותו למדינת ישראל נחשׂף רק בשנת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נראה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בסיס של ממש לטענה לפיה שינוי סעיף העבירה נעשה במטרה לקדם את בקשת ההסגרה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</w:p>
    <w:p>
      <w:pPr>
        <w:pStyle w:val="Ruller41"/>
        <w:spacing w:before="0" w:after="0"/>
        <w:ind w:end="0"/>
        <w:contextualSpacing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ascii="Century" w:hAnsi="Century" w:cs="Century"/>
          <w:rtl w:val="true"/>
        </w:rPr>
        <w:t xml:space="preserve"> נקבעו מספר סייגים להסגרתו של אדם למדינה זרה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הסייג הרלוונטי לענייננו מעוגן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מבוקש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למדינה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המבקשת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באחד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מאלה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היענות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לבקשת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בתקנת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באינטרס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חיוני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".</w:t>
      </w:r>
    </w:p>
    <w:p>
      <w:pPr>
        <w:pStyle w:val="Ruller51"/>
        <w:spacing w:lineRule="auto" w:line="48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הפסיקה קבעה כי בנסיבות חריגות ויוצאות 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יכול שיהוי שנפל בהליכי הסגרה לעלות כדי פגיעה בתקנת הציבור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2521/03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סירקיס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337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347-346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6914/04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פיינברג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פיינברג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ימנע מהכרזה על פלוני כבר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בשל פגיעה בתקנת הציבור הנובעת משיהוי בהגשת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אם יוכח כי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שהסגרתו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3439/04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בזק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בוזגלו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294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303-302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בוזגלו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spacing w:lineRule="auto" w:line="240"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ביסוד תקנת הציבור אינטרסים ושיקולים כבדי משקל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העמדת עבריינים לדין על מעשי העבירה שביצעו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 הפיכת מדינת ישראל למקלט לעבריינים המבקשים להימלט מאימת הדין</w:t>
      </w:r>
      <w:r>
        <w:rPr>
          <w:rFonts w:cs="Century" w:ascii="Century" w:hAnsi="Century"/>
          <w:rtl w:val="true"/>
        </w:rPr>
        <w:t>; '</w:t>
      </w:r>
      <w:r>
        <w:rPr>
          <w:rFonts w:ascii="Century" w:hAnsi="Century" w:cs="Century"/>
          <w:rtl w:val="true"/>
        </w:rPr>
        <w:t>לא יֵצא חוטא נשכר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חוטא המבקש להסתתר מאחורי טענת השיהוי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נוהג במשׂוּרה במניעת הסגרה בשל שיהוי החוסה תחת תקנת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תקנת הציבור מבקשת להגן על ערכים שונים שחלקם צרים זה לזה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פיינברג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 xml:space="preserve">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3915/15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חוות 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6.9.2015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טוען כי הבקשה להסגרתו הוגשה בשיהוי ניכר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שיהוי על סף ההתיישנות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חלוף הזמן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יקשה ללא ספק על בירור האמת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יפגע בזכויותיו כנאשם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ובקיומו של 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לזקוף לחובתו את השיהוי בהגשת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שלדבריו הוא כלל לא נמלט מאימת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מעולם לא ניסה להסתיר את עובדת שהייתו במדינת ישראל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שינה את שמו ואת מספר זהותו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גורס המערער כי הרשויות בארה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גילו כי הוא נמצא בישראל כבר בשנת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וחרף זאת בקשת ההסגרה הוגשה למשרדי פרקליטות המדינה רק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 בכך כדי להביא לדחיית הבקשה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ספק כי נפל שיהוי בהליך הסגרתו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שיהוי שכזה עולה כדי פגיעה בתקנת הציבור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יש מידה מסוימת של צדק בטענות המערער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שהעיר בית המשפט המחוזי ראוי היה שהרשויות בארה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תפעלנה בקצב מהיר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אל הטענה לפיה השיהוי שנוצר יקשה על המערער בניהול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להתייחס בכובד 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כל השנים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בנסיבות העניין יש מקום לקבוע כי הסגרתו של המערער עולה עד כדי פגיעה בתקנת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בפגיעה קשה בתחושות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המוסר וההגינות של הציבור הישראלי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בפגיעה שעושה את ההסגרה למעשה בלתי צודק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בוזגלו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303-302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פיינברג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יש לזכור כי המערער בחר להימלט מארה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לישראל באמצעות דרכונו הישראלי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הפר את תנאי שחרורו בערובה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 התייצב לדיונים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בצדק 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למערער להלין אלא על 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אילו היה מקיים את התחייבותו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אילו נמנע מלהפר את תנאי שחרורו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להניח כי עניינו היה מתברר בבית המשפט סמוך לאחר סיום חקירתו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 אציין כי בפני המערער פתוחה הדרך לשטוח את טענותיו בעניין השיהוי לפני הערכאה שתדון בהליך הפלילי העיקרי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לקבל את הטענה לפיה הרשויות בארה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היו יכולות לאתר את המערער בשלבים מוקדמים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טענה זו אינה מבוססת 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התצהירים שצורפו לבקשה ניתן ללמוד על מאמצי חיפוש ממשיים שהושקעו במהלך השנים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הרשויות בארה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לצורך איתורו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והבאתו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תהליך החיפוש היה 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ונמשך זמן 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כן אין להתעלם מן העובדה שהליך ההסגרה מטיבו ולפי טבעו הוא הליך מורכב וצורך זמן ומשאבים רבים כשלעצמו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בנוסף טען המערער כי יש לדחות את בקשת ההסגרה מתוקף דוקטרינת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הגנה מן הצדק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נימוקיו שביסוד טענה זו דומים לאלה שנטענו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ידו לגבי טענת השיהוי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לדב</w:t>
      </w:r>
      <w:r>
        <w:rPr>
          <w:rtl w:val="true"/>
        </w:rPr>
        <w:t>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ישנה פגיעה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בשיקולים ובאינטרסים השונים החובקים את המושג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הגנה מן הצדק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פגיעה שיש בה כדי להצדיק את דחיית בקשת ההסגרה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ascii="Century" w:hAnsi="Century" w:cs="Century"/>
          <w:rtl w:val="true"/>
        </w:rPr>
        <w:t xml:space="preserve"> 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</w:p>
    <w:p>
      <w:pPr>
        <w:pStyle w:val="Ruller41"/>
        <w:spacing w:lineRule="auto" w:line="24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שעבר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ובעת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עשיית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אזרח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ותושב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התקיימו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המבקשת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הסגרתו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התחייבה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מראש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להעבירו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בחזרה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נשיאת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יורשע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בדין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ויוטל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".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נמצאנו למדים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הסגרתו של אזרח ותושב מדינת ישראל תהא מותנית בהתחייבותה של המדינה המסגירה כי ככל שיורשע וייגזר עליו עונש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יוחזר למדינת ישראל לצורך ריצוי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בסעיף מודגש כי הוא יוחל רק על מי שהיה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אזרח ותושב מדינת ישראל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מחלוקת על כך שבעת ביצוע העבירה היה המערער אזרח 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היה תושב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 לכך הוא אינו נופל בגדרי הסעיף שדורש כאמור שני תנאים מצטברים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אזרחות ותושבות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 כי המחוקק נתן את הדעת על סוגיה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שקילת הדברים יצר את ההסדר שנקבע בסעיף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איזון זה הוא יחודי להליכי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ועולה בקנה אחד עם התחייבויותיה של מדינת ישראל באמנות ההסגרה שהיא צד להן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בבסיס הסעיף עומדת התכלית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יש למנוע מצב שבו עבריין יתחמק מן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ימלט לישראל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ויקבע בה את מושבו במטרה לזכות בהגנה הניתנת לאזרח ותושב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נמצא לנו אפוא כי דין טענותיו של המערער במישור זה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הלאום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היהודי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הלאום</w:t>
      </w:r>
      <w:r>
        <w:rPr>
          <w:rtl w:val="true"/>
        </w:rPr>
        <w:t xml:space="preserve">),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יהדותו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הלאום</w:t>
      </w:r>
      <w:r>
        <w:rPr>
          <w:rtl w:val="true"/>
        </w:rPr>
        <w:t xml:space="preserve">, </w:t>
      </w:r>
      <w:r>
        <w:rPr>
          <w:rtl w:val="true"/>
        </w:rPr>
        <w:t>לכשתכשר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לנשיאת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אזרחותו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האסיר</w:t>
        </w:r>
      </w:hyperlink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. 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</w:t>
      </w:r>
      <w:r>
        <w:rPr>
          <w:rtl w:val="true"/>
        </w:rPr>
        <w:t>לחברַי</w:t>
      </w:r>
      <w:r>
        <w:rPr>
          <w:rFonts w:ascii="Century" w:hAnsi="Century" w:cs="Century"/>
          <w:rtl w:val="true"/>
        </w:rPr>
        <w:t xml:space="preserve">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 על כנה את החלטת בית המשפט המחוזי שהכריז על המערער כבר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לארה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b/>
          <w:spacing w:val="0"/>
          <w:sz w:val="28"/>
          <w:rtl w:val="true"/>
        </w:rPr>
        <w:tab/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80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18024900</w:t>
      </w:r>
      <w:r>
        <w:rPr>
          <w:sz w:val="16"/>
          <w:rtl w:val="true"/>
        </w:rPr>
        <w:t>_</w:t>
      </w:r>
      <w:r>
        <w:rPr>
          <w:sz w:val="16"/>
        </w:rPr>
        <w:t>O11.doc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54678313-2490/18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;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5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2490/18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משה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ורנו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eastAsia="Times New Roman;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;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;Times New Roman" w:hAnsi="Times New Roman;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4z3">
    <w:name w:val="WW8Num14z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CharChar2">
    <w:name w:val=" Char Char2"/>
    <w:qFormat/>
    <w:rPr>
      <w:rFonts w:cs="David;Times New Roman"/>
      <w:szCs w:val="24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  <w:sz w:val="26"/>
      <w:szCs w:val="26"/>
    </w:rPr>
  </w:style>
  <w:style w:type="character" w:styleId="Strong">
    <w:name w:val="Strong"/>
    <w:qFormat/>
    <w:rPr>
      <w:rFonts w:cs="FrankRuehl"/>
      <w:b w:val="false"/>
      <w:bCs w:val="false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qFormat/>
    <w:rPr>
      <w:rFonts w:ascii="Times New Roman;Times New Roman" w:hAnsi="Times New Roman;Times New Roman" w:cs="Times New Roman;Times New Roman"/>
      <w:sz w:val="32"/>
      <w:szCs w:val="32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723" TargetMode="External"/><Relationship Id="rId3" Type="http://schemas.openxmlformats.org/officeDocument/2006/relationships/hyperlink" Target="http://www.nevo.co.il/law/71723/1a" TargetMode="External"/><Relationship Id="rId4" Type="http://schemas.openxmlformats.org/officeDocument/2006/relationships/hyperlink" Target="http://www.nevo.co.il/law/71723/1a.a" TargetMode="External"/><Relationship Id="rId5" Type="http://schemas.openxmlformats.org/officeDocument/2006/relationships/hyperlink" Target="http://www.nevo.co.il/law/71723/1a.a.2" TargetMode="External"/><Relationship Id="rId6" Type="http://schemas.openxmlformats.org/officeDocument/2006/relationships/hyperlink" Target="http://www.nevo.co.il/law/71723/2b.a.8" TargetMode="External"/><Relationship Id="rId7" Type="http://schemas.openxmlformats.org/officeDocument/2006/relationships/hyperlink" Target="http://www.nevo.co.il/law/71723/9.a" TargetMode="External"/><Relationship Id="rId8" Type="http://schemas.openxmlformats.org/officeDocument/2006/relationships/hyperlink" Target="http://www.nevo.co.il/law/157298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91" TargetMode="External"/><Relationship Id="rId11" Type="http://schemas.openxmlformats.org/officeDocument/2006/relationships/hyperlink" Target="http://www.nevo.co.il/law/74903/92" TargetMode="External"/><Relationship Id="rId12" Type="http://schemas.openxmlformats.org/officeDocument/2006/relationships/hyperlink" Target="http://www.nevo.co.il/law/74386" TargetMode="External"/><Relationship Id="rId13" Type="http://schemas.openxmlformats.org/officeDocument/2006/relationships/hyperlink" Target="http://www.nevo.co.il/law/71723/1a" TargetMode="External"/><Relationship Id="rId14" Type="http://schemas.openxmlformats.org/officeDocument/2006/relationships/hyperlink" Target="http://www.nevo.co.il/law/71723/9.a" TargetMode="External"/><Relationship Id="rId15" Type="http://schemas.openxmlformats.org/officeDocument/2006/relationships/hyperlink" Target="http://www.nevo.co.il/law/71723/1a.a" TargetMode="External"/><Relationship Id="rId16" Type="http://schemas.openxmlformats.org/officeDocument/2006/relationships/hyperlink" Target="http://www.nevo.co.il/law/71723/2b.a.8" TargetMode="External"/><Relationship Id="rId17" Type="http://schemas.openxmlformats.org/officeDocument/2006/relationships/hyperlink" Target="http://www.nevo.co.il/law/71723/1a.a.2" TargetMode="External"/><Relationship Id="rId18" Type="http://schemas.openxmlformats.org/officeDocument/2006/relationships/hyperlink" Target="http://www.nevo.co.il/law/157298" TargetMode="External"/><Relationship Id="rId19" Type="http://schemas.openxmlformats.org/officeDocument/2006/relationships/hyperlink" Target="http://www.nevo.co.il/law/71723" TargetMode="External"/><Relationship Id="rId20" Type="http://schemas.openxmlformats.org/officeDocument/2006/relationships/hyperlink" Target="http://www.nevo.co.il/law/71723/1a.a" TargetMode="External"/><Relationship Id="rId21" Type="http://schemas.openxmlformats.org/officeDocument/2006/relationships/hyperlink" Target="http://www.nevo.co.il/law/71723" TargetMode="External"/><Relationship Id="rId22" Type="http://schemas.openxmlformats.org/officeDocument/2006/relationships/hyperlink" Target="http://www.nevo.co.il/law/74386" TargetMode="External"/><Relationship Id="rId23" Type="http://schemas.openxmlformats.org/officeDocument/2006/relationships/hyperlink" Target="http://www.nevo.co.il/law/71723/1a.a" TargetMode="External"/><Relationship Id="rId24" Type="http://schemas.openxmlformats.org/officeDocument/2006/relationships/hyperlink" Target="http://www.nevo.co.il/law/71723" TargetMode="External"/><Relationship Id="rId25" Type="http://schemas.openxmlformats.org/officeDocument/2006/relationships/hyperlink" Target="http://www.nevo.co.il/law/71723/9.a" TargetMode="External"/><Relationship Id="rId26" Type="http://schemas.openxmlformats.org/officeDocument/2006/relationships/hyperlink" Target="http://www.nevo.co.il/law/71723/1a.a" TargetMode="External"/><Relationship Id="rId27" Type="http://schemas.openxmlformats.org/officeDocument/2006/relationships/hyperlink" Target="http://www.nevo.co.il/law/71723/1a.a" TargetMode="External"/><Relationship Id="rId28" Type="http://schemas.openxmlformats.org/officeDocument/2006/relationships/hyperlink" Target="http://www.nevo.co.il/law/71723" TargetMode="External"/><Relationship Id="rId29" Type="http://schemas.openxmlformats.org/officeDocument/2006/relationships/hyperlink" Target="http://www.nevo.co.il/law/157298" TargetMode="External"/><Relationship Id="rId30" Type="http://schemas.openxmlformats.org/officeDocument/2006/relationships/hyperlink" Target="http://www.nevo.co.il/law/71723/1a.a" TargetMode="External"/><Relationship Id="rId31" Type="http://schemas.openxmlformats.org/officeDocument/2006/relationships/hyperlink" Target="http://www.nevo.co.il/law/71723/1a" TargetMode="External"/><Relationship Id="rId32" Type="http://schemas.openxmlformats.org/officeDocument/2006/relationships/hyperlink" Target="http://www.nevo.co.il/case/17918473" TargetMode="External"/><Relationship Id="rId33" Type="http://schemas.openxmlformats.org/officeDocument/2006/relationships/hyperlink" Target="http://www.nevo.co.il/case/17918831" TargetMode="External"/><Relationship Id="rId34" Type="http://schemas.openxmlformats.org/officeDocument/2006/relationships/hyperlink" Target="http://www.nevo.co.il/case/6118525" TargetMode="External"/><Relationship Id="rId35" Type="http://schemas.openxmlformats.org/officeDocument/2006/relationships/hyperlink" Target="http://www.nevo.co.il/case/6114201" TargetMode="External"/><Relationship Id="rId36" Type="http://schemas.openxmlformats.org/officeDocument/2006/relationships/hyperlink" Target="http://www.nevo.co.il/law/74903/91;92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1723" TargetMode="External"/><Relationship Id="rId39" Type="http://schemas.openxmlformats.org/officeDocument/2006/relationships/hyperlink" Target="http://www.nevo.co.il/law/71723/2b.a.8" TargetMode="External"/><Relationship Id="rId40" Type="http://schemas.openxmlformats.org/officeDocument/2006/relationships/hyperlink" Target="http://www.nevo.co.il/case/5838050" TargetMode="External"/><Relationship Id="rId41" Type="http://schemas.openxmlformats.org/officeDocument/2006/relationships/hyperlink" Target="http://www.nevo.co.il/case/6089692" TargetMode="External"/><Relationship Id="rId42" Type="http://schemas.openxmlformats.org/officeDocument/2006/relationships/hyperlink" Target="http://www.nevo.co.il/case/5896210" TargetMode="External"/><Relationship Id="rId43" Type="http://schemas.openxmlformats.org/officeDocument/2006/relationships/hyperlink" Target="http://www.nevo.co.il/case/20348052" TargetMode="External"/><Relationship Id="rId44" Type="http://schemas.openxmlformats.org/officeDocument/2006/relationships/hyperlink" Target="http://www.nevo.co.il/law/71723/1a" TargetMode="External"/><Relationship Id="rId45" Type="http://schemas.openxmlformats.org/officeDocument/2006/relationships/hyperlink" Target="http://www.nevo.co.il/law/71723/1a.a.2" TargetMode="External"/><Relationship Id="rId46" Type="http://schemas.openxmlformats.org/officeDocument/2006/relationships/hyperlink" Target="http://www.nevo.co.il/law/71723" TargetMode="External"/><Relationship Id="rId47" Type="http://schemas.openxmlformats.org/officeDocument/2006/relationships/hyperlink" Target="http://www.nevo.co.il/law/71723/1a.a.2" TargetMode="External"/><Relationship Id="rId48" Type="http://schemas.openxmlformats.org/officeDocument/2006/relationships/hyperlink" Target="http://www.nevo.co.il/law/157298" TargetMode="External"/><Relationship Id="rId49" Type="http://schemas.openxmlformats.org/officeDocument/2006/relationships/hyperlink" Target="http://www.nevo.co.il/law/71723" TargetMode="External"/><Relationship Id="rId50" Type="http://schemas.openxmlformats.org/officeDocument/2006/relationships/hyperlink" Target="http://www.nevo.co.il/law/71723/1a.a" TargetMode="External"/><Relationship Id="rId51" Type="http://schemas.openxmlformats.org/officeDocument/2006/relationships/hyperlink" Target="http://www.nevo.co.il/law/71723" TargetMode="External"/><Relationship Id="rId52" Type="http://schemas.openxmlformats.org/officeDocument/2006/relationships/hyperlink" Target="http://www.nevo.co.il/law/74386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2019-01-09T11:17:00Z</dcterms:created>
  <dc:creator> </dc:creator>
  <dc:description/>
  <cp:keywords/>
  <dc:language>en-IL</dc:language>
  <cp:lastModifiedBy>orly</cp:lastModifiedBy>
  <cp:lastPrinted>2019-01-02T11:35:00Z</cp:lastPrinted>
  <dcterms:modified xsi:type="dcterms:W3CDTF">2019-01-09T11:17:00Z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ג'ורנו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17918473;17918831;6118525;6114201;5838050;6089692;5896210;20348052</vt:lpwstr>
  </property>
  <property fmtid="{D5CDD505-2E9C-101B-9397-08002B2CF9AE}" pid="9" name="CITY">
    <vt:lpwstr/>
  </property>
  <property fmtid="{D5CDD505-2E9C-101B-9397-08002B2CF9AE}" pid="10" name="DATE">
    <vt:lpwstr>20190108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ברון;ע' גרוסקופף</vt:lpwstr>
  </property>
  <property fmtid="{D5CDD505-2E9C-101B-9397-08002B2CF9AE}" pid="14" name="LAWLISTTMP1">
    <vt:lpwstr>71723/001a.a:5;009.a;001a:2;002b.a.8;001a.a.2:2</vt:lpwstr>
  </property>
  <property fmtid="{D5CDD505-2E9C-101B-9397-08002B2CF9AE}" pid="15" name="LAWLISTTMP2">
    <vt:lpwstr>157298:2</vt:lpwstr>
  </property>
  <property fmtid="{D5CDD505-2E9C-101B-9397-08002B2CF9AE}" pid="16" name="LAWLISTTMP3">
    <vt:lpwstr>74903/091;092</vt:lpwstr>
  </property>
  <property fmtid="{D5CDD505-2E9C-101B-9397-08002B2CF9AE}" pid="17" name="LAWLISTTMP4">
    <vt:lpwstr>74386</vt:lpwstr>
  </property>
  <property fmtid="{D5CDD505-2E9C-101B-9397-08002B2CF9AE}" pid="18" name="LAWYER">
    <vt:lpwstr>מתן יקיר;אביגדור פלדמן;תומר נוה;ימיה אברמוביץ'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הסגרה</vt:lpwstr>
  </property>
  <property fmtid="{D5CDD505-2E9C-101B-9397-08002B2CF9AE}" pid="30" name="NOSE110">
    <vt:lpwstr/>
  </property>
  <property fmtid="{D5CDD505-2E9C-101B-9397-08002B2CF9AE}" pid="31" name="NOSE12">
    <vt:lpwstr>הסגרה</vt:lpwstr>
  </property>
  <property fmtid="{D5CDD505-2E9C-101B-9397-08002B2CF9AE}" pid="32" name="NOSE13">
    <vt:lpwstr>הסגרה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28;28;28</vt:lpwstr>
  </property>
  <property fmtid="{D5CDD505-2E9C-101B-9397-08002B2CF9AE}" pid="40" name="NOSE21">
    <vt:lpwstr>הכרזה כבר-הסגרה</vt:lpwstr>
  </property>
  <property fmtid="{D5CDD505-2E9C-101B-9397-08002B2CF9AE}" pid="41" name="NOSE210">
    <vt:lpwstr/>
  </property>
  <property fmtid="{D5CDD505-2E9C-101B-9397-08002B2CF9AE}" pid="42" name="NOSE22">
    <vt:lpwstr>סייגים להסגרה</vt:lpwstr>
  </property>
  <property fmtid="{D5CDD505-2E9C-101B-9397-08002B2CF9AE}" pid="43" name="NOSE23">
    <vt:lpwstr>סייגים להסגרה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605;610;610</vt:lpwstr>
  </property>
  <property fmtid="{D5CDD505-2E9C-101B-9397-08002B2CF9AE}" pid="51" name="NOSE31">
    <vt:lpwstr>הראיות הנדרשות</vt:lpwstr>
  </property>
  <property fmtid="{D5CDD505-2E9C-101B-9397-08002B2CF9AE}" pid="52" name="NOSE310">
    <vt:lpwstr/>
  </property>
  <property fmtid="{D5CDD505-2E9C-101B-9397-08002B2CF9AE}" pid="53" name="NOSE32">
    <vt:lpwstr>תקנת הציבור</vt:lpwstr>
  </property>
  <property fmtid="{D5CDD505-2E9C-101B-9397-08002B2CF9AE}" pid="54" name="NOSE33">
    <vt:lpwstr>תושבות ישראלית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4203;4221;4220</vt:lpwstr>
  </property>
  <property fmtid="{D5CDD505-2E9C-101B-9397-08002B2CF9AE}" pid="62" name="PADIDATE">
    <vt:lpwstr>20190109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2490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410120190108</vt:lpwstr>
  </property>
  <property fmtid="{D5CDD505-2E9C-101B-9397-08002B2CF9AE}" pid="72" name="TYPE_N_DATE">
    <vt:lpwstr>41020190108</vt:lpwstr>
  </property>
  <property fmtid="{D5CDD505-2E9C-101B-9397-08002B2CF9AE}" pid="73" name="VOLUME">
    <vt:lpwstr/>
  </property>
  <property fmtid="{D5CDD505-2E9C-101B-9397-08002B2CF9AE}" pid="74" name="WORDNUMPAGES">
    <vt:lpwstr>14</vt:lpwstr>
  </property>
</Properties>
</file>