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2506/20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>
          <w:trHeight w:val="485" w:hRule="atLeast"/>
        </w:trPr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עדן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5.3.2020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17853-12-18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4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11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15.12.2021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rtl w:val="true"/>
              </w:rPr>
              <w:t xml:space="preserve">      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פורר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סראחנה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]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64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דחה את ערעור המערער על עונש בן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הפעלת מאסרים מותנים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הרשעתו בעבירות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איומים והפקרה אחרי פגיעה כלפי אשתו לשעבר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חומרת מעשי המערער ועל הצורך בענישה מחמירה בגינם ופסק כי אין בטענות המערער כל הצדקה להתחשבות לקולא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שנגזר על המערער מבטא באופן הולם את חומרת המעשים המיוחסים לו ואין מדובר בחריגה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אלימות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בביצוע עבירות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איומים והפקרה אחרי פגיעה כלפי המתלוננת – אשתו לשעבר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על גזר דינו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בו הושתו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הפעלת שלושה מאסרים מותנים באופן שבסך הכול ירצה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מאסרים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פיצוי למתלוננת בסך </w:t>
      </w:r>
      <w:r>
        <w:rPr>
          <w:rFonts w:cs="Times New Roman" w:ascii="Times New Roman" w:hAnsi="Times New Roman"/>
          <w:spacing w:val="0"/>
          <w:sz w:val="24"/>
          <w:szCs w:val="26"/>
        </w:rPr>
        <w:t>100,000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ופסילה מלקבל או מלהחזיק רישיון נהיגה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מינץ ובהסכמת המשנה לנשיאה הנדל והשופט 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העבירות בהן הורשע המערער חמורות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וחומרתן אף מתעצמת בשים לב לנסיבות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עשה שימוש אלים ברכבו בכוונה לגרום למתלוננת חבלה 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שהבחין במתלוננת צועדת ברחוב הוא סטה מנתיב נסיעתו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חצה את נתיב הנסיעה הנגדי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עלה על המדרכה בה צעדה המתלוננת ופגע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 הפגיעה נגרמו לה חבלות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הותיר את המתלוננת בזירת התאונה לבדה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במעשים מעין אלה טמונה חומרה 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 מעשי המערער מתעצמת על רקע העובדה שהמעשים הופנו כלפי אם שבעת ילדיו ומי שהייתה בת זוגו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כבר נפסק אודות החומרה הרבה הטמונה בעבירות אלימות בין בני זוג ועל הצורך בענישה מחמירה הנותנת ביטוי לסלידה מעבירות מעין אלו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גם במקרים שבהם מדובר בבני זוג שנפרדו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האמור יש להוסיף את עברו הפלילי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שכולל בין היתר שימוש ברכבו ככלי לפגיעה במתכוון בקרבנותיו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בטענות המערער בדבר הנסיבות הקשורות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להצדיק התחשבות בו בעת גזירת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ניתן להתייחס לאירוע המתואר באישום השני בו פגע המערער במתלוננת עם רכבו כאל אירוע בלתי מתוכנן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יום אחד בלבד לפי ביצוע המעשים פגש המערער במתלוננת ברחוב ואיים עליה כי אם יראה אותה ברחוב פעם נוספת הוא יהרוג אותה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שבאורח נס לא נגרמו למתלוננת נזקים פיזיים חמורים יותר אינה מאיינת את החומרה הטמונה במעשיו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מה גם שנגרמו למתלוננת גם נזקים נפשיים בלתי מבוטלים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המערער כי היה מקום ליתן משקל לכך שעבירות האיומים בוצעו באמצעות מסרונים או טלפון ושלא היה מימוש או ניסיון מימוש של איומים אלה דינה דחייה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איומים מתגבשות אף ללא מימוש של האיומים או ניסיון לממשם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באופן ביצוע האיומים כדי להפחית מחומרת המעשים בכללותם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טענות המערער לעניין קיומן של נסיבות חיצוניות לעבירות אשר מצדיקות לשיטתו התחשבות לקולא בעת גזירת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המערער כי היה מקום ליתן משקל לעובדה שמאז האירועים מושא האישום השני ועד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קשר בינו לבין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לפי האישום הרביעי והחמישי המערער לא חדל ממעשיו והמשיך לאיים על המתלוננת דרך אַחֶיה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למצבו הרפואי של המערער ניתן משקל משמעותי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עת הופחתה שנה מעונש המאסר בפועל ברף העליון של מתחם הענישה שהיה ראוי להשית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עצם העובדה שלמערער עבר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לרבות עבירות תקיפת המתלוננת ואיומים שבעקבותיהן ריצה עונש מאסר בן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מהווה נסיבה לקולא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אם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אף כי ניתוק משפחתי אינו דבר קל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שנגזר על המערער מבטא באופן הולם את חומרת המעשים המיוחסים לו ואין מדובר בחריגה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להתערבות בתקופת פסילת רישיון הנהיגה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לא מדובר בתקופה החורגת מהנהוג באופן המצדיק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עדן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5.3.2020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17853-12-18</w:t>
        </w:r>
      </w:hyperlink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ובהמלצתנו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נגד המערער הוגש כתב אישום הכולל חמישה אישומים</w:t>
      </w:r>
      <w:r>
        <w:rPr>
          <w:rtl w:val="true"/>
        </w:rPr>
        <w:t xml:space="preserve">. </w:t>
      </w:r>
      <w:r>
        <w:rPr>
          <w:rtl w:val="true"/>
        </w:rPr>
        <w:t xml:space="preserve">במסגרת הכרעת הדין מיום </w:t>
      </w:r>
      <w:r>
        <w:rPr/>
        <w:t>3.12.2019</w:t>
      </w:r>
      <w:r>
        <w:rPr>
          <w:rtl w:val="true"/>
        </w:rPr>
        <w:t xml:space="preserve"> </w:t>
      </w:r>
      <w:r>
        <w:rPr>
          <w:rtl w:val="true"/>
        </w:rPr>
        <w:t>הורה בית המשפט המחוזי על זיכוי המערער מחמת הספק מהעבירות שיוחסו לו במסגרת האישום הראשון</w:t>
      </w:r>
      <w:r>
        <w:rPr>
          <w:rtl w:val="true"/>
        </w:rPr>
        <w:t xml:space="preserve">, </w:t>
      </w:r>
      <w:r>
        <w:rPr>
          <w:rtl w:val="true"/>
        </w:rPr>
        <w:t>ועל הרשעתו בעבירות שיוחסו לו ביתר האישומים</w:t>
      </w:r>
      <w:r>
        <w:rPr>
          <w:rtl w:val="true"/>
        </w:rPr>
        <w:t xml:space="preserve">. </w:t>
      </w:r>
      <w:r>
        <w:rPr>
          <w:rtl w:val="true"/>
        </w:rPr>
        <w:t>אעמוד אפוא להלן על עיקרי העובדות המתוארות באישומים בהם הורשע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 והמתלוננת היו נשואים משנת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 xml:space="preserve">ועד שלהי שנת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 xml:space="preserve">ולהם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 xml:space="preserve">על פי עובדות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1.4.2018</w:t>
      </w:r>
      <w:r>
        <w:rPr>
          <w:rtl w:val="true"/>
        </w:rPr>
        <w:t xml:space="preserve">, </w:t>
      </w:r>
      <w:r>
        <w:rPr>
          <w:rtl w:val="true"/>
        </w:rPr>
        <w:t>בעת שנסע המערער ברכבו בישוב כסיפה</w:t>
      </w:r>
      <w:r>
        <w:rPr>
          <w:rtl w:val="true"/>
        </w:rPr>
        <w:t xml:space="preserve">, </w:t>
      </w:r>
      <w:r>
        <w:rPr>
          <w:rtl w:val="true"/>
        </w:rPr>
        <w:t>הבחין במתלוננת ההולכת ברחוב</w:t>
      </w:r>
      <w:r>
        <w:rPr>
          <w:rtl w:val="true"/>
        </w:rPr>
        <w:t xml:space="preserve">. </w:t>
      </w:r>
      <w:r>
        <w:rPr>
          <w:rtl w:val="true"/>
        </w:rPr>
        <w:t xml:space="preserve">המערער עצר ליד המתלוננת ואיים עליה כי </w:t>
      </w:r>
      <w:r>
        <w:rPr>
          <w:rtl w:val="true"/>
        </w:rPr>
        <w:t>"</w:t>
      </w:r>
      <w:r>
        <w:rPr>
          <w:rtl w:val="true"/>
        </w:rPr>
        <w:t>אם אני רואה אותך ברחוב אני הורג אותך</w:t>
      </w:r>
      <w:r>
        <w:rPr>
          <w:rtl w:val="true"/>
        </w:rPr>
        <w:t xml:space="preserve">". </w:t>
      </w:r>
      <w:r>
        <w:rPr>
          <w:rtl w:val="true"/>
        </w:rPr>
        <w:t>למחרת בבוקר שוב נסע המערער ברכבו והוא הבחין במתלוננת צועדת ברחוב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סטה עם רכבו מנתיבו</w:t>
      </w:r>
      <w:r>
        <w:rPr>
          <w:rtl w:val="true"/>
        </w:rPr>
        <w:t xml:space="preserve">, </w:t>
      </w:r>
      <w:r>
        <w:rPr>
          <w:rtl w:val="true"/>
        </w:rPr>
        <w:t>עלה על המדרכה בה הלכה המתלוננת ופגע באמצעות הרכב בגבה</w:t>
      </w:r>
      <w:r>
        <w:rPr>
          <w:rtl w:val="true"/>
        </w:rPr>
        <w:t xml:space="preserve">. </w:t>
      </w:r>
      <w:r>
        <w:rPr>
          <w:rtl w:val="true"/>
        </w:rPr>
        <w:t>כתוצאה מכך הוטחה המתלוננת בחזקה בחומה שליד המדרכה תוך שראשה נחבט בחומה והיא נפלה על המדרכה</w:t>
      </w:r>
      <w:r>
        <w:rPr>
          <w:rtl w:val="true"/>
        </w:rPr>
        <w:t xml:space="preserve">. </w:t>
      </w:r>
      <w:r>
        <w:rPr>
          <w:rtl w:val="true"/>
        </w:rPr>
        <w:t>המערער המשיך בנסיעתו ועזב את המקום מבלי להזעיק עזרה</w:t>
      </w:r>
      <w:r>
        <w:rPr>
          <w:rtl w:val="true"/>
        </w:rPr>
        <w:t xml:space="preserve">. </w:t>
      </w:r>
      <w:r>
        <w:rPr>
          <w:rtl w:val="true"/>
        </w:rPr>
        <w:t>כתוצאה ממעשיו נגרמו למתלוננת פצעי שפשוף במצחה</w:t>
      </w:r>
      <w:r>
        <w:rPr>
          <w:rtl w:val="true"/>
        </w:rPr>
        <w:t xml:space="preserve">, </w:t>
      </w:r>
      <w:r>
        <w:rPr>
          <w:rtl w:val="true"/>
        </w:rPr>
        <w:t>בידיה וברגליה</w:t>
      </w:r>
      <w:r>
        <w:rPr>
          <w:rtl w:val="true"/>
        </w:rPr>
        <w:t xml:space="preserve">. </w:t>
      </w:r>
      <w:r>
        <w:rPr>
          <w:rtl w:val="true"/>
        </w:rPr>
        <w:t xml:space="preserve">בגין אישום זה הורשע המערער בעבירות של חבלה בכוונה מחמירה לפי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 xml:space="preserve">איומים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 xml:space="preserve">והפקרה אחרי פגיעה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מילדיו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ביום </w:t>
      </w:r>
      <w:r>
        <w:rPr>
          <w:rFonts w:cs="FrankRuehl;Times New Roman" w:ascii="FrankRuehl;Times New Roman" w:hAnsi="FrankRuehl;Times New Roman"/>
          <w:sz w:val="28"/>
        </w:rPr>
        <w:t>5.3.2020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ניתן גזר דינו של בית המשפט המחוזי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בית המשפט עמד על </w:t>
      </w:r>
      <w:r>
        <w:rPr>
          <w:rtl w:val="true"/>
        </w:rPr>
        <w:t>עיקרי תסקיר המתלוננת</w:t>
      </w:r>
      <w:r>
        <w:rPr>
          <w:rtl w:val="true"/>
        </w:rPr>
        <w:t xml:space="preserve">, </w:t>
      </w:r>
      <w:r>
        <w:rPr>
          <w:rtl w:val="true"/>
        </w:rPr>
        <w:t>תצהיר המתלוננת ועל טענות הצדדים לעונש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גם עמד על חומרת העבירות המיוחסות למערער ונסיבות ביצוען </w:t>
      </w:r>
      <w:r>
        <w:rPr>
          <w:rtl w:val="true"/>
        </w:rPr>
        <w:t>–</w:t>
      </w:r>
      <w:r>
        <w:rPr>
          <w:rtl w:val="true"/>
        </w:rPr>
        <w:t xml:space="preserve"> חומרה המתעצמת בשים לב לעובדה שהעבירות בוצעו כלפי אשתו לשעבר</w:t>
      </w:r>
      <w:r>
        <w:rPr>
          <w:rtl w:val="true"/>
        </w:rPr>
        <w:t xml:space="preserve">, </w:t>
      </w:r>
      <w:r>
        <w:rPr>
          <w:rtl w:val="true"/>
        </w:rPr>
        <w:t>וכן על התוצאות הקשות</w:t>
      </w:r>
      <w:r>
        <w:rPr>
          <w:rtl w:val="true"/>
        </w:rPr>
        <w:t xml:space="preserve">, </w:t>
      </w:r>
      <w:r>
        <w:rPr>
          <w:rtl w:val="true"/>
        </w:rPr>
        <w:t>הסבל והכאב</w:t>
      </w:r>
      <w:r>
        <w:rPr>
          <w:rtl w:val="true"/>
        </w:rPr>
        <w:t xml:space="preserve">, </w:t>
      </w:r>
      <w:r>
        <w:rPr>
          <w:rtl w:val="true"/>
        </w:rPr>
        <w:t>שהמעשים גרמו למתלוננת</w:t>
      </w:r>
      <w:r>
        <w:rPr>
          <w:rtl w:val="true"/>
        </w:rPr>
        <w:t xml:space="preserve">. </w:t>
      </w:r>
      <w:r>
        <w:rPr>
          <w:rtl w:val="true"/>
        </w:rPr>
        <w:t>כן נסקרה מדיניות הענישה הנוהגת במקרים אחרים שבהם הורשעו נאשמים בעבירות דומות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ולאחר שקיבל את טענת בא</w:t>
      </w:r>
      <w:r>
        <w:rPr>
          <w:rtl w:val="true"/>
        </w:rPr>
        <w:t>-</w:t>
      </w:r>
      <w:r>
        <w:rPr>
          <w:rtl w:val="true"/>
        </w:rPr>
        <w:t>כוח המערער כי יש לקבוע מתחם עונש אחד לכל העבירות יחדיו</w:t>
      </w:r>
      <w:r>
        <w:rPr>
          <w:rtl w:val="true"/>
        </w:rPr>
        <w:t xml:space="preserve">, </w:t>
      </w:r>
      <w:r>
        <w:rPr>
          <w:rtl w:val="true"/>
        </w:rPr>
        <w:t>קבע בית המשפט כי מתחם העונש ההולם</w:t>
      </w:r>
      <w:r>
        <w:rPr>
          <w:rtl w:val="true"/>
        </w:rPr>
        <w:t xml:space="preserve">, </w:t>
      </w:r>
      <w:r>
        <w:rPr>
          <w:rtl w:val="true"/>
        </w:rPr>
        <w:t>בנסיבות ביצוען</w:t>
      </w:r>
      <w:r>
        <w:rPr>
          <w:rtl w:val="true"/>
        </w:rPr>
        <w:t xml:space="preserve">, </w:t>
      </w:r>
      <w:r>
        <w:rPr>
          <w:rtl w:val="true"/>
        </w:rPr>
        <w:t xml:space="preserve">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אחר דברים אלה צוין כי למערער עבר פלילי הכולל עבירות אלימות לרבות נגד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כי הוא נידון בשנת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 וכי לחובתו עומדים שלושה מאסרים מותנים</w:t>
      </w:r>
      <w:r>
        <w:rPr>
          <w:rtl w:val="true"/>
        </w:rPr>
        <w:t xml:space="preserve">. </w:t>
      </w:r>
      <w:r>
        <w:rPr>
          <w:rtl w:val="true"/>
        </w:rPr>
        <w:t>עוד צוין כי המערער לא לקח אחריות על מעשיו ולא הביע צער או חרטה עליהם</w:t>
      </w:r>
      <w:r>
        <w:rPr>
          <w:rtl w:val="true"/>
        </w:rPr>
        <w:t xml:space="preserve">. </w:t>
      </w:r>
      <w:r>
        <w:rPr>
          <w:rtl w:val="true"/>
        </w:rPr>
        <w:t>על יסוד אלה</w:t>
      </w:r>
      <w:r>
        <w:rPr>
          <w:rtl w:val="true"/>
        </w:rPr>
        <w:t xml:space="preserve">, </w:t>
      </w:r>
      <w:r>
        <w:rPr>
          <w:rtl w:val="true"/>
        </w:rPr>
        <w:t>ובשים לב לצורך בהרתעת המערער ובהרתעת הרבים מפני ביצוע עבירות מעין אלו</w:t>
      </w:r>
      <w:r>
        <w:rPr>
          <w:rtl w:val="true"/>
        </w:rPr>
        <w:t xml:space="preserve">, </w:t>
      </w:r>
      <w:r>
        <w:rPr>
          <w:rtl w:val="true"/>
        </w:rPr>
        <w:t>ציין בית המשפט כי על הענישה להיות ברף העליון של מתחם העונש ההולם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ולנוכח מצבו הרפואי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מצא בית המשפט להשית עליו עונש מאסר בפועל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כן הופעלו תקופות המאסר על תנאי שעמדו לחובת המערער</w:t>
      </w:r>
      <w:r>
        <w:rPr>
          <w:rtl w:val="true"/>
        </w:rPr>
        <w:t xml:space="preserve">, </w:t>
      </w:r>
      <w:r>
        <w:rPr>
          <w:rtl w:val="true"/>
        </w:rPr>
        <w:t>חלקן בחופף וחלקן במצטבר</w:t>
      </w:r>
      <w:r>
        <w:rPr>
          <w:rtl w:val="true"/>
        </w:rPr>
        <w:t xml:space="preserve">, </w:t>
      </w:r>
      <w:r>
        <w:rPr>
          <w:rtl w:val="true"/>
        </w:rPr>
        <w:t xml:space="preserve">באופן שבו הוטלו על המערער בסך הכול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הושתו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לבל יעבור עבירת אלימות מסוג פשע</w:t>
      </w:r>
      <w:r>
        <w:rPr>
          <w:rtl w:val="true"/>
        </w:rPr>
        <w:t xml:space="preserve">, </w:t>
      </w:r>
      <w:r>
        <w:rPr>
          <w:rtl w:val="true"/>
        </w:rPr>
        <w:t>למשך שלוש 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לבל יעבור עבירת אלימות מסוג עוון או עבירת איומים</w:t>
      </w:r>
      <w:r>
        <w:rPr>
          <w:rtl w:val="true"/>
        </w:rPr>
        <w:t xml:space="preserve">, </w:t>
      </w:r>
      <w:r>
        <w:rPr>
          <w:rtl w:val="true"/>
        </w:rPr>
        <w:t>למשך שלוש שנים</w:t>
      </w:r>
      <w:r>
        <w:rPr>
          <w:rtl w:val="true"/>
        </w:rPr>
        <w:t xml:space="preserve">; </w:t>
      </w:r>
      <w:r>
        <w:rPr>
          <w:rtl w:val="true"/>
        </w:rPr>
        <w:t xml:space="preserve">ופסילה מלקבל או מלהחזיק רישיון נהיגה לתקופה של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 xml:space="preserve">נוסף על כך חייב בית המשפט את המערער לפצות את המתלוננת בסך של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סכום המבטא את הנזקים המשמעותיים שנגרמו לה כפי המשתקף מתסקיר נפגעת העבירה ומתצהירה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שגה בית המשפט בהשיתו עונש בן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מדובר בעונש חמור</w:t>
      </w:r>
      <w:r>
        <w:rPr>
          <w:rtl w:val="true"/>
        </w:rPr>
        <w:t xml:space="preserve">, </w:t>
      </w:r>
      <w:r>
        <w:rPr>
          <w:rtl w:val="true"/>
        </w:rPr>
        <w:t>בלתי מידתי</w:t>
      </w:r>
      <w:r>
        <w:rPr>
          <w:rtl w:val="true"/>
        </w:rPr>
        <w:t xml:space="preserve">, </w:t>
      </w:r>
      <w:r>
        <w:rPr>
          <w:rtl w:val="true"/>
        </w:rPr>
        <w:t>אשר אינו מאזן כראוי בין מכלול השיקולים הצריכים לעניין ואף סוטה ללא הצדקה במידה ניכרת ממדיניות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בגזר הדין לא ניתן משקל ראוי לנסיבות ביצוע העבירות המפורטות באישום השני</w:t>
      </w:r>
      <w:r>
        <w:rPr>
          <w:rtl w:val="true"/>
        </w:rPr>
        <w:t xml:space="preserve">, </w:t>
      </w:r>
      <w:r>
        <w:rPr>
          <w:rtl w:val="true"/>
        </w:rPr>
        <w:t>ובכלל זה לעובדה שמדובר באירוע ספונטני ובלתי מתוכנן</w:t>
      </w:r>
      <w:r>
        <w:rPr>
          <w:rtl w:val="true"/>
        </w:rPr>
        <w:t xml:space="preserve">; </w:t>
      </w:r>
      <w:r>
        <w:rPr>
          <w:rtl w:val="true"/>
        </w:rPr>
        <w:t>שהחבלות שנגרמו למתלוננת הן מינוריות ביותר בדמות סימני שפשוף שטחיים בלבד</w:t>
      </w:r>
      <w:r>
        <w:rPr>
          <w:rtl w:val="true"/>
        </w:rPr>
        <w:t xml:space="preserve">; </w:t>
      </w:r>
      <w:r>
        <w:rPr>
          <w:rtl w:val="true"/>
        </w:rPr>
        <w:t>שהגם שמדובר בפגיעה באמצעות רכב</w:t>
      </w:r>
      <w:r>
        <w:rPr>
          <w:rtl w:val="true"/>
        </w:rPr>
        <w:t xml:space="preserve">, </w:t>
      </w:r>
      <w:r>
        <w:rPr>
          <w:rtl w:val="true"/>
        </w:rPr>
        <w:t>עוצמת האלימות שננקטה מצויה ברף הנמוך</w:t>
      </w:r>
      <w:r>
        <w:rPr>
          <w:rtl w:val="true"/>
        </w:rPr>
        <w:t xml:space="preserve">; </w:t>
      </w:r>
      <w:r>
        <w:rPr>
          <w:rtl w:val="true"/>
        </w:rPr>
        <w:t>ושאי</w:t>
      </w:r>
      <w:r>
        <w:rPr>
          <w:rtl w:val="true"/>
        </w:rPr>
        <w:t>-</w:t>
      </w:r>
      <w:r>
        <w:rPr>
          <w:rtl w:val="true"/>
        </w:rPr>
        <w:t>הגשת העזרה הרפואית מצד המערער לא הסלימה את מצבה הרפואי</w:t>
      </w:r>
      <w:r>
        <w:rPr>
          <w:rtl w:val="true"/>
        </w:rPr>
        <w:t xml:space="preserve">. </w:t>
      </w:r>
      <w:r>
        <w:rPr>
          <w:rtl w:val="true"/>
        </w:rPr>
        <w:t>גם לא ניתן משקל ראוי לעובדה שהחל מהאירוע המתואר באישום השני ועד ליום מעצרו של המערער</w:t>
      </w:r>
      <w:r>
        <w:rPr>
          <w:rtl w:val="true"/>
        </w:rPr>
        <w:t xml:space="preserve">, </w:t>
      </w:r>
      <w:r>
        <w:rPr>
          <w:rtl w:val="true"/>
        </w:rPr>
        <w:t>לא היה שום קשר בינו לבין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אף לא ניתן משקל ראוי לכך שהאיומים המפורטים באישומים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נעשו במסרונים או באמצעות מכשיר טלפון ושלא היה שום מימוש או ניסיון מימוש של איומים אלה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בנוסף על האמור</w:t>
      </w:r>
      <w:r>
        <w:rPr>
          <w:rtl w:val="true"/>
        </w:rPr>
        <w:t xml:space="preserve">, </w:t>
      </w:r>
      <w:r>
        <w:rPr>
          <w:rtl w:val="true"/>
        </w:rPr>
        <w:t>לטענת המערער לא ניתן בגזר הדין משקל הולם למצבו הרפואי הקשה של המערער</w:t>
      </w:r>
      <w:r>
        <w:rPr>
          <w:rtl w:val="true"/>
        </w:rPr>
        <w:t xml:space="preserve">. </w:t>
      </w:r>
      <w:r>
        <w:rPr>
          <w:rtl w:val="true"/>
        </w:rPr>
        <w:t>בית המשפט נחשף למסמכים רפואיים רבים מהם עולה כי המערער סובל מבעיות בריאותיות חמורות ביותר</w:t>
      </w:r>
      <w:r>
        <w:rPr>
          <w:rtl w:val="true"/>
        </w:rPr>
        <w:t xml:space="preserve">, </w:t>
      </w:r>
      <w:r>
        <w:rPr>
          <w:rtl w:val="true"/>
        </w:rPr>
        <w:t>אשר מפאת תנאי המאסר הוא לא מקבל את הטיפול הדרוש לו</w:t>
      </w:r>
      <w:r>
        <w:rPr>
          <w:rtl w:val="true"/>
        </w:rPr>
        <w:t xml:space="preserve">. </w:t>
      </w:r>
      <w:r>
        <w:rPr>
          <w:rtl w:val="true"/>
        </w:rPr>
        <w:t>בית המשפט אמנם הפחית שנת מאסר אחת בשל מצבו הרפואי</w:t>
      </w:r>
      <w:r>
        <w:rPr>
          <w:rtl w:val="true"/>
        </w:rPr>
        <w:t xml:space="preserve">, </w:t>
      </w:r>
      <w:r>
        <w:rPr>
          <w:rtl w:val="true"/>
        </w:rPr>
        <w:t xml:space="preserve">אולם בסופו של דבר הושת עליו עונש חמור ומופרז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 xml:space="preserve">גם לא ניתן משקל לעובדה שהמערער שהה בתנאי מעצר קשים תקופה ארוכה בת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כן היה מקום להתחשב בגזר הדין בכך שהמערער נאלץ להימלט ולעזוב את מקום מגוריו ולהיות בנתק מוחלט משבעת ילדיו לאחר הפגיעה המתוארת  באישום השני מפאת חששו מבני משפחתה של המתלוננת</w:t>
      </w:r>
      <w:r>
        <w:rPr>
          <w:rtl w:val="true"/>
        </w:rPr>
        <w:t xml:space="preserve">; </w:t>
      </w:r>
      <w:r>
        <w:rPr>
          <w:rtl w:val="true"/>
        </w:rPr>
        <w:t>ובכך שמדובר במאסר הארוך הראשון שנגזר עליו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 גם שגה בכך שנתן משקל מכריע לאמור בתסקיר המתלוננת תוך שנקבע כי נגרמו לה נזקים קשים ומשמעותיים</w:t>
      </w:r>
      <w:r>
        <w:rPr>
          <w:rtl w:val="true"/>
        </w:rPr>
        <w:t xml:space="preserve">, </w:t>
      </w:r>
      <w:r>
        <w:rPr>
          <w:rtl w:val="true"/>
        </w:rPr>
        <w:t>שעה שכל האמור בתסקיר מסתמך על גרסתה בלבד ולא צורף שום מסמך התומך בה</w:t>
      </w:r>
      <w:r>
        <w:rPr>
          <w:rtl w:val="true"/>
        </w:rPr>
        <w:t xml:space="preserve">. </w:t>
      </w:r>
      <w:r>
        <w:rPr>
          <w:rtl w:val="true"/>
        </w:rPr>
        <w:t>גם בתסקיר וגם בתצהיר שהוגש מטעמה התגלו סתירות בגרסותיה לעניין מצבה</w:t>
      </w:r>
      <w:r>
        <w:rPr>
          <w:rtl w:val="true"/>
        </w:rPr>
        <w:t xml:space="preserve">. </w:t>
      </w:r>
      <w:r>
        <w:rPr>
          <w:rtl w:val="true"/>
        </w:rPr>
        <w:t>כן שגה בית המשפט בכך שלא נתן משקל ראוי לפסיקה הנוהגת שהוגשה על ידי המערער ואף לפסיקה שציטט בית המשפט עצמו בגזר הדין</w:t>
      </w:r>
      <w:r>
        <w:rPr>
          <w:rtl w:val="true"/>
        </w:rPr>
        <w:t xml:space="preserve">. </w:t>
      </w:r>
      <w:r>
        <w:rPr>
          <w:rtl w:val="true"/>
        </w:rPr>
        <w:t>בית המשפט גם שגה בכך שלא התחשב בפיצוי המשמעותי שנפסק לטובת המתלוננת כשיקול לקולא</w:t>
      </w:r>
      <w:r>
        <w:rPr>
          <w:rtl w:val="true"/>
        </w:rPr>
        <w:t xml:space="preserve">, </w:t>
      </w:r>
      <w:r>
        <w:rPr>
          <w:rtl w:val="true"/>
        </w:rPr>
        <w:t>ואף לא לקח בחשבון שיקולים נוספים להקלה בעונשו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הוסיף וטען לעניין פסילת רישיונו כי מדובר בפסילה לתקופה ארוכה ומשמעותית</w:t>
      </w:r>
      <w:r>
        <w:rPr>
          <w:rtl w:val="true"/>
        </w:rPr>
        <w:t xml:space="preserve">, </w:t>
      </w:r>
      <w:r>
        <w:rPr>
          <w:rtl w:val="true"/>
        </w:rPr>
        <w:t>באופן המסכל את סיכויי שיקומו ושילובו בחברה לאחר שיסיים את ריצוי עונשו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שגה בית המשפט בכך שהורה כי מתוך המאסרים המותנים שעמדו לחובתו</w:t>
      </w:r>
      <w:r>
        <w:rPr>
          <w:rtl w:val="true"/>
        </w:rPr>
        <w:t xml:space="preserve">, </w:t>
      </w:r>
      <w:r>
        <w:rPr>
          <w:rtl w:val="true"/>
        </w:rPr>
        <w:t>רק חודשיים ירוצו באופן חופף 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ירוצו במצטבר לעונש המאסר שהושת עליו בתיק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סמכה את ידה על גזר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גזר הדין מנומק ומפורט</w:t>
      </w:r>
      <w:r>
        <w:rPr>
          <w:rtl w:val="true"/>
        </w:rPr>
        <w:t xml:space="preserve">, </w:t>
      </w:r>
      <w:r>
        <w:rPr>
          <w:rtl w:val="true"/>
        </w:rPr>
        <w:t>ניתנה בו הדעת לכלל השיקולים הרלוונטיים</w:t>
      </w:r>
      <w:r>
        <w:rPr>
          <w:rtl w:val="true"/>
        </w:rPr>
        <w:t xml:space="preserve">, </w:t>
      </w:r>
      <w:r>
        <w:rPr>
          <w:rtl w:val="true"/>
        </w:rPr>
        <w:t>ולא נפלה בו כל שגגה המצדיקה התערבות של בית משפט זה</w:t>
      </w:r>
      <w:r>
        <w:rPr>
          <w:rtl w:val="true"/>
        </w:rPr>
        <w:t xml:space="preserve">. </w:t>
      </w:r>
      <w:r>
        <w:rPr>
          <w:rtl w:val="true"/>
        </w:rPr>
        <w:t>העונש שהושת על המערער הוא ראוי והולם את חומרת המעשים בהם הורשע</w:t>
      </w:r>
      <w:r>
        <w:rPr>
          <w:rtl w:val="true"/>
        </w:rPr>
        <w:t xml:space="preserve">, </w:t>
      </w:r>
      <w:r>
        <w:rPr>
          <w:rtl w:val="true"/>
        </w:rPr>
        <w:t>את עוצמת הפגיעה בערכים המוגנים</w:t>
      </w:r>
      <w:r>
        <w:rPr>
          <w:rtl w:val="true"/>
        </w:rPr>
        <w:t xml:space="preserve">, </w:t>
      </w:r>
      <w:r>
        <w:rPr>
          <w:rtl w:val="true"/>
        </w:rPr>
        <w:t>את הנזקים שנגרמו למתלוננת בכל היבטי חייה ואת הנזקים הפוטנציאליים הגלומים במעשים</w:t>
      </w:r>
      <w:r>
        <w:rPr>
          <w:rtl w:val="true"/>
        </w:rPr>
        <w:t xml:space="preserve">. </w:t>
      </w:r>
      <w:r>
        <w:rPr>
          <w:rtl w:val="true"/>
        </w:rPr>
        <w:t>למערער עבר פלילי</w:t>
      </w:r>
      <w:r>
        <w:rPr>
          <w:rtl w:val="true"/>
        </w:rPr>
        <w:t xml:space="preserve">, </w:t>
      </w:r>
      <w:r>
        <w:rPr>
          <w:rtl w:val="true"/>
        </w:rPr>
        <w:t>הן בגין עבירות אלימות כלפי המתלוננת והן בשימוש ברכב לצורך ביצוע עבירה</w:t>
      </w:r>
      <w:r>
        <w:rPr>
          <w:rtl w:val="true"/>
        </w:rPr>
        <w:t xml:space="preserve">, </w:t>
      </w:r>
      <w:r>
        <w:rPr>
          <w:rtl w:val="true"/>
        </w:rPr>
        <w:t>הוא לא נוטל אחריות</w:t>
      </w:r>
      <w:r>
        <w:rPr>
          <w:rtl w:val="true"/>
        </w:rPr>
        <w:t xml:space="preserve">, </w:t>
      </w:r>
      <w:r>
        <w:rPr>
          <w:rtl w:val="true"/>
        </w:rPr>
        <w:t>לא מגלה חרטה ולא מביע עניין בשיקום או טיפול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בדיון שהתקיים לפנינו הוסיף בא</w:t>
      </w:r>
      <w:r>
        <w:rPr>
          <w:rtl w:val="true"/>
        </w:rPr>
        <w:t>-</w:t>
      </w:r>
      <w:r>
        <w:rPr>
          <w:rtl w:val="true"/>
        </w:rPr>
        <w:t>כוח המשיבה כי חומרת המעשים של המערער אינה משתקפת דווקא מהחבלות שנגרמו למתלוננת</w:t>
      </w:r>
      <w:r>
        <w:rPr>
          <w:rtl w:val="true"/>
        </w:rPr>
        <w:t xml:space="preserve">. </w:t>
      </w:r>
      <w:r>
        <w:rPr>
          <w:rtl w:val="true"/>
        </w:rPr>
        <w:t>מדובר במערער שעל דפוסיו האלימים ועל מסוכנותו מלמד גם עברו הפלילי וגם תסקיר נפגעת העבירה</w:t>
      </w:r>
      <w:r>
        <w:rPr>
          <w:rtl w:val="true"/>
        </w:rPr>
        <w:t xml:space="preserve">. </w:t>
      </w:r>
      <w:r>
        <w:rPr>
          <w:rtl w:val="true"/>
        </w:rPr>
        <w:t>צוין כי מדובר באירועים שהתרחשו על רקע סכסוך גירושין ומשמורת על ילדיהם של המערער והמתלוננת</w:t>
      </w:r>
      <w:r>
        <w:rPr>
          <w:rtl w:val="true"/>
        </w:rPr>
        <w:t xml:space="preserve">. </w:t>
      </w:r>
      <w:r>
        <w:rPr>
          <w:rtl w:val="true"/>
        </w:rPr>
        <w:t>המערער לא פעל מתוך גחמה רגעית</w:t>
      </w:r>
      <w:r>
        <w:rPr>
          <w:rtl w:val="true"/>
        </w:rPr>
        <w:t xml:space="preserve">, </w:t>
      </w:r>
      <w:r>
        <w:rPr>
          <w:rtl w:val="true"/>
        </w:rPr>
        <w:t>אלא לאחר פעולה מתוכננת ולאחר איום ממשי</w:t>
      </w:r>
      <w:r>
        <w:rPr>
          <w:rtl w:val="true"/>
        </w:rPr>
        <w:t xml:space="preserve">. </w:t>
      </w:r>
      <w:r>
        <w:rPr>
          <w:rtl w:val="true"/>
        </w:rPr>
        <w:t>הודות למזל בלבד לא נגרמו למתלוננת פגיעות חמורות יותר</w:t>
      </w:r>
      <w:r>
        <w:rPr>
          <w:rtl w:val="true"/>
        </w:rPr>
        <w:t xml:space="preserve">, </w:t>
      </w:r>
      <w:r>
        <w:rPr>
          <w:rtl w:val="true"/>
        </w:rPr>
        <w:t>ואין לזקוף לזכותו של המערער עובדה זו</w:t>
      </w:r>
      <w:r>
        <w:rPr>
          <w:rtl w:val="true"/>
        </w:rPr>
        <w:t xml:space="preserve">. </w:t>
      </w:r>
      <w:r>
        <w:rPr>
          <w:rtl w:val="true"/>
        </w:rPr>
        <w:t>מדובר במערער שאין לו מורא מהחוק</w:t>
      </w:r>
      <w:r>
        <w:rPr>
          <w:rtl w:val="true"/>
        </w:rPr>
        <w:t xml:space="preserve">. </w:t>
      </w:r>
      <w:r>
        <w:rPr>
          <w:rtl w:val="true"/>
        </w:rPr>
        <w:t>לשם הגנה על המתלוננת ועל שלום הציבור</w:t>
      </w:r>
      <w:r>
        <w:rPr>
          <w:rtl w:val="true"/>
        </w:rPr>
        <w:t xml:space="preserve">, </w:t>
      </w:r>
      <w:r>
        <w:rPr>
          <w:rtl w:val="true"/>
        </w:rPr>
        <w:t>יש להותיר את העונש שנגזר עליו על כנו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עיון בטענות הצדדים ולאחר שמיעתם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להידחות וכך אציע לחבריי שנעשה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תחילה ייאמר כי טוב עשה המערער שחזר בו מהערעור על הכרעת הדין בכל הנוגע לאישום השני</w:t>
      </w:r>
      <w:r>
        <w:rPr>
          <w:rtl w:val="true"/>
        </w:rPr>
        <w:t xml:space="preserve">, </w:t>
      </w:r>
      <w:r>
        <w:rPr>
          <w:rtl w:val="true"/>
        </w:rPr>
        <w:t>ואנו רואים בכך ביטוי של קבלת אחריות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בשים לב לחומרה הרבה שבעבירה המתוארת באישום השני</w:t>
      </w:r>
      <w:r>
        <w:rPr>
          <w:rtl w:val="true"/>
        </w:rPr>
        <w:t xml:space="preserve">, </w:t>
      </w:r>
      <w:r>
        <w:rPr>
          <w:rtl w:val="true"/>
        </w:rPr>
        <w:t>בו המערער פגע במתלוננת באמצעות רכבו באופן מכוון</w:t>
      </w:r>
      <w:r>
        <w:rPr>
          <w:rtl w:val="true"/>
        </w:rPr>
        <w:t xml:space="preserve">, </w:t>
      </w:r>
      <w:r>
        <w:rPr>
          <w:rtl w:val="true"/>
        </w:rPr>
        <w:t xml:space="preserve">אין מקום להקל בעונשו </w:t>
      </w:r>
      <w:r>
        <w:rPr>
          <w:rtl w:val="true"/>
        </w:rPr>
        <w:t>(</w:t>
      </w:r>
      <w:r>
        <w:rPr>
          <w:rtl w:val="true"/>
        </w:rPr>
        <w:t xml:space="preserve">וראו לעניין אי נטייתה של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 xml:space="preserve">להתערב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 xml:space="preserve">שהשיתה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כאשר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ורג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מרמת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: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דובגילנוק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31.3.2015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9074/12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13.6.2013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792/10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14.2.2011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העבירות בהן הורשע המערער </w:t>
      </w:r>
      <w:r>
        <w:rPr>
          <w:rtl w:val="true"/>
        </w:rPr>
        <w:t>–</w:t>
      </w:r>
      <w:r>
        <w:rPr>
          <w:rtl w:val="true"/>
        </w:rPr>
        <w:t xml:space="preserve">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איומים והפקרה אחרי פגיעה </w:t>
      </w:r>
      <w:r>
        <w:rPr>
          <w:rtl w:val="true"/>
        </w:rPr>
        <w:t>–</w:t>
      </w:r>
      <w:r>
        <w:rPr>
          <w:rtl w:val="true"/>
        </w:rPr>
        <w:t xml:space="preserve"> חמורות ביותר</w:t>
      </w:r>
      <w:r>
        <w:rPr>
          <w:rtl w:val="true"/>
        </w:rPr>
        <w:t xml:space="preserve">, </w:t>
      </w:r>
      <w:r>
        <w:rPr>
          <w:rtl w:val="true"/>
        </w:rPr>
        <w:t>וחומרתן אף מתעצמת בשים לב לנסיבות ביצוע העבירות בענייננו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 עשה שימוש אלים ברכבו בכוונה לגרום למתלוננת חבלה חמורה</w:t>
      </w:r>
      <w:r>
        <w:rPr>
          <w:rtl w:val="true"/>
        </w:rPr>
        <w:t xml:space="preserve">. </w:t>
      </w:r>
      <w:r>
        <w:rPr>
          <w:rtl w:val="true"/>
        </w:rPr>
        <w:t>לאחר שהבחין במתלוננת צועדת ברחוב הוא סטה מנתיב נסיעתו</w:t>
      </w:r>
      <w:r>
        <w:rPr>
          <w:rtl w:val="true"/>
        </w:rPr>
        <w:t xml:space="preserve">, </w:t>
      </w:r>
      <w:r>
        <w:rPr>
          <w:rtl w:val="true"/>
        </w:rPr>
        <w:t>חצה את נתיב הנסיעה הנגדי</w:t>
      </w:r>
      <w:r>
        <w:rPr>
          <w:rtl w:val="true"/>
        </w:rPr>
        <w:t xml:space="preserve">, </w:t>
      </w:r>
      <w:r>
        <w:rPr>
          <w:rtl w:val="true"/>
        </w:rPr>
        <w:t>עלה על המדרכה בה צעדה המתלוננת ופגע בה</w:t>
      </w:r>
      <w:r>
        <w:rPr>
          <w:rtl w:val="true"/>
        </w:rPr>
        <w:t xml:space="preserve">. </w:t>
      </w:r>
      <w:r>
        <w:rPr>
          <w:rtl w:val="true"/>
        </w:rPr>
        <w:t>בעקבות הפגיעה הוטחה המתלוננת אל החומה שניצבה בצד המדרכה</w:t>
      </w:r>
      <w:r>
        <w:rPr>
          <w:rtl w:val="true"/>
        </w:rPr>
        <w:t xml:space="preserve">, </w:t>
      </w:r>
      <w:r>
        <w:rPr>
          <w:rtl w:val="true"/>
        </w:rPr>
        <w:t>תוך שראשה הוטח בחומה</w:t>
      </w:r>
      <w:r>
        <w:rPr>
          <w:rtl w:val="true"/>
        </w:rPr>
        <w:t xml:space="preserve">, </w:t>
      </w:r>
      <w:r>
        <w:rPr>
          <w:rtl w:val="true"/>
        </w:rPr>
        <w:t>ונגרמו לה חבלות</w:t>
      </w:r>
      <w:r>
        <w:rPr>
          <w:rtl w:val="true"/>
        </w:rPr>
        <w:t xml:space="preserve">. </w:t>
      </w:r>
      <w:r>
        <w:rPr>
          <w:rtl w:val="true"/>
        </w:rPr>
        <w:t>המערער לא הסתפק בכך ועזב את המקום</w:t>
      </w:r>
      <w:r>
        <w:rPr>
          <w:rtl w:val="true"/>
        </w:rPr>
        <w:t xml:space="preserve">, </w:t>
      </w:r>
      <w:r>
        <w:rPr>
          <w:rtl w:val="true"/>
        </w:rPr>
        <w:t>הותיר את המתלוננת בזירת התאונה לבדה</w:t>
      </w:r>
      <w:r>
        <w:rPr>
          <w:rtl w:val="true"/>
        </w:rPr>
        <w:t xml:space="preserve">. </w:t>
      </w:r>
      <w:r>
        <w:rPr>
          <w:rtl w:val="true"/>
        </w:rPr>
        <w:t>בית משפט זה התייחס לחומרה הטמונה במעשים מעין אלו במקרה אחר בעל נסיבות שאינן רחוקות מענייננו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בולט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. </w:t>
      </w:r>
      <w:r>
        <w:rPr>
          <w:rtl w:val="true"/>
        </w:rPr>
        <w:t>הפקרת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זלזול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start="2210" w:end="1843"/>
        <w:jc w:val="both"/>
        <w:rPr/>
      </w:pPr>
      <w:r>
        <w:rPr>
          <w:rtl w:val="true"/>
        </w:rPr>
        <w:t>"</w:t>
      </w:r>
      <w:r>
        <w:rPr>
          <w:rtl w:val="true"/>
        </w:rPr>
        <w:t>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הסולידריות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המינימלית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; </w:t>
      </w:r>
      <w:r>
        <w:rPr>
          <w:rtl w:val="true"/>
        </w:rPr>
        <w:t>בריחתו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 </w:t>
      </w:r>
      <w:hyperlink r:id="rId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3626/01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ויצמן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187</w:t>
      </w:r>
      <w:r>
        <w:rPr>
          <w:rtl w:val="true"/>
        </w:rPr>
        <w:t xml:space="preserve">, </w:t>
      </w:r>
      <w:r>
        <w:rPr/>
        <w:t>228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))</w:t>
      </w:r>
      <w:r>
        <w:rPr>
          <w:rtl w:val="true"/>
        </w:rPr>
        <w:t xml:space="preserve">." </w:t>
      </w:r>
    </w:p>
    <w:p>
      <w:pPr>
        <w:pStyle w:val="Ruller5"/>
        <w:ind w:end="1843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1229/10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חומרת מעשיו של המערער מתעצמת אף יותר על רקע העובדה שהמעשים הופנו כלפי אם שבעת ילדיו ומי שהייתה בת זוגו רק שנתיים קודם לכן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עמד לא אחת על החומרה הרבה הטמונה בעבירות אלימות בין בני זוג ועל הצורך בענישה מחמירה הנותנת ביטוי לסלידה מעבירות מעין אלו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1568/14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דובגילנוק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31.3.2015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3011/17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tl w:val="true"/>
        </w:rPr>
        <w:t xml:space="preserve">);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 במקרים שבהם מדובר בבני זוג שנפרדו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4221/13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ואנונו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26.3.2015</w:t>
      </w:r>
      <w:r>
        <w:rPr>
          <w:rtl w:val="true"/>
        </w:rPr>
        <w:t xml:space="preserve">)). </w:t>
      </w:r>
      <w:r>
        <w:rPr>
          <w:rtl w:val="true"/>
        </w:rPr>
        <w:t xml:space="preserve">וכפי שנאמרו הדברים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מרה</w:t>
      </w:r>
      <w:r>
        <w:rPr>
          <w:rtl w:val="true"/>
        </w:rPr>
        <w:t xml:space="preserve">, </w:t>
      </w:r>
      <w:r>
        <w:rPr>
          <w:rtl w:val="true"/>
        </w:rPr>
        <w:t>לימדה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נרצחו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וקרוביהן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מצמרר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מתפשרת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אדמונד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start="2210" w:end="1843"/>
        <w:jc w:val="both"/>
        <w:rPr/>
      </w:pPr>
      <w:r>
        <w:rPr>
          <w:rtl w:val="true"/>
        </w:rPr>
        <w:t>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</w:t>
      </w:r>
      <w:r>
        <w:rPr>
          <w:rtl w:val="true"/>
        </w:rPr>
        <w:t>-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השורש</w:t>
      </w:r>
      <w:r>
        <w:rPr>
          <w:rtl w:val="true"/>
        </w:rPr>
        <w:t xml:space="preserve">, </w:t>
      </w:r>
      <w:r>
        <w:rPr>
          <w:rtl w:val="true"/>
        </w:rPr>
        <w:t>ומקום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וחינוך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מצווה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618/06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19.3.2007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 xml:space="preserve">[...]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חולפות</w:t>
      </w:r>
      <w:r>
        <w:rPr>
          <w:rtl w:val="true"/>
        </w:rPr>
        <w:t xml:space="preserve">, </w:t>
      </w:r>
      <w:r>
        <w:rPr>
          <w:rtl w:val="true"/>
        </w:rPr>
        <w:t>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ושוויוני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לדאבון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וקרוביהן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[...]."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 אלה נכתבו לפני כשלוש שנים</w:t>
      </w:r>
      <w:r>
        <w:rPr>
          <w:rtl w:val="true"/>
        </w:rPr>
        <w:t xml:space="preserve">, </w:t>
      </w:r>
      <w:r>
        <w:rPr>
          <w:rtl w:val="true"/>
        </w:rPr>
        <w:t>והם תקפים גם היום ביתר שאת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כל האמור יש להוסיף את 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>שכולל בין היתר שימוש ברכבו באופן אלים וככלי לפגיעה במתכוון בקרבנותיו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הורשע בשנת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של חבלה במזיד ברכב</w:t>
      </w:r>
      <w:r>
        <w:rPr>
          <w:rtl w:val="true"/>
        </w:rPr>
        <w:t xml:space="preserve">, </w:t>
      </w:r>
      <w:r>
        <w:rPr>
          <w:rtl w:val="true"/>
        </w:rPr>
        <w:t xml:space="preserve">תקיפה סתם של בן זוג ואיומים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50192-06-15</w:t>
        </w:r>
      </w:hyperlink>
      <w:r>
        <w:rPr>
          <w:rtl w:val="true"/>
        </w:rPr>
        <w:t xml:space="preserve">)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על פי עובדות כתב האישום המתוקן שהוגש בעקבות ההסדר</w:t>
      </w:r>
      <w:r>
        <w:rPr>
          <w:rtl w:val="true"/>
        </w:rPr>
        <w:t xml:space="preserve">, </w:t>
      </w:r>
      <w:r>
        <w:rPr>
          <w:rtl w:val="true"/>
        </w:rPr>
        <w:t>המערער היכה את המתלוננת</w:t>
      </w:r>
      <w:r>
        <w:rPr>
          <w:rtl w:val="true"/>
        </w:rPr>
        <w:t xml:space="preserve">; </w:t>
      </w:r>
      <w:r>
        <w:rPr>
          <w:rtl w:val="true"/>
        </w:rPr>
        <w:t>התנגש עם רכבו ברכב של אחיה של המתלוננת</w:t>
      </w:r>
      <w:r>
        <w:rPr>
          <w:rtl w:val="true"/>
        </w:rPr>
        <w:t xml:space="preserve">; </w:t>
      </w:r>
      <w:r>
        <w:rPr>
          <w:rtl w:val="true"/>
        </w:rPr>
        <w:t>ואיים על אביה</w:t>
      </w:r>
      <w:r>
        <w:rPr>
          <w:rtl w:val="true"/>
        </w:rPr>
        <w:t xml:space="preserve">. </w:t>
      </w:r>
      <w:r>
        <w:rPr>
          <w:rtl w:val="true"/>
        </w:rPr>
        <w:t xml:space="preserve">בעקבות הרשעה זו נגזרו על המערער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 מאסר בפועל ושניים מבין שלושת המאסרים המותנים שהופעלו על ידי בית המשפט המחוזי בגזר דינו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הורשע בשנת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 xml:space="preserve">בשתי עבירות של איומים ונגזר עליו בין היתר המאסר המותנה השלישי שהופעל על ידי בית המשפט המחוזי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1292/07</w:t>
      </w:r>
      <w:r>
        <w:rPr>
          <w:rtl w:val="true"/>
        </w:rPr>
        <w:t xml:space="preserve">). </w:t>
      </w:r>
      <w:r>
        <w:rPr>
          <w:rtl w:val="true"/>
        </w:rPr>
        <w:t xml:space="preserve">כן הורשע המערער בשנת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היזק לרכוש במזיד והמאסר המותנה שהושת עליו בשנת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 xml:space="preserve">הוארך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55889-05-14</w:t>
        </w:r>
      </w:hyperlink>
      <w:r>
        <w:rPr>
          <w:rtl w:val="true"/>
        </w:rPr>
        <w:t xml:space="preserve">). </w:t>
      </w:r>
      <w:r>
        <w:rPr>
          <w:rtl w:val="true"/>
        </w:rPr>
        <w:t xml:space="preserve">בנוסף על כך הורשע המערער בשנת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גם כן 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בעבירה של התנהגות פרועה במקום ציבורי</w:t>
      </w:r>
      <w:r>
        <w:rPr>
          <w:rtl w:val="true"/>
        </w:rPr>
        <w:t xml:space="preserve">, </w:t>
      </w:r>
      <w:r>
        <w:rPr>
          <w:rtl w:val="true"/>
        </w:rPr>
        <w:t>על רקע ויכוח עם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ונגזר עליו מאסר מותנה נוסף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51258-05-17</w:t>
        </w:r>
      </w:hyperlink>
      <w:r>
        <w:rPr>
          <w:rtl w:val="true"/>
        </w:rPr>
        <w:t xml:space="preserve">). </w:t>
      </w:r>
      <w:r>
        <w:rPr>
          <w:rtl w:val="true"/>
        </w:rPr>
        <w:t>עברו הפלילי העשיר של המערער בכלל</w:t>
      </w:r>
      <w:r>
        <w:rPr>
          <w:rtl w:val="true"/>
        </w:rPr>
        <w:t xml:space="preserve">, </w:t>
      </w:r>
      <w:r>
        <w:rPr>
          <w:rtl w:val="true"/>
        </w:rPr>
        <w:t>והדמיון בין העבירות בהן הורשע בעבר לבין העבירות בהן הורשע בענייננו בפרט</w:t>
      </w:r>
      <w:r>
        <w:rPr>
          <w:rtl w:val="true"/>
        </w:rPr>
        <w:t xml:space="preserve">, </w:t>
      </w:r>
      <w:r>
        <w:rPr>
          <w:rtl w:val="true"/>
        </w:rPr>
        <w:t>אף הם מעצימים את חומרת המעשים ואת הצורך בענישה מרתיעה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גם אין בטענות המערער בדבר הנסיבות השונות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כדי להצדיק התחשבות בו בעת גזירת עונשו</w:t>
      </w:r>
      <w:r>
        <w:rPr>
          <w:rtl w:val="true"/>
        </w:rPr>
        <w:t xml:space="preserve">. </w:t>
      </w:r>
      <w:r>
        <w:rPr>
          <w:rtl w:val="true"/>
        </w:rPr>
        <w:t>בניגוד 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להתייחס לאירוע המתואר באישום השני כאל אירוע </w:t>
      </w:r>
      <w:r>
        <w:rPr>
          <w:rtl w:val="true"/>
        </w:rPr>
        <w:t>"</w:t>
      </w:r>
      <w:r>
        <w:rPr>
          <w:rtl w:val="true"/>
        </w:rPr>
        <w:t>ספונטני ובלתי מתוכנן</w:t>
      </w:r>
      <w:r>
        <w:rPr>
          <w:rtl w:val="true"/>
        </w:rPr>
        <w:t xml:space="preserve">", </w:t>
      </w:r>
      <w:r>
        <w:rPr>
          <w:rtl w:val="true"/>
        </w:rPr>
        <w:t>בהינתן  כאמור שיום אחד בלבד לפי ביצוע המעשים פגש המערער במתלוננת ברחוב ואיים עליה כי אם יראה אותה ברחוב פעם נוספת הוא יהרוג אותה</w:t>
      </w:r>
      <w:r>
        <w:rPr>
          <w:rtl w:val="true"/>
        </w:rPr>
        <w:t xml:space="preserve">. </w:t>
      </w:r>
      <w:r>
        <w:rPr>
          <w:rtl w:val="true"/>
        </w:rPr>
        <w:t xml:space="preserve">גם לא ניתן לקבל את ניסיונו של המערער להיבנות מכך שהחבלות שנגרמו למתלוננת היו </w:t>
      </w:r>
      <w:r>
        <w:rPr>
          <w:rtl w:val="true"/>
        </w:rPr>
        <w:t>"</w:t>
      </w:r>
      <w:r>
        <w:rPr>
          <w:rtl w:val="true"/>
        </w:rPr>
        <w:t>חבלות מינוריות ביותר בדמות סימני שפשוף שטחיים בלבד</w:t>
      </w:r>
      <w:r>
        <w:rPr>
          <w:rtl w:val="true"/>
        </w:rPr>
        <w:t xml:space="preserve">". </w:t>
      </w:r>
      <w:r>
        <w:rPr>
          <w:rtl w:val="true"/>
        </w:rPr>
        <w:t>הוא הדין גם באשר לטענת המערער כי אי</w:t>
      </w:r>
      <w:r>
        <w:rPr>
          <w:rtl w:val="true"/>
        </w:rPr>
        <w:t>-</w:t>
      </w:r>
      <w:r>
        <w:rPr>
          <w:rtl w:val="true"/>
        </w:rPr>
        <w:t>הגשת עזרה מצדו לא הסלימה את מצבה הרפואי של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העובדה שבאורח נס לא נגרמו למתלוננת נזקים פיזיים חמורים יותר אינה מאיינת את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 xml:space="preserve">החומרה הטמונה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במעשיו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מה גם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כפי שעולה מתסקיר נפגעת העבירה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בנוסף לנזקים הפיזיים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tl w:val="true"/>
        </w:rPr>
        <w:t>נגרמו למתלוננת גם נזקים נפשיים בלתי מבוטלים</w:t>
      </w:r>
      <w:r>
        <w:rPr>
          <w:rtl w:val="true"/>
        </w:rPr>
        <w:t xml:space="preserve">. </w:t>
      </w:r>
      <w:r>
        <w:rPr>
          <w:rtl w:val="true"/>
        </w:rPr>
        <w:t>גם לא נפל כל פגם בכך ש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הסתמך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 xml:space="preserve">לעניין הערכת </w:t>
      </w:r>
      <w:r>
        <w:rPr>
          <w:rtl w:val="true"/>
        </w:rPr>
        <w:t>הנזק</w:t>
      </w:r>
      <w:r>
        <w:rPr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 </w:t>
      </w:r>
      <w:r>
        <w:rPr>
          <w:rtl w:val="true"/>
        </w:rPr>
        <w:t>למתלוננ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 xml:space="preserve">נמנה על </w:t>
      </w:r>
      <w:r>
        <w:rPr>
          <w:rtl w:val="true"/>
        </w:rPr>
        <w:t>הכלים</w:t>
      </w:r>
      <w:r>
        <w:rPr>
          <w:rtl w:val="true"/>
        </w:rPr>
        <w:t xml:space="preserve"> </w:t>
      </w:r>
      <w:r>
        <w:rPr>
          <w:rtl w:val="true"/>
        </w:rPr>
        <w:t>המרכזיים</w:t>
      </w:r>
      <w:r>
        <w:rPr>
          <w:rtl w:val="true"/>
        </w:rPr>
        <w:t xml:space="preserve"> </w:t>
      </w:r>
      <w:r>
        <w:rPr>
          <w:rtl w:val="true"/>
        </w:rPr>
        <w:t>העומדים</w:t>
      </w:r>
      <w:r>
        <w:rPr>
          <w:rtl w:val="true"/>
        </w:rPr>
        <w:t xml:space="preserve"> </w:t>
      </w:r>
      <w:r>
        <w:rPr>
          <w:rtl w:val="true"/>
        </w:rPr>
        <w:t>לרשות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 xml:space="preserve">לצורך הערכת הנזק שנגרם </w:t>
      </w:r>
      <w:r>
        <w:rPr>
          <w:rtl w:val="true"/>
        </w:rPr>
        <w:t>לנפגע</w:t>
      </w:r>
      <w:r>
        <w:rPr>
          <w:rtl w:val="true"/>
        </w:rPr>
        <w:t xml:space="preserve"> העבירה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 לעניין שימוש בתסקיר נפגע עבירה לצורך פסיקת פיצויים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6691/17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61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23.1.2020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3600/18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20.6.2019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אף אין לקבל את טענת המערער כי היה מקום ליתן משקל לכך שעבירות האיומים בוצעו באמצעות מסרונים או טלפון ושלא היה מימוש או ניסיון מימוש של איומים אלה</w:t>
      </w:r>
      <w:r>
        <w:rPr>
          <w:rtl w:val="true"/>
        </w:rPr>
        <w:t xml:space="preserve">. </w:t>
      </w:r>
      <w:r>
        <w:rPr>
          <w:rtl w:val="true"/>
        </w:rPr>
        <w:t>עבירות איומים</w:t>
      </w:r>
      <w:r>
        <w:rPr>
          <w:rtl w:val="true"/>
        </w:rPr>
        <w:t xml:space="preserve">, </w:t>
      </w:r>
      <w:r>
        <w:rPr>
          <w:rtl w:val="true"/>
        </w:rPr>
        <w:t>מעצם טבען</w:t>
      </w:r>
      <w:r>
        <w:rPr>
          <w:rtl w:val="true"/>
        </w:rPr>
        <w:t xml:space="preserve">, </w:t>
      </w:r>
      <w:r>
        <w:rPr>
          <w:rtl w:val="true"/>
        </w:rPr>
        <w:t>הן עבירות המתגבשות אף ללא מימוש של האיומים או ניסיון לממשם</w:t>
      </w:r>
      <w:r>
        <w:rPr>
          <w:rtl w:val="true"/>
        </w:rPr>
        <w:t xml:space="preserve">, </w:t>
      </w:r>
      <w:r>
        <w:rPr>
          <w:rtl w:val="true"/>
        </w:rPr>
        <w:t>ואין באופן ביצוע האיומים כדי להפחית מחומרת המעשים בכללותם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אף לא מצאתי לשעות לטענות המערער לעניין קיומן של נסיבות חיצוניות לעבירות אשר מצדיקות לשיטתו התחשבות לקולא בעת גזירת עונשו</w:t>
      </w:r>
      <w:r>
        <w:rPr>
          <w:rtl w:val="true"/>
        </w:rPr>
        <w:t xml:space="preserve">. </w:t>
      </w:r>
      <w:r>
        <w:rPr>
          <w:rtl w:val="true"/>
        </w:rPr>
        <w:t>באשר לטענת המערער כי היה מקום ליתן משקל לעובדה שמאז האירועים מושא האישום השני ועד מעצרו</w:t>
      </w:r>
      <w:r>
        <w:rPr>
          <w:rtl w:val="true"/>
        </w:rPr>
        <w:t xml:space="preserve">, </w:t>
      </w:r>
      <w:r>
        <w:rPr>
          <w:rtl w:val="true"/>
        </w:rPr>
        <w:t xml:space="preserve">לא היה קשר בינו לבין המתלוננת </w:t>
      </w:r>
      <w:r>
        <w:rPr>
          <w:rtl w:val="true"/>
        </w:rPr>
        <w:t>–</w:t>
      </w:r>
      <w:r>
        <w:rPr>
          <w:rtl w:val="true"/>
        </w:rPr>
        <w:t xml:space="preserve"> די להזכיר כי על פי האישום הרביעי והחמישי בהם הורשע המערער</w:t>
      </w:r>
      <w:r>
        <w:rPr>
          <w:rtl w:val="true"/>
        </w:rPr>
        <w:t xml:space="preserve">, </w:t>
      </w:r>
      <w:r>
        <w:rPr>
          <w:rtl w:val="true"/>
        </w:rPr>
        <w:t>הוא לא חדל ממעשיו והמשיך לאיים על המתלוננת דרך אַחֶיה לאחר האירועים המתוארים באישום השני</w:t>
      </w:r>
      <w:r>
        <w:rPr>
          <w:rtl w:val="true"/>
        </w:rPr>
        <w:t xml:space="preserve">. </w:t>
      </w:r>
      <w:r>
        <w:rPr>
          <w:rtl w:val="true"/>
        </w:rPr>
        <w:t>באשר למצבו הרפואי של המערער</w:t>
      </w:r>
      <w:r>
        <w:rPr>
          <w:rtl w:val="true"/>
        </w:rPr>
        <w:t xml:space="preserve">, </w:t>
      </w:r>
      <w:r>
        <w:rPr>
          <w:rtl w:val="true"/>
        </w:rPr>
        <w:t>בית המשפט נתן לעניין זה משקל משמעותי בכך שהפחית שנה מעונש המאסר בפועל ברף העליון של מתחם הענישה שהיה ראוי להשית עליו</w:t>
      </w:r>
      <w:r>
        <w:rPr>
          <w:rtl w:val="true"/>
        </w:rPr>
        <w:t xml:space="preserve">. </w:t>
      </w:r>
      <w:r>
        <w:rPr>
          <w:rtl w:val="true"/>
        </w:rPr>
        <w:t xml:space="preserve">למותר לציין כי </w:t>
      </w:r>
      <w:r>
        <w:rPr>
          <w:rtl w:val="true"/>
        </w:rPr>
        <w:t>חזקה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 </w:t>
      </w:r>
      <w:r>
        <w:rPr>
          <w:rtl w:val="true"/>
        </w:rPr>
        <w:t>שידאג</w:t>
      </w:r>
      <w:r>
        <w:rPr>
          <w:rtl w:val="true"/>
        </w:rPr>
        <w:t xml:space="preserve"> </w:t>
      </w:r>
      <w:r>
        <w:rPr>
          <w:rtl w:val="true"/>
        </w:rPr>
        <w:t>כי יינתן למערער הטיפול הרפואי לו הוא זקוק</w:t>
      </w:r>
      <w:r>
        <w:rPr>
          <w:rtl w:val="true"/>
        </w:rPr>
        <w:t xml:space="preserve">. </w:t>
      </w:r>
      <w:r>
        <w:rPr>
          <w:rtl w:val="true"/>
        </w:rPr>
        <w:t xml:space="preserve">אין גם מקום לקבל את  הטענה כי יש להתחשב לקולא בעובדה כי מדובר </w:t>
      </w:r>
      <w:r>
        <w:rPr>
          <w:rtl w:val="true"/>
        </w:rPr>
        <w:t>"</w:t>
      </w:r>
      <w:r>
        <w:rPr>
          <w:rtl w:val="true"/>
        </w:rPr>
        <w:t>במאסר הארוך הראשון שנגזר על המערער</w:t>
      </w:r>
      <w:r>
        <w:rPr>
          <w:rtl w:val="true"/>
        </w:rPr>
        <w:t xml:space="preserve">".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עצם העובדה שלמערער עבר פלילי </w:t>
      </w:r>
      <w:r>
        <w:rPr>
          <w:rtl w:val="true"/>
        </w:rPr>
        <w:t>–</w:t>
      </w:r>
      <w:r>
        <w:rPr>
          <w:rtl w:val="true"/>
        </w:rPr>
        <w:t xml:space="preserve"> לרבות </w:t>
      </w:r>
      <w:r>
        <w:rPr>
          <w:rFonts w:ascii="Century" w:hAnsi="Century" w:cs="Century"/>
          <w:sz w:val="22"/>
          <w:sz w:val="22"/>
          <w:rtl w:val="true"/>
        </w:rPr>
        <w:t xml:space="preserve">עבירות תקיפת המתלוננת ואיומים שבעקבותיהן ריצה עונש מאסר בן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אינה מהווה נסיבה לקולא</w:t>
      </w:r>
      <w:r>
        <w:rPr>
          <w:rtl w:val="true"/>
        </w:rPr>
        <w:t xml:space="preserve">, </w:t>
      </w:r>
      <w:r>
        <w:rPr>
          <w:rtl w:val="true"/>
        </w:rPr>
        <w:t>כי אם לחומרה</w:t>
      </w:r>
      <w:r>
        <w:rPr>
          <w:rtl w:val="true"/>
        </w:rPr>
        <w:t xml:space="preserve">. </w:t>
      </w:r>
      <w:r>
        <w:rPr>
          <w:rtl w:val="true"/>
        </w:rPr>
        <w:t>ובאשר ליתר טענות המערער</w:t>
      </w:r>
      <w:r>
        <w:rPr>
          <w:rtl w:val="true"/>
        </w:rPr>
        <w:t xml:space="preserve">, </w:t>
      </w:r>
      <w:r>
        <w:rPr>
          <w:rtl w:val="true"/>
        </w:rPr>
        <w:t>ובכללן שהותו במעצר ממושך</w:t>
      </w:r>
      <w:r>
        <w:rPr>
          <w:rtl w:val="true"/>
        </w:rPr>
        <w:t xml:space="preserve">, </w:t>
      </w:r>
      <w:r>
        <w:rPr>
          <w:rtl w:val="true"/>
        </w:rPr>
        <w:t>הנתק מילדיו והפיצוי ששולם למתלוננת</w:t>
      </w:r>
      <w:r>
        <w:rPr>
          <w:rtl w:val="true"/>
        </w:rPr>
        <w:t xml:space="preserve">. </w:t>
      </w:r>
      <w:r>
        <w:rPr>
          <w:rtl w:val="true"/>
        </w:rPr>
        <w:t>אין ספק כי ניתוק משפחתי מעין זה אינו דבר קל</w:t>
      </w:r>
      <w:r>
        <w:rPr>
          <w:rtl w:val="true"/>
        </w:rPr>
        <w:t xml:space="preserve">, </w:t>
      </w:r>
      <w:r>
        <w:rPr>
          <w:rtl w:val="true"/>
        </w:rPr>
        <w:t>אך העונש שנגזר על המערער מבטא באופן הולם את חומרת המעשים המיוחסים 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ולעניין טענות המערער בדבר החריגה ממדיניות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 xml:space="preserve">בגזר דינו התייחס בית המשפט המחוזי לפסיקה העוסקת במקרים בהם דובר בעבירות דומות לאלה שהורשע בהן המערער </w:t>
      </w:r>
      <w:r>
        <w:rPr>
          <w:rtl w:val="true"/>
        </w:rPr>
        <w:t>–</w:t>
      </w:r>
      <w:r>
        <w:rPr>
          <w:rtl w:val="true"/>
        </w:rPr>
        <w:t xml:space="preserve"> שימוש ברכב לצורך פגיעה באדם</w:t>
      </w:r>
      <w:r>
        <w:rPr>
          <w:rtl w:val="true"/>
        </w:rPr>
        <w:t xml:space="preserve">, </w:t>
      </w:r>
      <w:r>
        <w:rPr>
          <w:rtl w:val="true"/>
        </w:rPr>
        <w:t>גרימת חבלה חמורה לבן זוג ואיומים</w:t>
      </w:r>
      <w:r>
        <w:rPr>
          <w:rtl w:val="true"/>
        </w:rPr>
        <w:t xml:space="preserve">. </w:t>
      </w:r>
      <w:r>
        <w:rPr>
          <w:rtl w:val="true"/>
        </w:rPr>
        <w:t>על יסוד פסיקה זו</w:t>
      </w:r>
      <w:r>
        <w:rPr>
          <w:rtl w:val="true"/>
        </w:rPr>
        <w:t xml:space="preserve">, </w:t>
      </w:r>
      <w:r>
        <w:rPr>
          <w:rtl w:val="true"/>
        </w:rPr>
        <w:t>כמכלול</w:t>
      </w:r>
      <w:r>
        <w:rPr>
          <w:rtl w:val="true"/>
        </w:rPr>
        <w:t xml:space="preserve">, </w:t>
      </w:r>
      <w:r>
        <w:rPr>
          <w:rtl w:val="true"/>
        </w:rPr>
        <w:t xml:space="preserve">נקבע מתחם העונש ההולם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 ונגזר עונשו של המערער</w:t>
      </w:r>
      <w:r>
        <w:rPr>
          <w:rtl w:val="true"/>
        </w:rPr>
        <w:t xml:space="preserve">. </w:t>
      </w:r>
      <w:r>
        <w:rPr>
          <w:rtl w:val="true"/>
        </w:rPr>
        <w:t>המערער הפנה בערעורו לפסיקה התומכת לגישתו במסקנה כי העונש שנגזר עליו חורג ממדיניות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אלא שבענייננו מדובר כאמור בבני זוג לשעבר ובמערער בעל רקע פלילי הכולל עבירות דומות לאלו שהוא הורשע בהן בהליך מושא הערעור</w:t>
      </w:r>
      <w:r>
        <w:rPr>
          <w:rtl w:val="true"/>
        </w:rPr>
        <w:t xml:space="preserve">. </w:t>
      </w:r>
      <w:r>
        <w:rPr>
          <w:rtl w:val="true"/>
        </w:rPr>
        <w:t>לכן לא שוכנעתי שבית המשפט חרג ממדיניות הענישה הנוהגת בנסיבות מקרה זה</w:t>
      </w:r>
      <w:r>
        <w:rPr>
          <w:rtl w:val="true"/>
        </w:rPr>
        <w:t xml:space="preserve">. </w:t>
      </w:r>
      <w:r>
        <w:rPr>
          <w:rtl w:val="true"/>
        </w:rPr>
        <w:t xml:space="preserve">מאותן סיבות לא ראיתי הצדקה להתערב באופן שבו הפעיל בית המשפט את המאסרים המותנים שהיו תלויים נגד המערער </w:t>
      </w:r>
      <w:r>
        <w:rPr>
          <w:rtl w:val="true"/>
        </w:rPr>
        <w:t>(</w:t>
      </w:r>
      <w:r>
        <w:rPr>
          <w:rtl w:val="true"/>
        </w:rPr>
        <w:t>וראו לעניין זה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2.9.2020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מזראיב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14.12.2017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ולבסוף אציין כי לא מצאתי מקום להתערבות בתקופת פסילת רישיון הנהיגה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שכן לא מדובר בתקופה החורגת מהנהוג באופן המצדיק התערבות של ערכאת הערעור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שושן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14.2.2013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ענתבאווי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18.10.2012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המשנה</w:t>
      </w:r>
      <w:r>
        <w:rPr>
          <w:rtl w:val="true"/>
        </w:rPr>
        <w:t>-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"‏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22.12.2021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20025060</w:t>
      </w:r>
      <w:r>
        <w:rPr>
          <w:sz w:val="16"/>
          <w:rtl w:val="true"/>
        </w:rPr>
        <w:t>_</w:t>
      </w:r>
      <w:r>
        <w:rPr>
          <w:sz w:val="16"/>
        </w:rPr>
        <w:t>N04.docx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נ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סולברג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54678313-2506/20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13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2506/20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פלוני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49"/>
        </w:tabs>
        <w:ind w:start="142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David;Malgun Gothic Semilight" w:hAnsi="David;Malgun Gothic Semilight" w:cs="David;Malgun Gothic Semilight"/>
      <w:b w:val="false"/>
      <w:bCs w:val="false"/>
      <w:sz w:val="24"/>
      <w:szCs w:val="24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;Malgun Gothic Semilight"/>
    </w:rPr>
  </w:style>
  <w:style w:type="character" w:styleId="CharChar2">
    <w:name w:val=" Char Char2"/>
    <w:qFormat/>
    <w:rPr>
      <w:rFonts w:cs="David;Malgun Gothic Semilight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5">
    <w:name w:val=" Char Char5"/>
    <w:qFormat/>
    <w:rPr>
      <w:rFonts w:cs="David;Malgun Gothic Semilight"/>
      <w:szCs w:val="24"/>
    </w:rPr>
  </w:style>
  <w:style w:type="character" w:styleId="CharChar4">
    <w:name w:val=" Char Char4"/>
    <w:qFormat/>
    <w:rPr>
      <w:rFonts w:cs="David;Malgun Gothic Semilight"/>
      <w:szCs w:val="24"/>
    </w:rPr>
  </w:style>
  <w:style w:type="character" w:styleId="CharChar">
    <w:name w:val=" Char Char"/>
    <w:qFormat/>
    <w:rPr>
      <w:rFonts w:cs="David;Malgun Gothic Semilight"/>
    </w:rPr>
  </w:style>
  <w:style w:type="character" w:styleId="EndnoteCharacters">
    <w:name w:val="Endnote Characters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ListParagraph">
    <w:name w:val="List Paragraph"/>
    <w:basedOn w:val="Normal"/>
    <w:qFormat/>
    <w:pPr>
      <w:overflowPunct w:val="true"/>
      <w:autoSpaceDE w:val="true"/>
      <w:spacing w:before="0" w:after="0"/>
      <w:ind w:hanging="0" w:start="720" w:end="0"/>
      <w:contextualSpacing/>
      <w:textAlignment w:val="auto"/>
    </w:pPr>
    <w:rPr>
      <w:sz w:val="24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EndnoteText">
    <w:name w:val="endnote text"/>
    <w:basedOn w:val="Normal"/>
    <w:pPr/>
    <w:rPr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1303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29.a.2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64a.b" TargetMode="External"/><Relationship Id="rId8" Type="http://schemas.openxmlformats.org/officeDocument/2006/relationships/hyperlink" Target="http://www.nevo.co.il/case/25213036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5227/64a.b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70301/192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case/13022044" TargetMode="External"/><Relationship Id="rId18" Type="http://schemas.openxmlformats.org/officeDocument/2006/relationships/hyperlink" Target="http://www.nevo.co.il/case/5610792" TargetMode="External"/><Relationship Id="rId19" Type="http://schemas.openxmlformats.org/officeDocument/2006/relationships/hyperlink" Target="http://www.nevo.co.il/case/6248129" TargetMode="External"/><Relationship Id="rId20" Type="http://schemas.openxmlformats.org/officeDocument/2006/relationships/hyperlink" Target="http://www.nevo.co.il/case/5906292" TargetMode="External"/><Relationship Id="rId21" Type="http://schemas.openxmlformats.org/officeDocument/2006/relationships/hyperlink" Target="http://www.nevo.co.il/case/5755406" TargetMode="External"/><Relationship Id="rId22" Type="http://schemas.openxmlformats.org/officeDocument/2006/relationships/hyperlink" Target="http://www.nevo.co.il/case/13022044" TargetMode="External"/><Relationship Id="rId23" Type="http://schemas.openxmlformats.org/officeDocument/2006/relationships/hyperlink" Target="http://www.nevo.co.il/case/22516536" TargetMode="External"/><Relationship Id="rId24" Type="http://schemas.openxmlformats.org/officeDocument/2006/relationships/hyperlink" Target="http://www.nevo.co.il/case/7678836" TargetMode="External"/><Relationship Id="rId25" Type="http://schemas.openxmlformats.org/officeDocument/2006/relationships/hyperlink" Target="http://www.nevo.co.il/case/6193167" TargetMode="External"/><Relationship Id="rId26" Type="http://schemas.openxmlformats.org/officeDocument/2006/relationships/hyperlink" Target="http://www.nevo.co.il/case/20387102" TargetMode="External"/><Relationship Id="rId27" Type="http://schemas.openxmlformats.org/officeDocument/2006/relationships/hyperlink" Target="http://www.nevo.co.il/case/16966850" TargetMode="External"/><Relationship Id="rId28" Type="http://schemas.openxmlformats.org/officeDocument/2006/relationships/hyperlink" Target="http://www.nevo.co.il/case/22642631" TargetMode="External"/><Relationship Id="rId29" Type="http://schemas.openxmlformats.org/officeDocument/2006/relationships/hyperlink" Target="http://www.nevo.co.il/case/22943250" TargetMode="External"/><Relationship Id="rId30" Type="http://schemas.openxmlformats.org/officeDocument/2006/relationships/hyperlink" Target="http://www.nevo.co.il/case/24156634" TargetMode="External"/><Relationship Id="rId31" Type="http://schemas.openxmlformats.org/officeDocument/2006/relationships/hyperlink" Target="http://www.nevo.co.il/case/26538254" TargetMode="External"/><Relationship Id="rId32" Type="http://schemas.openxmlformats.org/officeDocument/2006/relationships/hyperlink" Target="http://www.nevo.co.il/case/21053257" TargetMode="External"/><Relationship Id="rId33" Type="http://schemas.openxmlformats.org/officeDocument/2006/relationships/hyperlink" Target="http://www.nevo.co.il/case/5573138" TargetMode="External"/><Relationship Id="rId34" Type="http://schemas.openxmlformats.org/officeDocument/2006/relationships/hyperlink" Target="http://www.nevo.co.il/case/5875490" TargetMode="External"/><Relationship Id="rId35" Type="http://schemas.openxmlformats.org/officeDocument/2006/relationships/hyperlink" Target="https://supreme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2021-12-23T08:12:00Z</dcterms:created>
  <dc:creator>h4</dc:creator>
  <dc:description/>
  <cp:keywords/>
  <dc:language>en-IL</dc:language>
  <cp:lastModifiedBy>orly</cp:lastModifiedBy>
  <cp:lastPrinted>2021-12-22T09:00:00Z</cp:lastPrinted>
  <dcterms:modified xsi:type="dcterms:W3CDTF">2021-12-23T08:12:00Z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25213036:2;13022044:2;5610792;6248129;5906292;5755406;22516536;7678836;6193167;20387102;16966850;22642631;22943250;24156634;26538254;21053257;5573138;5875490</vt:lpwstr>
  </property>
  <property fmtid="{D5CDD505-2E9C-101B-9397-08002B2CF9AE}" pid="9" name="CITY">
    <vt:lpwstr/>
  </property>
  <property fmtid="{D5CDD505-2E9C-101B-9397-08002B2CF9AE}" pid="10" name="DATE">
    <vt:lpwstr>20211222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מינץ;נ' הנדל</vt:lpwstr>
  </property>
  <property fmtid="{D5CDD505-2E9C-101B-9397-08002B2CF9AE}" pid="14" name="LAWLISTTMP1">
    <vt:lpwstr>70301/329.a.2;192:4</vt:lpwstr>
  </property>
  <property fmtid="{D5CDD505-2E9C-101B-9397-08002B2CF9AE}" pid="15" name="LAWLISTTMP2">
    <vt:lpwstr>5227/064a.b</vt:lpwstr>
  </property>
  <property fmtid="{D5CDD505-2E9C-101B-9397-08002B2CF9AE}" pid="16" name="LAWYER">
    <vt:lpwstr>מוחמד סראחנה;ירון פורר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אלימות במשפחה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אלימות</vt:lpwstr>
  </property>
  <property fmtid="{D5CDD505-2E9C-101B-9397-08002B2CF9AE}" pid="52" name="NOSE33">
    <vt:lpwstr>מדיניות ענישה: שיקולים לחומרה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15628;8984;8995</vt:lpwstr>
  </property>
  <property fmtid="{D5CDD505-2E9C-101B-9397-08002B2CF9AE}" pid="60" name="PADIDATE">
    <vt:lpwstr>20211223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2506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410120211222</vt:lpwstr>
  </property>
  <property fmtid="{D5CDD505-2E9C-101B-9397-08002B2CF9AE}" pid="70" name="TYPE_N_DATE">
    <vt:lpwstr>41020211222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