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2528/20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5492-04-16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12.3.2020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ואריאל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29.11.21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סיימון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הכרעת הדין במסגרתה הורשעו המערערים בביצוע עבירות מין במשפחה מעוגנת היטב בעובדות ובראיות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העונשים הכבדים שהושתו עליהם –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למערערת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מצויים בהלימה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לחומרת מעשיהם המזוויעים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ועל גזר הדין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חקירה במשטרה – מחדלי חקירה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עדות כבושה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שיטה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וגזר דין שניתנו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בגדרם הורשעו המערערים בריבוי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שני מאסרים מותנים ותשלום פיצויים למתלוננות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מערערת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שני מאסרים מותנים ותשלום פיצויים לאחת 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הפרשה מגוללת מסכת של עבירות מין שביצעו מערערים </w:t>
      </w:r>
      <w:r>
        <w:rPr>
          <w:rFonts w:cs="Times New Roman" w:ascii="Times New Roman" w:hAnsi="Times New Roman"/>
          <w:spacing w:val="0"/>
          <w:sz w:val="24"/>
          <w:szCs w:val="26"/>
        </w:rPr>
        <w:t>2-1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 זוג הנשואים זה לזה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ונאשמת נוספת גב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העבירות בוצעו כלפי ביתה של מערערת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מנישואיה הקודמים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המתלוננת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ובבנותיה של גב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עימה היה למערער קשר רומנטי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המתלוננות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גרוסקופף ובהסכמת המשנה לנשיאה הנדל והשופטת 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טענות המערערים ביחס להכרעת הדין מכוונות כלפי ממצאים עובדתיים וקביעות מהימנות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לא בנקל תתערב ערכאת הערעור בממצאי עובדה ומהימנות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האפשרות הניתנת לערכאה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אינה נתונה לערכאת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להתרשם באופן ישיר ובלתי אמצעי מהצדדים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מראיותיהם ומהעדויות מטעמם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 יפה במיוחד ביחס לעבירות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עבירות מין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לרוב 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מעין אלו מבוצעות בחדרי חדרים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וממילא ההכרעה בהן מבוססת בעיקר על עדויות הנפגע והפוגע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ועל התרשמות הערכאה הדיונית מאמינותן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ומהימנותן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עניינם של המערערים נמנה בגדר המקרים החריגים המצדיקים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מצא את גרסאות המתלוננות כאמינות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בהתבסס על התרשמותו הישירה מעדויותיהן לפניו ועל ראיות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התעלם מקשיים ומסתירות בגרסאותיהן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בכבישת עדות של נפגע עבירת מין כדי לפגוע במהימנותה או במשקל שיש לייחס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קיומו של הסבר סביר לכבישת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שיש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הסתמך על עדות השיטה אך כראיית חיזוק לעדויות המתלוננות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ראיות רבות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במידת הדמיון המתקיימת בין גרסאות המתלוננות כדי לראות במעשי המערער כעדות שיטה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כי נפלו בעניינם מחדלי חקירה משמעותיים מצד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לבסס ספק סביר ולהביא לזיכויים של המערערים נדרש שיתקיים מחדל מהותי המקפח את הגנתם והיורד לשורש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המצב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הדין מבוססת היטב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הנשענת על התרשמות הערכאה הדיונית מהעדויות שהובאו בפניה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זאת עדויות המתלוננות והמערערים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ומכלול חומר הראיות שהוגש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קמה כל עילה להתערבות ערכאת הערעור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העונשים שהושתו על המערערים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למרות שהם כוללים עונשי מאסר לתקופות ממושכות וחיוב בפיצויים בסכומים נכבדים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אינם מצדיקים התערבות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מתקיימת בענייננו הלימה בין הזוועה שבמעשי המערערים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קשה להאמין כי בני אנוש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הורים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מסוגלים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העונשים הכבדים שנגזרו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על החומרה היתרה הגלומה בעבירות מין כלפי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וביתר שאת כאשר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העבירות מבוצעות בידי בן משפחה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תוך ניצול לרעה של הקרבה הפיזית והנפשית ושל האמון השורר בתא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המקרה בדין הושתו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על המערער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על המערערת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לצד מאסרים מותנים ופיצוי כספי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בעונשי מאסר כבדים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בהתחשב באופיים ובהימשכותם של מעשי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בעונשים העומדים ביחס הולם לחומרת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המערערים אינו חורג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העונש חורג מהעונש המרבי הקבוע בחוק בגין כל אחת מהעבירות בהן הורשע בנפרד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המערער הורשע בריבוי מעשי פגיעה מינית חמורים ביותר לאורך זמן בשתי מתלוננות 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יחסי האמון והתלות של כל אחת מהן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שלא רק שניתן כעניין של סמכות לפסוק לו עונש העולה על העונש המרבי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שגם 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לפסוק לו עונש 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המערערת בנוגע לשיקולים לקולה הפועלים לטובתה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שלגישתה לא זכו למשקל מספק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להתערבות ערכאת הערעור בגזר דינם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הבכיר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5492-04-16</w:t>
        </w:r>
      </w:hyperlink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/>
        <w:t>.</w:t>
      </w:r>
      <w:r>
        <w:rPr/>
        <w:t>7</w:t>
      </w:r>
      <w:r>
        <w:rPr/>
        <w:t>.2019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/>
        <w:t>.</w:t>
      </w:r>
      <w:r>
        <w:rPr/>
        <w:t>3</w:t>
      </w:r>
      <w:r>
        <w:rPr/>
        <w:t>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כתב האישום בו עסקינן הוגש ביום </w:t>
      </w:r>
      <w:r>
        <w:rPr/>
        <w:t>4.4.2016</w:t>
      </w:r>
      <w:r>
        <w:rPr>
          <w:rtl w:val="true"/>
        </w:rPr>
        <w:t xml:space="preserve">, </w:t>
      </w:r>
      <w:r>
        <w:rPr>
          <w:rtl w:val="true"/>
        </w:rPr>
        <w:t xml:space="preserve">נגד המערערים </w:t>
      </w:r>
      <w:r>
        <w:rPr/>
        <w:t>2-1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 xml:space="preserve">ונגד נאשמת נוספת </w:t>
      </w:r>
      <w:r>
        <w:rPr>
          <w:rtl w:val="true"/>
        </w:rPr>
        <w:t>(</w:t>
      </w:r>
      <w:r>
        <w:rPr>
          <w:rtl w:val="true"/>
        </w:rPr>
        <w:t>אשר תכונה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וכלל שלושה אישומים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או במועד 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נישא המערער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1964</w:t>
      </w:r>
      <w:r>
        <w:rPr>
          <w:rtl w:val="true"/>
        </w:rPr>
        <w:t xml:space="preserve">, </w:t>
      </w:r>
      <w:r>
        <w:rPr>
          <w:rtl w:val="true"/>
        </w:rPr>
        <w:t xml:space="preserve">למערערת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המערערת</w:t>
      </w:r>
      <w:r>
        <w:rPr>
          <w:rtl w:val="true"/>
        </w:rPr>
        <w:t xml:space="preserve">), </w:t>
      </w:r>
      <w:r>
        <w:rPr>
          <w:rtl w:val="true"/>
        </w:rPr>
        <w:t xml:space="preserve">ילידת שנת </w:t>
      </w:r>
      <w:r>
        <w:rPr/>
        <w:t>1963</w:t>
      </w:r>
      <w:r>
        <w:rPr>
          <w:rtl w:val="true"/>
        </w:rPr>
        <w:t xml:space="preserve">. </w:t>
      </w:r>
      <w:r>
        <w:rPr>
          <w:rtl w:val="true"/>
        </w:rPr>
        <w:t>למערערת בת מנישואיה הקודמים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החל משנת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לערך ועד למועד שאינו ידוע</w:t>
      </w:r>
      <w:r>
        <w:rPr>
          <w:rtl w:val="true"/>
        </w:rPr>
        <w:t xml:space="preserve">, </w:t>
      </w:r>
      <w:r>
        <w:rPr>
          <w:rtl w:val="true"/>
        </w:rPr>
        <w:t>המערער היה בקשר רומנטי עם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 xml:space="preserve">ילידת שנת 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שתי בנות</w:t>
      </w:r>
      <w:r>
        <w:rPr>
          <w:rtl w:val="true"/>
        </w:rPr>
        <w:t xml:space="preserve">, </w:t>
      </w:r>
      <w:r>
        <w:rPr>
          <w:rtl w:val="true"/>
        </w:rPr>
        <w:t xml:space="preserve">הראשונה </w:t>
      </w:r>
      <w:r>
        <w:rPr>
          <w:rtl w:val="true"/>
        </w:rPr>
        <w:t>–</w:t>
      </w:r>
      <w:r>
        <w:rPr>
          <w:rtl w:val="true"/>
        </w:rPr>
        <w:t xml:space="preserve"> ילידת </w:t>
      </w:r>
      <w:r>
        <w:rPr/>
        <w:t>1995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וביחד עם המתלוננת </w:t>
      </w:r>
      <w:r>
        <w:rPr/>
        <w:t>1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המתלוננות</w:t>
      </w:r>
      <w:r>
        <w:rPr>
          <w:rtl w:val="true"/>
        </w:rPr>
        <w:t xml:space="preserve">), </w:t>
      </w:r>
      <w:r>
        <w:rPr>
          <w:rtl w:val="true"/>
        </w:rPr>
        <w:t xml:space="preserve">והשנייה </w:t>
      </w:r>
      <w:r>
        <w:rPr>
          <w:rtl w:val="true"/>
        </w:rPr>
        <w:t>–</w:t>
      </w:r>
      <w:r>
        <w:rPr>
          <w:rtl w:val="true"/>
        </w:rPr>
        <w:t xml:space="preserve"> ילידת </w:t>
      </w:r>
      <w:r>
        <w:rPr/>
        <w:t>1998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). </w:t>
      </w:r>
      <w:r>
        <w:rPr>
          <w:rtl w:val="true"/>
        </w:rPr>
        <w:t>יצוין כי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בחרה שלא להצטרף לערעור שהוגש לבית משפט זה על ידי המערערים</w:t>
      </w:r>
      <w:r>
        <w:rPr>
          <w:rtl w:val="true"/>
        </w:rPr>
        <w:t xml:space="preserve">, </w:t>
      </w:r>
      <w:r>
        <w:rPr>
          <w:rtl w:val="true"/>
        </w:rPr>
        <w:t>ומשכך תיאור האירועים להלן יתרכז בחלקים הרלוונטיים למערערים</w:t>
      </w:r>
      <w:r>
        <w:rPr>
          <w:rtl w:val="true"/>
        </w:rPr>
        <w:t xml:space="preserve">, </w:t>
      </w:r>
      <w:r>
        <w:rPr>
          <w:rtl w:val="true"/>
        </w:rPr>
        <w:t>והמעשים המיוחסים לגב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יפורטו אך ככל שהדבר נדרש למען שלמות התמונה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המתואר תחת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התגוררה בדירה אחת יחד עם המערערת ודודתה המבוגרת של המערערת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ועוד בטרם נישואיו למערערת</w:t>
      </w:r>
      <w:r>
        <w:rPr>
          <w:rtl w:val="true"/>
        </w:rPr>
        <w:t xml:space="preserve">, </w:t>
      </w:r>
      <w:r>
        <w:rPr>
          <w:rtl w:val="true"/>
        </w:rPr>
        <w:t>המערער עבר להתגורר גם הוא בדירה</w:t>
      </w:r>
      <w:r>
        <w:rPr>
          <w:rtl w:val="true"/>
        </w:rPr>
        <w:t xml:space="preserve">. </w:t>
      </w:r>
      <w:r>
        <w:rPr>
          <w:rtl w:val="true"/>
        </w:rPr>
        <w:t>על פי העובדות המתוארות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משנת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 xml:space="preserve">ועד סמוך לשנת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ביצע המערער מעשי אינוס ומעשים מגונים במתלוננת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מעשים אלו נעשו בידיעתה ובאישורה של המערערת</w:t>
      </w:r>
      <w:r>
        <w:rPr>
          <w:rtl w:val="true"/>
        </w:rPr>
        <w:t xml:space="preserve">, </w:t>
      </w:r>
      <w:r>
        <w:rPr>
          <w:rtl w:val="true"/>
        </w:rPr>
        <w:t>וחלקם אף בוצעו על ידי המערער והמערערת יחדיו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לשנת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 xml:space="preserve">בהיות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בת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המערערים הכניסו אותה לחדר השינה שלהם בדירה</w:t>
      </w:r>
      <w:r>
        <w:rPr>
          <w:rtl w:val="true"/>
        </w:rPr>
        <w:t xml:space="preserve">, </w:t>
      </w:r>
      <w:r>
        <w:rPr>
          <w:rtl w:val="true"/>
        </w:rPr>
        <w:t>ואמרו לה שעליה ללמוד מהו גבר</w:t>
      </w:r>
      <w:r>
        <w:rPr>
          <w:rtl w:val="true"/>
        </w:rPr>
        <w:t xml:space="preserve">, </w:t>
      </w:r>
      <w:r>
        <w:rPr>
          <w:rtl w:val="true"/>
        </w:rPr>
        <w:t>ומהו איבר מינו של גבר</w:t>
      </w:r>
      <w:r>
        <w:rPr>
          <w:rtl w:val="true"/>
        </w:rPr>
        <w:t xml:space="preserve">, </w:t>
      </w:r>
      <w:r>
        <w:rPr>
          <w:rtl w:val="true"/>
        </w:rPr>
        <w:t>שכן ברצונם לתת לה שיעור לחיים ולהגן עליה מפני גברים אחרים</w:t>
      </w:r>
      <w:r>
        <w:rPr>
          <w:rtl w:val="true"/>
        </w:rPr>
        <w:t xml:space="preserve">. </w:t>
      </w:r>
      <w:r>
        <w:rPr>
          <w:rtl w:val="true"/>
        </w:rPr>
        <w:t>במעמד זה</w:t>
      </w:r>
      <w:r>
        <w:rPr>
          <w:rtl w:val="true"/>
        </w:rPr>
        <w:t xml:space="preserve">, </w:t>
      </w:r>
      <w:r>
        <w:rPr>
          <w:rtl w:val="true"/>
        </w:rPr>
        <w:t>המערער החדיר</w:t>
      </w:r>
      <w:r>
        <w:rPr>
          <w:rtl w:val="true"/>
        </w:rPr>
        <w:t xml:space="preserve">, </w:t>
      </w:r>
      <w:r>
        <w:rPr>
          <w:rtl w:val="true"/>
        </w:rPr>
        <w:t>בנוכחות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את איבר מינו לאיבר מינה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 אף שזו סירבה</w:t>
      </w:r>
      <w:r>
        <w:rPr>
          <w:rtl w:val="true"/>
        </w:rPr>
        <w:t xml:space="preserve">, </w:t>
      </w:r>
      <w:r>
        <w:rPr>
          <w:rtl w:val="true"/>
        </w:rPr>
        <w:t>בכתה וצרחה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החל משנת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 xml:space="preserve">ועד סמוך לתחילת שנת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מדי ערב נהג המערער להחדיר את איבר מינו לאיבר מינה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כאשר זו שכבה במיטתה בסלון או בחדר השינה של המערערים</w:t>
      </w:r>
      <w:r>
        <w:rPr>
          <w:rtl w:val="true"/>
        </w:rPr>
        <w:t xml:space="preserve">, </w:t>
      </w:r>
      <w:r>
        <w:rPr>
          <w:rtl w:val="true"/>
        </w:rPr>
        <w:t>וזאת בניגוד לרצונה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תואר 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בין השנים </w:t>
      </w:r>
      <w:r>
        <w:rPr/>
        <w:t>2005-1995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נהגו להכניס 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לחדר השינה שלהם בדירה</w:t>
      </w:r>
      <w:r>
        <w:rPr>
          <w:rtl w:val="true"/>
        </w:rPr>
        <w:t xml:space="preserve">, </w:t>
      </w:r>
      <w:r>
        <w:rPr>
          <w:rtl w:val="true"/>
        </w:rPr>
        <w:t>ועל פי הנחייתו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נדרשה ללקק את איבר מינה של המערערת</w:t>
      </w:r>
      <w:r>
        <w:rPr>
          <w:rtl w:val="true"/>
        </w:rPr>
        <w:t xml:space="preserve">, </w:t>
      </w:r>
      <w:r>
        <w:rPr>
          <w:rtl w:val="true"/>
        </w:rPr>
        <w:t>ולהפך</w:t>
      </w:r>
      <w:r>
        <w:rPr>
          <w:rtl w:val="true"/>
        </w:rPr>
        <w:t xml:space="preserve">, </w:t>
      </w:r>
      <w:r>
        <w:rPr>
          <w:rtl w:val="true"/>
        </w:rPr>
        <w:t>והכל בנוכחות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נהגו לקיים יחסי מין בנוכחות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ובמסגרת זאת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נדרשה לשבת עירומה</w:t>
      </w:r>
      <w:r>
        <w:rPr>
          <w:rtl w:val="true"/>
        </w:rPr>
        <w:t xml:space="preserve">, </w:t>
      </w:r>
      <w:r>
        <w:rPr>
          <w:rtl w:val="true"/>
        </w:rPr>
        <w:t>כאשר איבר מינה ממוקם ליד פיו של 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נהג להחדיר את איבר מינו לאיבר מינה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בנוכחות המערערת</w:t>
      </w:r>
      <w:r>
        <w:rPr>
          <w:rtl w:val="true"/>
        </w:rPr>
        <w:t xml:space="preserve">, </w:t>
      </w:r>
      <w:r>
        <w:rPr>
          <w:rtl w:val="true"/>
        </w:rPr>
        <w:t>כאשר המערערת נטלה חלק פעיל</w:t>
      </w:r>
      <w:r>
        <w:rPr>
          <w:rtl w:val="true"/>
        </w:rPr>
        <w:t xml:space="preserve">, </w:t>
      </w:r>
      <w:r>
        <w:rPr>
          <w:rtl w:val="true"/>
        </w:rPr>
        <w:t xml:space="preserve">ונגעה באיברי המין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חלק מהאירועים שתוארו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התנגדה למעשים</w:t>
      </w:r>
      <w:r>
        <w:rPr>
          <w:rtl w:val="true"/>
        </w:rPr>
        <w:t xml:space="preserve">, </w:t>
      </w:r>
      <w:r>
        <w:rPr>
          <w:rtl w:val="true"/>
        </w:rPr>
        <w:t>צעקה ובכתה</w:t>
      </w:r>
      <w:r>
        <w:rPr>
          <w:rtl w:val="true"/>
        </w:rPr>
        <w:t xml:space="preserve">, </w:t>
      </w:r>
      <w:r>
        <w:rPr>
          <w:rtl w:val="true"/>
        </w:rPr>
        <w:t>והמערער היה מכה אותה בתגובה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אף נהג להכות 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בנוכחות המערערת</w:t>
      </w:r>
      <w:r>
        <w:rPr>
          <w:rtl w:val="true"/>
        </w:rPr>
        <w:t xml:space="preserve">, </w:t>
      </w:r>
      <w:r>
        <w:rPr>
          <w:rtl w:val="true"/>
        </w:rPr>
        <w:t>בנסיבות שונות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מתארות עובדות האישום הראשון כי בסמוך לשנת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רצתה להכיר גבר בניסיון לברוח מהמערער</w:t>
      </w:r>
      <w:r>
        <w:rPr>
          <w:rtl w:val="true"/>
        </w:rPr>
        <w:t xml:space="preserve">, </w:t>
      </w:r>
      <w:r>
        <w:rPr>
          <w:rtl w:val="true"/>
        </w:rPr>
        <w:t>המערער התעצבן</w:t>
      </w:r>
      <w:r>
        <w:rPr>
          <w:rtl w:val="true"/>
        </w:rPr>
        <w:t xml:space="preserve">, </w:t>
      </w:r>
      <w:r>
        <w:rPr>
          <w:rtl w:val="true"/>
        </w:rPr>
        <w:t xml:space="preserve">סירב שיהיה למתלוננת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 עם גבר אחר</w:t>
      </w:r>
      <w:r>
        <w:rPr>
          <w:rtl w:val="true"/>
        </w:rPr>
        <w:t xml:space="preserve">, </w:t>
      </w:r>
      <w:r>
        <w:rPr>
          <w:rtl w:val="true"/>
        </w:rPr>
        <w:t>והורה לה לבוא עימו לדירתה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ומשכך המערער גרר אותה בכוח ובאיומים לדירתה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כשהגיעו לדירה זו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דרש מהמתלוננת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ללקק את איבר מינה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וזאת על אף שהגב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הייתה באותה עת בזמן הווסת ודיממה מאיבר מינה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ואולם המערער הכריח אותה לעשות זאת במשך מספר דקות</w:t>
      </w:r>
      <w:r>
        <w:rPr>
          <w:rtl w:val="true"/>
        </w:rPr>
        <w:t xml:space="preserve">, </w:t>
      </w:r>
      <w:r>
        <w:rPr>
          <w:rtl w:val="true"/>
        </w:rPr>
        <w:t>ולאחר מכן קיים יחסי מין עם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לעיני המתלוננת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המתואר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החליט לגרום לכך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תהרה ממנו ותלד לו ילד</w:t>
      </w:r>
      <w:r>
        <w:rPr>
          <w:rtl w:val="true"/>
        </w:rPr>
        <w:t xml:space="preserve">, </w:t>
      </w:r>
      <w:r>
        <w:rPr>
          <w:rtl w:val="true"/>
        </w:rPr>
        <w:t>כך סבר כי לא תוכל לברוח ממנו לעולם</w:t>
      </w:r>
      <w:r>
        <w:rPr>
          <w:rtl w:val="true"/>
        </w:rPr>
        <w:t xml:space="preserve">. </w:t>
      </w:r>
      <w:r>
        <w:rPr>
          <w:rtl w:val="true"/>
        </w:rPr>
        <w:t>מסיבה זו</w:t>
      </w:r>
      <w:r>
        <w:rPr>
          <w:rtl w:val="true"/>
        </w:rPr>
        <w:t xml:space="preserve">, </w:t>
      </w:r>
      <w:r>
        <w:rPr>
          <w:rtl w:val="true"/>
        </w:rPr>
        <w:t xml:space="preserve">במשך מספר חודשים החדיר המערער את איבר מינו לאיבר מינה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והגיע לסיפוק מיני בתוך איבר מינה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בכוונה לגרום לה להרות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לאחר מספר חודשים הרתה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וילדה למערער בן</w:t>
      </w:r>
      <w:r>
        <w:rPr>
          <w:rtl w:val="true"/>
        </w:rPr>
        <w:t xml:space="preserve">, </w:t>
      </w:r>
      <w:r>
        <w:rPr>
          <w:rtl w:val="true"/>
        </w:rPr>
        <w:t>אשר התגורר עימם בדירה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גידל אותו כבנו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המעשים המתוארים בוצעו במתלוננת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עד לשנת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אז הייתה מצויה בעיצומו של תהליך חזרה בתשובה</w:t>
      </w:r>
      <w:r>
        <w:rPr>
          <w:rtl w:val="true"/>
        </w:rPr>
        <w:t xml:space="preserve">. </w:t>
      </w:r>
      <w:r>
        <w:rPr>
          <w:rtl w:val="true"/>
        </w:rPr>
        <w:t>במועד סמוך</w:t>
      </w:r>
      <w:r>
        <w:rPr>
          <w:rtl w:val="true"/>
        </w:rPr>
        <w:t xml:space="preserve">, </w:t>
      </w:r>
      <w:r>
        <w:rPr>
          <w:rtl w:val="true"/>
        </w:rPr>
        <w:t>במסגרת ויכוח עם המערער</w:t>
      </w:r>
      <w:r>
        <w:rPr>
          <w:rtl w:val="true"/>
        </w:rPr>
        <w:t xml:space="preserve">, </w:t>
      </w:r>
      <w:r>
        <w:rPr>
          <w:rtl w:val="true"/>
        </w:rPr>
        <w:t>ומתוך מצוקה ורצון שזה יפסיק לבצע בה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נטלה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סכין מהמטבח</w:t>
      </w:r>
      <w:r>
        <w:rPr>
          <w:rtl w:val="true"/>
        </w:rPr>
        <w:t xml:space="preserve">, </w:t>
      </w:r>
      <w:r>
        <w:rPr>
          <w:rtl w:val="true"/>
        </w:rPr>
        <w:t>הושיטה אותו למערער</w:t>
      </w:r>
      <w:r>
        <w:rPr>
          <w:rtl w:val="true"/>
        </w:rPr>
        <w:t xml:space="preserve">, </w:t>
      </w:r>
      <w:r>
        <w:rPr>
          <w:rtl w:val="true"/>
        </w:rPr>
        <w:t>נשכבה על הרצפה וביקשה שיהרוג אותה</w:t>
      </w:r>
      <w:r>
        <w:rPr>
          <w:rtl w:val="true"/>
        </w:rPr>
        <w:t xml:space="preserve">. </w:t>
      </w:r>
      <w:r>
        <w:rPr>
          <w:rtl w:val="true"/>
        </w:rPr>
        <w:t>בעקבות מעשה זה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הפסיק לבצע עבירות מין במתלוננת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לאחר מכן המשיך לאיים עליה שיפגע בה</w:t>
      </w:r>
      <w:r>
        <w:rPr>
          <w:rtl w:val="true"/>
        </w:rPr>
        <w:t xml:space="preserve">, </w:t>
      </w:r>
      <w:r>
        <w:rPr>
          <w:rtl w:val="true"/>
        </w:rPr>
        <w:t>ואף שירצח אותה</w:t>
      </w:r>
      <w:r>
        <w:rPr>
          <w:rtl w:val="true"/>
        </w:rPr>
        <w:t xml:space="preserve">, </w:t>
      </w:r>
      <w:r>
        <w:rPr>
          <w:rtl w:val="true"/>
        </w:rPr>
        <w:t>מתוך מטרה להפחידה</w:t>
      </w:r>
      <w:r>
        <w:rPr>
          <w:rtl w:val="true"/>
        </w:rPr>
        <w:t xml:space="preserve">, </w:t>
      </w:r>
      <w:r>
        <w:rPr>
          <w:rtl w:val="true"/>
        </w:rPr>
        <w:t>וכן המשיך להכותה באופן תדיר</w:t>
      </w:r>
      <w:r>
        <w:rPr>
          <w:rtl w:val="true"/>
        </w:rPr>
        <w:t xml:space="preserve">, </w:t>
      </w:r>
      <w:r>
        <w:rPr>
          <w:rtl w:val="true"/>
        </w:rPr>
        <w:t>מכל סיבה שהיא</w:t>
      </w:r>
      <w:r>
        <w:rPr>
          <w:rtl w:val="true"/>
        </w:rPr>
        <w:t xml:space="preserve">, </w:t>
      </w:r>
      <w:r>
        <w:rPr>
          <w:rtl w:val="true"/>
        </w:rPr>
        <w:t xml:space="preserve">וזאת עד למועד יציאתה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לרגל חתונתה</w:t>
      </w:r>
      <w:r>
        <w:rPr>
          <w:rtl w:val="true"/>
        </w:rPr>
        <w:t xml:space="preserve">. </w:t>
      </w:r>
      <w:r>
        <w:rPr>
          <w:rtl w:val="true"/>
        </w:rPr>
        <w:t>עוד צוין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בין השנים </w:t>
      </w:r>
      <w:r>
        <w:rPr/>
        <w:t>2016-1995</w:t>
      </w:r>
      <w:r>
        <w:rPr>
          <w:rtl w:val="true"/>
        </w:rPr>
        <w:t xml:space="preserve"> </w:t>
      </w:r>
      <w:r>
        <w:rPr>
          <w:rtl w:val="true"/>
        </w:rPr>
        <w:t xml:space="preserve">המערער דרש לדעת היכן נמצאת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בכל עת</w:t>
      </w:r>
      <w:r>
        <w:rPr>
          <w:rtl w:val="true"/>
        </w:rPr>
        <w:t xml:space="preserve">; </w:t>
      </w:r>
      <w:r>
        <w:rPr>
          <w:rtl w:val="true"/>
        </w:rPr>
        <w:t xml:space="preserve">וכי החל מגיל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אז החלה לעבוד</w:t>
      </w:r>
      <w:r>
        <w:rPr>
          <w:rtl w:val="true"/>
        </w:rPr>
        <w:t xml:space="preserve">), </w:t>
      </w:r>
      <w:r>
        <w:rPr>
          <w:rtl w:val="true"/>
        </w:rPr>
        <w:t>היא נהגה למסור לו</w:t>
      </w:r>
      <w:r>
        <w:rPr>
          <w:rtl w:val="true"/>
        </w:rPr>
        <w:t xml:space="preserve">, </w:t>
      </w:r>
      <w:r>
        <w:rPr>
          <w:rtl w:val="true"/>
        </w:rPr>
        <w:t>על פי הוראתו</w:t>
      </w:r>
      <w:r>
        <w:rPr>
          <w:rtl w:val="true"/>
        </w:rPr>
        <w:t xml:space="preserve">, </w:t>
      </w:r>
      <w:r>
        <w:rPr>
          <w:rtl w:val="true"/>
        </w:rPr>
        <w:t>את משכורתה החודשית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המעשים אותם מגולל האישום הראשון</w:t>
      </w:r>
      <w:r>
        <w:rPr>
          <w:rtl w:val="true"/>
        </w:rPr>
        <w:t xml:space="preserve">, </w:t>
      </w:r>
      <w:r>
        <w:rPr>
          <w:rtl w:val="true"/>
        </w:rPr>
        <w:t>יוחסו למערערים ולגב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עבירות של אינוס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בנסיבות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מעשים מגונים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עבירות אינוס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עבירות תקיפה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ועבירות איומים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המתואר תחת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לשנת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</w:t>
      </w:r>
      <w:r>
        <w:rPr>
          <w:rtl w:val="true"/>
        </w:rPr>
        <w:t xml:space="preserve">, </w:t>
      </w:r>
      <w:r>
        <w:rPr>
          <w:rtl w:val="true"/>
        </w:rPr>
        <w:t>נכחו המערער והגב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בחדר השינה בדירתה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המערער והגב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קראו למתלוננת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להיכנס לחדר השינה</w:t>
      </w:r>
      <w:r>
        <w:rPr>
          <w:rtl w:val="true"/>
        </w:rPr>
        <w:t xml:space="preserve">. </w:t>
      </w:r>
      <w:r>
        <w:rPr>
          <w:rtl w:val="true"/>
        </w:rPr>
        <w:t>לאחר שזו נכנסה</w:t>
      </w:r>
      <w:r>
        <w:rPr>
          <w:rtl w:val="true"/>
        </w:rPr>
        <w:t xml:space="preserve">, </w:t>
      </w:r>
      <w:r>
        <w:rPr>
          <w:rtl w:val="true"/>
        </w:rPr>
        <w:t>המערער נעל את דלת החדר</w:t>
      </w:r>
      <w:r>
        <w:rPr>
          <w:rtl w:val="true"/>
        </w:rPr>
        <w:t xml:space="preserve">, </w:t>
      </w:r>
      <w:r>
        <w:rPr>
          <w:rtl w:val="true"/>
        </w:rPr>
        <w:t>והוא והגב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החלו לקיים יחסי מין לעיני המתלוננת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באותו מעמד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הודיע למתלוננת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עליה לראות מה הם עושים</w:t>
      </w:r>
      <w:r>
        <w:rPr>
          <w:rtl w:val="true"/>
        </w:rPr>
        <w:t xml:space="preserve">, </w:t>
      </w:r>
      <w:r>
        <w:rPr>
          <w:rtl w:val="true"/>
        </w:rPr>
        <w:t>מתוך מטרה שתצטרף אליהם בהמשך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פורט במסגרת האישום השני כי בסמוך לשנת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</w:t>
      </w:r>
      <w:r>
        <w:rPr>
          <w:rtl w:val="true"/>
        </w:rPr>
        <w:t xml:space="preserve">, </w:t>
      </w:r>
      <w:r>
        <w:rPr>
          <w:rtl w:val="true"/>
        </w:rPr>
        <w:t>הגיע המערער לדירתה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עם הגיעו</w:t>
      </w:r>
      <w:r>
        <w:rPr>
          <w:rtl w:val="true"/>
        </w:rPr>
        <w:t xml:space="preserve">, </w:t>
      </w:r>
      <w:r>
        <w:rPr>
          <w:rtl w:val="true"/>
        </w:rPr>
        <w:t>פשטה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את בגדיה בפני המתלוננת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ומיד לאחר מכן החלו המערער והגב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לקיים יחסי מין לעיני המתלוננת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וזאת בזמן שהם מבקשים ממנה להביט בהם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מתואר במסגרת האישום השני כי במהלך השנים </w:t>
      </w:r>
      <w:r>
        <w:rPr/>
        <w:t>2006-2002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 שמר על המתלוננות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בביתה של סבתא שלהן</w:t>
      </w:r>
      <w:r>
        <w:rPr>
          <w:rtl w:val="true"/>
        </w:rPr>
        <w:t xml:space="preserve">, </w:t>
      </w:r>
      <w:r>
        <w:rPr>
          <w:rtl w:val="true"/>
        </w:rPr>
        <w:t xml:space="preserve">הוא נהג להחדיר את איבר מינו לפיה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 אשר הגיע לסיפוק מיני</w:t>
      </w:r>
      <w:r>
        <w:rPr>
          <w:rtl w:val="true"/>
        </w:rPr>
        <w:t xml:space="preserve">, </w:t>
      </w:r>
      <w:r>
        <w:rPr>
          <w:rtl w:val="true"/>
        </w:rPr>
        <w:t>תוך שהוא אוחז בשערה ומצמיד אותה אליו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נהג לנשק את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 פיה</w:t>
      </w:r>
      <w:r>
        <w:rPr>
          <w:rtl w:val="true"/>
        </w:rPr>
        <w:t xml:space="preserve">, </w:t>
      </w:r>
      <w:r>
        <w:rPr>
          <w:rtl w:val="true"/>
        </w:rPr>
        <w:t>ולהחדיר את לשונו</w:t>
      </w:r>
      <w:r>
        <w:rPr>
          <w:rtl w:val="true"/>
        </w:rPr>
        <w:t xml:space="preserve">, </w:t>
      </w:r>
      <w:r>
        <w:rPr>
          <w:rtl w:val="true"/>
        </w:rPr>
        <w:t>וכן נהג לבקש ממנה ללטף את חזהו ואת בטנו</w:t>
      </w:r>
      <w:r>
        <w:rPr>
          <w:rtl w:val="true"/>
        </w:rPr>
        <w:t xml:space="preserve">. </w:t>
      </w:r>
      <w:r>
        <w:rPr>
          <w:rtl w:val="true"/>
        </w:rPr>
        <w:t>בכל אותם המקרים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נכחה גם היא בבית הסבתא</w:t>
      </w:r>
      <w:r>
        <w:rPr>
          <w:rtl w:val="true"/>
        </w:rPr>
        <w:t xml:space="preserve">, </w:t>
      </w:r>
      <w:r>
        <w:rPr>
          <w:rtl w:val="true"/>
        </w:rPr>
        <w:t>והמערער נהג לשלוח אותה לצייר</w:t>
      </w:r>
      <w:r>
        <w:rPr>
          <w:rtl w:val="true"/>
        </w:rPr>
        <w:t xml:space="preserve">, </w:t>
      </w:r>
      <w:r>
        <w:rPr>
          <w:rtl w:val="true"/>
        </w:rPr>
        <w:t>או להעסיק את עצמה באופנים דומים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לאחר שבאחת הפעמים המתלוננת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ראתה את המערער ביחד עם המתלוננת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הניא את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מלספר על מעשיו</w:t>
      </w:r>
      <w:r>
        <w:rPr>
          <w:rtl w:val="true"/>
        </w:rPr>
        <w:t xml:space="preserve">, </w:t>
      </w:r>
      <w:r>
        <w:rPr>
          <w:rtl w:val="true"/>
        </w:rPr>
        <w:t>בכך שטען בפניה</w:t>
      </w:r>
      <w:r>
        <w:rPr>
          <w:rtl w:val="true"/>
        </w:rPr>
        <w:t xml:space="preserve">, </w:t>
      </w:r>
      <w:r>
        <w:rPr>
          <w:rtl w:val="true"/>
        </w:rPr>
        <w:t>מספר פעמים</w:t>
      </w:r>
      <w:r>
        <w:rPr>
          <w:rtl w:val="true"/>
        </w:rPr>
        <w:t xml:space="preserve">, </w:t>
      </w:r>
      <w:r>
        <w:rPr>
          <w:rtl w:val="true"/>
        </w:rPr>
        <w:t>כי לא יאמינו לה אם תספר על מעשיו</w:t>
      </w:r>
      <w:r>
        <w:rPr>
          <w:rtl w:val="true"/>
        </w:rPr>
        <w:t xml:space="preserve">, </w:t>
      </w:r>
      <w:r>
        <w:rPr>
          <w:rtl w:val="true"/>
        </w:rPr>
        <w:t>וכי אם תספר על כך לסבתה</w:t>
      </w:r>
      <w:r>
        <w:rPr>
          <w:rtl w:val="true"/>
        </w:rPr>
        <w:t xml:space="preserve">, </w:t>
      </w:r>
      <w:r>
        <w:rPr>
          <w:rtl w:val="true"/>
        </w:rPr>
        <w:t>זו תקבל התקף לב ותמות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נאמר באישום השני כי במהלך השנים </w:t>
      </w:r>
      <w:r>
        <w:rPr/>
        <w:t>2007-2006</w:t>
      </w:r>
      <w:r>
        <w:rPr>
          <w:rtl w:val="true"/>
        </w:rPr>
        <w:t xml:space="preserve"> </w:t>
      </w:r>
      <w:r>
        <w:rPr>
          <w:rtl w:val="true"/>
        </w:rPr>
        <w:t>תקפה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את המתלוננות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, </w:t>
      </w:r>
      <w:r>
        <w:rPr>
          <w:rtl w:val="true"/>
        </w:rPr>
        <w:t>באמצעות הלקאה עם חגורה על רגליהן ועל ישבניהן</w:t>
      </w:r>
      <w:r>
        <w:rPr>
          <w:rtl w:val="true"/>
        </w:rPr>
        <w:t xml:space="preserve">, </w:t>
      </w:r>
      <w:r>
        <w:rPr>
          <w:rtl w:val="true"/>
        </w:rPr>
        <w:t>עד שנותרו סימנים ושטפי דם על גופיהן</w:t>
      </w:r>
      <w:r>
        <w:rPr>
          <w:rtl w:val="true"/>
        </w:rPr>
        <w:t xml:space="preserve">, </w:t>
      </w:r>
      <w:r>
        <w:rPr>
          <w:rtl w:val="true"/>
        </w:rPr>
        <w:t>והכל בעידודו של 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במועד כלשהו בסמוך לשנים </w:t>
      </w:r>
      <w:r>
        <w:rPr/>
        <w:t>2010-2009</w:t>
      </w:r>
      <w:r>
        <w:rPr>
          <w:rtl w:val="true"/>
        </w:rPr>
        <w:t xml:space="preserve"> </w:t>
      </w:r>
      <w:r>
        <w:rPr>
          <w:rtl w:val="true"/>
        </w:rPr>
        <w:t>נכנס המערער לדירתה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בעת שהמתלוננת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הסתרקה</w:t>
      </w:r>
      <w:r>
        <w:rPr>
          <w:rtl w:val="true"/>
        </w:rPr>
        <w:t xml:space="preserve">, </w:t>
      </w:r>
      <w:r>
        <w:rPr>
          <w:rtl w:val="true"/>
        </w:rPr>
        <w:t>ואמר לה כי היא יפתה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התקרבה למתלוננת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ליטפה את כתפה ואז החלה למשש את ישבנה</w:t>
      </w:r>
      <w:r>
        <w:rPr>
          <w:rtl w:val="true"/>
        </w:rPr>
        <w:t xml:space="preserve">, </w:t>
      </w:r>
      <w:r>
        <w:rPr>
          <w:rtl w:val="true"/>
        </w:rPr>
        <w:t>לשם גירוי וסיפוק מיני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יוער כי בשנת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 xml:space="preserve">הוצאה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מחזקתה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 xml:space="preserve">ובשנת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הוצאה גם המתלוננת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מחזקתה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 המתואר במסגרת האישום השני</w:t>
      </w:r>
      <w:r>
        <w:rPr>
          <w:rtl w:val="true"/>
        </w:rPr>
        <w:t xml:space="preserve">, </w:t>
      </w:r>
      <w:r>
        <w:rPr>
          <w:rtl w:val="true"/>
        </w:rPr>
        <w:t>יוחסו למערער ולגב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מעשה סדום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5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מעשה מגונה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hyperlink r:id="rId4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4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5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ועבירת תקיפה של קטין הגורמת חבלה של ממש על ידי אחראי </w:t>
      </w:r>
      <w:r>
        <w:rPr>
          <w:rtl w:val="true"/>
        </w:rPr>
        <w:t>–</w:t>
      </w:r>
      <w:r>
        <w:rPr>
          <w:rtl w:val="true"/>
        </w:rPr>
        <w:t xml:space="preserve"> לפי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סיפא לחוק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אשר עניינו בעבירת הדחה בחקירה 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יוחס אך לגב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אשר כאמור איננה צד להליך זה</w:t>
      </w:r>
      <w:r>
        <w:rPr>
          <w:rtl w:val="true"/>
        </w:rPr>
        <w:t xml:space="preserve">, </w:t>
      </w:r>
      <w:r>
        <w:rPr>
          <w:rtl w:val="true"/>
        </w:rPr>
        <w:t>ומשכך לא יורחב הדיון ביחס אליו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18.7.2019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את המערערים במירב העבירות שיוחסו להם בכתב האישום </w:t>
      </w:r>
      <w:r>
        <w:rPr>
          <w:rtl w:val="true"/>
        </w:rPr>
        <w:t>(</w:t>
      </w:r>
      <w:r>
        <w:rPr>
          <w:rtl w:val="true"/>
        </w:rPr>
        <w:t xml:space="preserve">חוות הדעת העיקרית ניתנה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 xml:space="preserve">כאשר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הצטרף לאמור בה באופן מלא</w:t>
      </w:r>
      <w:r>
        <w:rPr>
          <w:rtl w:val="true"/>
        </w:rPr>
        <w:t xml:space="preserve">, </w:t>
      </w:r>
      <w:r>
        <w:rPr>
          <w:rtl w:val="true"/>
        </w:rPr>
        <w:t xml:space="preserve">ואילו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הצטרף למסקנות</w:t>
      </w:r>
      <w:r>
        <w:rPr>
          <w:rtl w:val="true"/>
        </w:rPr>
        <w:t xml:space="preserve">, </w:t>
      </w:r>
      <w:r>
        <w:rPr>
          <w:rtl w:val="true"/>
        </w:rPr>
        <w:t>והוסיף מספר הערות וחידודים ביחס להנמקה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בהתאם לבקשת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נמנע מלהרשיע את המערערים בעבירות אשר יוחסו להם במסגרת האישום הראשון ובוצעו לכאורה בין התאריכים </w:t>
      </w:r>
      <w:r>
        <w:rPr/>
        <w:t>9.6.2002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17.3.2006</w:t>
      </w:r>
      <w:r>
        <w:rPr>
          <w:rtl w:val="true"/>
        </w:rPr>
        <w:t xml:space="preserve">, </w:t>
      </w:r>
      <w:r>
        <w:rPr>
          <w:rtl w:val="true"/>
        </w:rPr>
        <w:t>וזאת מטעמי התיישנות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בהתאם לבקשת המשיבה</w:t>
      </w:r>
      <w:r>
        <w:rPr>
          <w:rtl w:val="true"/>
        </w:rPr>
        <w:t xml:space="preserve">, </w:t>
      </w:r>
      <w:r>
        <w:rPr>
          <w:rtl w:val="true"/>
        </w:rPr>
        <w:t>בית המשפט לא הרשיע את המערער בעבירות המיוחסת לו בגין האירוע בדירתה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וזאת בשל קיומו של ספק ביחס לשאלת ההתיישנות</w:t>
      </w:r>
      <w:r>
        <w:rPr>
          <w:rtl w:val="true"/>
        </w:rPr>
        <w:t xml:space="preserve">. </w:t>
      </w:r>
      <w:r>
        <w:rPr>
          <w:rtl w:val="true"/>
        </w:rPr>
        <w:t>למעט האמור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המערערים בכלל העבירות שיוחסו להם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הכרעת דינו של בית המשפט המחוזי התבססה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על עדויותיהן של המתלוננות לפניו</w:t>
      </w:r>
      <w:r>
        <w:rPr>
          <w:rtl w:val="true"/>
        </w:rPr>
        <w:t xml:space="preserve">, </w:t>
      </w:r>
      <w:r>
        <w:rPr>
          <w:rtl w:val="true"/>
        </w:rPr>
        <w:t>אותן מצא כמהימנות ומשכנעות</w:t>
      </w:r>
      <w:r>
        <w:rPr>
          <w:rtl w:val="true"/>
        </w:rPr>
        <w:t xml:space="preserve">. </w:t>
      </w:r>
      <w:r>
        <w:rPr>
          <w:rtl w:val="true"/>
        </w:rPr>
        <w:t xml:space="preserve">כך ביחס לעדותה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 המשפט הסביר כי זו כללה התייחסות לפרטים מרובים</w:t>
      </w:r>
      <w:r>
        <w:rPr>
          <w:rtl w:val="true"/>
        </w:rPr>
        <w:t xml:space="preserve">, </w:t>
      </w:r>
      <w:r>
        <w:rPr>
          <w:rtl w:val="true"/>
        </w:rPr>
        <w:t>אשר בחלקם אף היו ייחודיים ופריפריאליים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המצביע על כך שהמדובר בעדות המבוססת על תחושותיה וזיכרונותיה של המתלוננת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כי על אף שניכר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חוותה קושי נפשי ממשי במהלך עדותה</w:t>
      </w:r>
      <w:r>
        <w:rPr>
          <w:rtl w:val="true"/>
        </w:rPr>
        <w:t xml:space="preserve">, </w:t>
      </w:r>
      <w:r>
        <w:rPr>
          <w:rtl w:val="true"/>
        </w:rPr>
        <w:t>היא השתדלה להציג את הדברים בצורה עניינית ומדויקת ככל האפשר</w:t>
      </w:r>
      <w:r>
        <w:rPr>
          <w:rtl w:val="true"/>
        </w:rPr>
        <w:t xml:space="preserve">, </w:t>
      </w:r>
      <w:r>
        <w:rPr>
          <w:rtl w:val="true"/>
        </w:rPr>
        <w:t>ונמנעה מלהשחיר את פני המערערים והגב</w:t>
      </w:r>
      <w:r>
        <w:rPr>
          <w:rtl w:val="true"/>
        </w:rPr>
        <w:t xml:space="preserve">' </w:t>
      </w:r>
      <w:r>
        <w:rPr>
          <w:rtl w:val="true"/>
        </w:rPr>
        <w:t>א למעלה מן הנדרש</w:t>
      </w:r>
      <w:r>
        <w:rPr>
          <w:rtl w:val="true"/>
        </w:rPr>
        <w:t xml:space="preserve">. </w:t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קבע ביחס לעדותה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הגרסה שמסרה הייתה עקבית</w:t>
      </w:r>
      <w:r>
        <w:rPr>
          <w:rtl w:val="true"/>
        </w:rPr>
        <w:t xml:space="preserve">, </w:t>
      </w:r>
      <w:r>
        <w:rPr>
          <w:rtl w:val="true"/>
        </w:rPr>
        <w:t>כי הסבריה היו קוהרנטיים וענייניים</w:t>
      </w:r>
      <w:r>
        <w:rPr>
          <w:rtl w:val="true"/>
        </w:rPr>
        <w:t xml:space="preserve">, </w:t>
      </w:r>
      <w:r>
        <w:rPr>
          <w:rtl w:val="true"/>
        </w:rPr>
        <w:t>וכי האופן שבו תיארה את הדברים נטע את הרושם כי מקורם בזיכרונה</w:t>
      </w:r>
      <w:r>
        <w:rPr>
          <w:rtl w:val="true"/>
        </w:rPr>
        <w:t xml:space="preserve">, </w:t>
      </w:r>
      <w:r>
        <w:rPr>
          <w:rtl w:val="true"/>
        </w:rPr>
        <w:t>וכי היא מנסה ככל הניתן לדייק בדבריה</w:t>
      </w:r>
      <w:r>
        <w:rPr>
          <w:rtl w:val="true"/>
        </w:rPr>
        <w:t xml:space="preserve">, </w:t>
      </w:r>
      <w:r>
        <w:rPr>
          <w:rtl w:val="true"/>
        </w:rPr>
        <w:t>מבלי להוסיף או להחסיר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הוסיף כי גרסתה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 נתמכת על ידי עדויותיהם של הגורמים המטפלים</w:t>
      </w:r>
      <w:r>
        <w:rPr>
          <w:rtl w:val="true"/>
        </w:rPr>
        <w:t xml:space="preserve">, </w:t>
      </w:r>
      <w:r>
        <w:rPr>
          <w:rtl w:val="true"/>
        </w:rPr>
        <w:t xml:space="preserve">אשר עמדו בקשר עם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לאורך השנים</w:t>
      </w:r>
      <w:r>
        <w:rPr>
          <w:rtl w:val="true"/>
        </w:rPr>
        <w:t xml:space="preserve">, </w:t>
      </w:r>
      <w:r>
        <w:rPr>
          <w:rtl w:val="true"/>
        </w:rPr>
        <w:t>מאז שזו יצאה מבית אמה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עוד ציין בית המשפט כי גם מצפייה בסרטוני העימותים שנערכו במשטרה בין המתלוננות לבין המערער</w:t>
      </w:r>
      <w:r>
        <w:rPr>
          <w:rtl w:val="true"/>
        </w:rPr>
        <w:t xml:space="preserve">, </w:t>
      </w:r>
      <w:r>
        <w:rPr>
          <w:rtl w:val="true"/>
        </w:rPr>
        <w:t>המערערת והגב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מתגלים אותות אמת המשכנעים באמיתות גרסתן של המתלוננות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עמד על כך שמתיאורי המעשים בכתב האישום</w:t>
      </w:r>
      <w:r>
        <w:rPr>
          <w:rtl w:val="true"/>
        </w:rPr>
        <w:t xml:space="preserve">, </w:t>
      </w:r>
      <w:r>
        <w:rPr>
          <w:rtl w:val="true"/>
        </w:rPr>
        <w:t>עולה כי קיים דמיון בשיטת ביצוע העבירות נגד המתלוננות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 פי האמור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שתי המתלוננות זומנו לחדר השינה כחלק ממעין טקס </w:t>
      </w:r>
      <w:r>
        <w:rPr>
          <w:rtl w:val="true"/>
        </w:rPr>
        <w:t>"</w:t>
      </w:r>
      <w:r>
        <w:rPr>
          <w:rtl w:val="true"/>
        </w:rPr>
        <w:t>חניכה מינית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טקס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החניכה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נאמר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הולכים</w:t>
      </w:r>
      <w:r>
        <w:rPr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ובהמשך החדיר המערער את איבר מינו לאיבר מינה</w:t>
      </w:r>
      <w:r>
        <w:rPr>
          <w:rtl w:val="true"/>
        </w:rPr>
        <w:t xml:space="preserve">; </w:t>
      </w:r>
      <w:r>
        <w:rPr>
          <w:rtl w:val="true"/>
        </w:rPr>
        <w:t xml:space="preserve">ולמתלוננת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בעודה נדרשת לצפות במערערים מקיימים יחסי מין זה עם זו</w:t>
      </w:r>
      <w:r>
        <w:rPr>
          <w:rtl w:val="true"/>
        </w:rPr>
        <w:t xml:space="preserve">, </w:t>
      </w:r>
      <w:r>
        <w:rPr>
          <w:rtl w:val="true"/>
        </w:rPr>
        <w:t xml:space="preserve">כי היא </w:t>
      </w:r>
      <w:r>
        <w:rPr>
          <w:rtl w:val="true"/>
        </w:rPr>
        <w:t>"</w:t>
      </w:r>
      <w:r>
        <w:rPr>
          <w:rtl w:val="true"/>
        </w:rPr>
        <w:t>לומדת מה זה מין</w:t>
      </w:r>
      <w:r>
        <w:rPr>
          <w:rtl w:val="true"/>
        </w:rPr>
        <w:t xml:space="preserve">" </w:t>
      </w:r>
      <w:r>
        <w:rPr>
          <w:rtl w:val="true"/>
        </w:rPr>
        <w:t>ובהמשך תצטרף אליהם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בשני המקרים התקיפות המיניות בוצעו בשיתוף האם הביולוגית של המתלוננות</w:t>
      </w:r>
      <w:r>
        <w:rPr>
          <w:rtl w:val="true"/>
        </w:rPr>
        <w:t xml:space="preserve">. </w:t>
      </w:r>
      <w:r>
        <w:rPr>
          <w:rtl w:val="true"/>
        </w:rPr>
        <w:t>לגישת בית המשפט המחוזי</w:t>
      </w:r>
      <w:r>
        <w:rPr>
          <w:rtl w:val="true"/>
        </w:rPr>
        <w:t xml:space="preserve">, </w:t>
      </w:r>
      <w:r>
        <w:rPr>
          <w:rtl w:val="true"/>
        </w:rPr>
        <w:t>הדמיון בשיטת הביצוע של המעשים מהווה ראיה לכך שהמערער ביצע את העבירות המיוחסות לו בכתב האישום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דמיון זה מבסס </w:t>
      </w:r>
      <w:r>
        <w:rPr>
          <w:rtl w:val="true"/>
        </w:rPr>
        <w:t>"</w:t>
      </w:r>
      <w:r>
        <w:rPr>
          <w:rtl w:val="true"/>
        </w:rPr>
        <w:t>עדות שיטה</w:t>
      </w:r>
      <w:r>
        <w:rPr>
          <w:rtl w:val="true"/>
        </w:rPr>
        <w:t xml:space="preserve">" </w:t>
      </w:r>
      <w:r>
        <w:rPr>
          <w:rtl w:val="true"/>
        </w:rPr>
        <w:t xml:space="preserve">היכולה למלא למצער את דרישת החיזוק הקבועה </w:t>
      </w:r>
      <w:hyperlink r:id="rId4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ואף עולה כדי סיוע לעדויותיהן של המתלוננות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שלל בית המשפט את האפשרות כי המתלוננות השפיעו אחת על השנייה</w:t>
      </w:r>
      <w:r>
        <w:rPr>
          <w:rtl w:val="true"/>
        </w:rPr>
        <w:t xml:space="preserve">, </w:t>
      </w:r>
      <w:r>
        <w:rPr>
          <w:rtl w:val="true"/>
        </w:rPr>
        <w:t>וקבע כי בין המתלוננות לא היה כל קשר במהלך השנים שקדמו להגשת התלונות על ידן</w:t>
      </w:r>
      <w:r>
        <w:rPr>
          <w:rtl w:val="true"/>
        </w:rPr>
        <w:t xml:space="preserve">. 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הוסיף בית המשפט כי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הודתה כי האירוע בדירתה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אכן התרחש</w:t>
      </w:r>
      <w:r>
        <w:rPr>
          <w:rtl w:val="true"/>
        </w:rPr>
        <w:t xml:space="preserve">, </w:t>
      </w:r>
      <w:r>
        <w:rPr>
          <w:rtl w:val="true"/>
        </w:rPr>
        <w:t xml:space="preserve">ואישרה את גרסתה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בשלוש הזדמנויות שונות</w:t>
      </w:r>
      <w:r>
        <w:rPr>
          <w:rtl w:val="true"/>
        </w:rPr>
        <w:t xml:space="preserve">: </w:t>
      </w:r>
      <w:r>
        <w:rPr>
          <w:rtl w:val="true"/>
        </w:rPr>
        <w:t xml:space="preserve">בעימות בינה לבין המתלוננת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בעימות בינה לבין המערער</w:t>
      </w:r>
      <w:r>
        <w:rPr>
          <w:rtl w:val="true"/>
        </w:rPr>
        <w:t xml:space="preserve">; </w:t>
      </w:r>
      <w:r>
        <w:rPr>
          <w:rtl w:val="true"/>
        </w:rPr>
        <w:t>ובאחת מחקירותיה במשטרה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אף הוסיפה מטעמה פרטים נוספים על אלו אשר תוארו על ידי המתלוננת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 המשפט קבע כי הגם שהמשיבה ביקשה שלא להרשיע את המערער ואת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במעשים המיוחסים להם במסגרת אותו האירוע עקב ספק ביחס להתיישנות</w:t>
      </w:r>
      <w:r>
        <w:rPr>
          <w:rtl w:val="true"/>
        </w:rPr>
        <w:t xml:space="preserve">, </w:t>
      </w:r>
      <w:r>
        <w:rPr>
          <w:rtl w:val="true"/>
        </w:rPr>
        <w:t xml:space="preserve">הרי שאישור גרסת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ביחס לאותו אירוע על ידי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מהווה ראיה בעלת משקל רב</w:t>
      </w:r>
      <w:r>
        <w:rPr>
          <w:rtl w:val="true"/>
        </w:rPr>
        <w:t xml:space="preserve">,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עד כדי ראיית סיוע</w:t>
      </w:r>
      <w:r>
        <w:rPr>
          <w:rtl w:val="true"/>
        </w:rPr>
        <w:t xml:space="preserve">, </w:t>
      </w:r>
      <w:r>
        <w:rPr>
          <w:rtl w:val="true"/>
        </w:rPr>
        <w:t xml:space="preserve">בגרסתה של המתלוננת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</w:t>
      </w:r>
      <w:r>
        <w:rPr>
          <w:rtl w:val="true"/>
        </w:rPr>
        <w:t>(</w:t>
      </w:r>
      <w:r>
        <w:rPr>
          <w:rtl w:val="true"/>
        </w:rPr>
        <w:t xml:space="preserve">במיוחד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, </w:t>
      </w:r>
      <w:r>
        <w:rPr>
          <w:rtl w:val="true"/>
        </w:rPr>
        <w:t xml:space="preserve">שלהדגשתו בעניין זה הצטרף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) </w:t>
      </w:r>
      <w:r>
        <w:rPr>
          <w:rtl w:val="true"/>
        </w:rPr>
        <w:t>הוסיף כי בתיאור האירוע על ידי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באותן שלוש הזדמנויות</w:t>
      </w:r>
      <w:r>
        <w:rPr>
          <w:rtl w:val="true"/>
        </w:rPr>
        <w:t xml:space="preserve">, </w:t>
      </w:r>
      <w:r>
        <w:rPr>
          <w:rtl w:val="true"/>
        </w:rPr>
        <w:t xml:space="preserve">פתחה האחרונה צוהר למערכת היחסים שהתקיימה בין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סותר לחלוטין את גרסאות המערערים בדבר אופי היחסים בין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לבינם</w:t>
      </w:r>
      <w:r>
        <w:rPr>
          <w:rtl w:val="true"/>
        </w:rPr>
        <w:t xml:space="preserve">, </w:t>
      </w:r>
      <w:r>
        <w:rPr>
          <w:rtl w:val="true"/>
        </w:rPr>
        <w:t xml:space="preserve">ומצביע על יכולתו של המערער לשלוט במתלוננת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מצא בית המשפט כי גרסתו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יחסי המין בינו לבין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החלו רק לאחר שזו הגיעה לגיל בגרות ונעשו בהסכמתה</w:t>
      </w:r>
      <w:r>
        <w:rPr>
          <w:rtl w:val="true"/>
        </w:rPr>
        <w:t xml:space="preserve">, </w:t>
      </w:r>
      <w:r>
        <w:rPr>
          <w:rtl w:val="true"/>
        </w:rPr>
        <w:t>אינה משכנעת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שהמערער שיקר מספר פעמים הן בחקירתו במשטרה והן בעדותו לפני בית המשפט בנוגע למעשים המיוחסים לו בכתב האישום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הכחיש בחקירתו הראשונה במשטרה כי הוא אבי הבן שילדה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ורק לאחר שהבין מהשוטרים כי ניתן יהיה לבדוק עניין זה בתוך זמן קצר באמצעות בדיקת </w:t>
      </w:r>
      <w:r>
        <w:rPr/>
        <w:t>DNA</w:t>
      </w:r>
      <w:r>
        <w:rPr>
          <w:rtl w:val="true"/>
        </w:rPr>
        <w:t xml:space="preserve">, </w:t>
      </w:r>
      <w:r>
        <w:rPr>
          <w:rtl w:val="true"/>
        </w:rPr>
        <w:t>שינה את גרסתו והודה כי הוא אכן אביו של הבן</w:t>
      </w:r>
      <w:r>
        <w:rPr>
          <w:rtl w:val="true"/>
        </w:rPr>
        <w:t xml:space="preserve">. </w:t>
      </w:r>
      <w:r>
        <w:rPr>
          <w:rtl w:val="true"/>
        </w:rPr>
        <w:t>בית המשפט הוסיף בהקשר הזה כי כאשר המערער נשאל בחקירתו הנגדית בבית המשפט מדוע טען תחילה במשטרה כי הוא אינו אביו של הבן</w:t>
      </w:r>
      <w:r>
        <w:rPr>
          <w:rtl w:val="true"/>
        </w:rPr>
        <w:t xml:space="preserve">, </w:t>
      </w:r>
      <w:r>
        <w:rPr>
          <w:rtl w:val="true"/>
        </w:rPr>
        <w:t>הוא השיב כי הופעל עליו לחץ מטעם החוקרים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מעיון בפרוטוקול חקירתו של המערער במשטרה</w:t>
      </w:r>
      <w:r>
        <w:rPr>
          <w:rtl w:val="true"/>
        </w:rPr>
        <w:t xml:space="preserve">, </w:t>
      </w:r>
      <w:r>
        <w:rPr>
          <w:rtl w:val="true"/>
        </w:rPr>
        <w:t>לא מצא בית המשפט כל בסיס לטענות המערער בדבר הלחץ שהופעל עליו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גם ביחס לגרסת המערערת</w:t>
      </w:r>
      <w:r>
        <w:rPr>
          <w:rtl w:val="true"/>
        </w:rPr>
        <w:t xml:space="preserve">, </w:t>
      </w:r>
      <w:r>
        <w:rPr>
          <w:rtl w:val="true"/>
        </w:rPr>
        <w:t>אשר תמכה בגרסת המערער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כבר מעדויותיה של זו במשטרה ניתן להתרשם כי היא מסתירה באופן מכוון עבירות שבוצעו על ידה ועל ידי המערער</w:t>
      </w:r>
      <w:r>
        <w:rPr>
          <w:rtl w:val="true"/>
        </w:rPr>
        <w:t xml:space="preserve">. </w:t>
      </w:r>
      <w:r>
        <w:rPr>
          <w:rtl w:val="true"/>
        </w:rPr>
        <w:t>בית המשפט ציין בהקשר הזה</w:t>
      </w:r>
      <w:r>
        <w:rPr>
          <w:rtl w:val="true"/>
        </w:rPr>
        <w:t xml:space="preserve">, </w:t>
      </w:r>
      <w:r>
        <w:rPr>
          <w:rtl w:val="true"/>
        </w:rPr>
        <w:t xml:space="preserve">כי העובדה שבחקירתה הראשונה במשטרה המערערת בחרה לשמור על זכות השתיקה כאשר נשאלה על המעשים המיניים שבוצעו במתלוננת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ואולם מיד בפתח חקירתה השנייה פרשה את כל טענותיה ביחס לאותם המעשים</w:t>
      </w:r>
      <w:r>
        <w:rPr>
          <w:rtl w:val="true"/>
        </w:rPr>
        <w:t xml:space="preserve">, </w:t>
      </w:r>
      <w:r>
        <w:rPr>
          <w:rtl w:val="true"/>
        </w:rPr>
        <w:t>מעלה תמיהה</w:t>
      </w:r>
      <w:r>
        <w:rPr>
          <w:rtl w:val="true"/>
        </w:rPr>
        <w:t xml:space="preserve">. </w:t>
      </w:r>
      <w:r>
        <w:rPr>
          <w:rtl w:val="true"/>
        </w:rPr>
        <w:t>בית המשפט הוסיף כי אף חקירתה של המערערת בבית המשפט העלתה תמיהות רבות</w:t>
      </w:r>
      <w:r>
        <w:rPr>
          <w:rtl w:val="true"/>
        </w:rPr>
        <w:t xml:space="preserve">, </w:t>
      </w:r>
      <w:r>
        <w:rPr>
          <w:rtl w:val="true"/>
        </w:rPr>
        <w:t>וכללה סתירות באופן אשר לא מותיר מנוס מהמסקנה כי גרסתה לאירועים היא שקרית ובלתי מהימנה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המשפט דחה את 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לפיהן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בדתה את תלונתה נגד המערערים כיוון שחששה שבעלה יעזוב אותה לאחר שגילה כי הבן נולד כתוצאה מקיום יחסי מין בינה לבין המערער </w:t>
      </w:r>
      <w:r>
        <w:rPr>
          <w:rtl w:val="true"/>
        </w:rPr>
        <w:t>–</w:t>
      </w:r>
      <w:r>
        <w:rPr>
          <w:rtl w:val="true"/>
        </w:rPr>
        <w:t xml:space="preserve"> אביה החורג</w:t>
      </w:r>
      <w:r>
        <w:rPr>
          <w:rtl w:val="true"/>
        </w:rPr>
        <w:t xml:space="preserve">, </w:t>
      </w:r>
      <w:r>
        <w:rPr>
          <w:rtl w:val="true"/>
        </w:rPr>
        <w:t>הנשוי לאמה</w:t>
      </w:r>
      <w:r>
        <w:rPr>
          <w:rtl w:val="true"/>
        </w:rPr>
        <w:t xml:space="preserve">. </w:t>
      </w:r>
      <w:r>
        <w:rPr>
          <w:rtl w:val="true"/>
        </w:rPr>
        <w:t xml:space="preserve">יצוין כי בעלה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גילה עובדה זו כאשר נחשף באופן מקרי לטיוטת מכתב אשר נכתב על ידי המתלוננת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טיוטת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המכתב</w:t>
      </w:r>
      <w:r>
        <w:rPr>
          <w:rtl w:val="true"/>
        </w:rPr>
        <w:t xml:space="preserve">), </w:t>
      </w:r>
      <w:r>
        <w:rPr>
          <w:rtl w:val="true"/>
        </w:rPr>
        <w:t>ובו ציינה כי הבן נולד כתוצאה מקשר המנוגד להלכה בינה לבין אביה החורג</w:t>
      </w:r>
      <w:r>
        <w:rPr>
          <w:rtl w:val="true"/>
        </w:rPr>
        <w:t xml:space="preserve">. </w:t>
      </w:r>
      <w:r>
        <w:rPr>
          <w:rtl w:val="true"/>
        </w:rPr>
        <w:t>בית המשפט קבע בהקשר הזה</w:t>
      </w:r>
      <w:r>
        <w:rPr>
          <w:rtl w:val="true"/>
        </w:rPr>
        <w:t xml:space="preserve">, </w:t>
      </w:r>
      <w:r>
        <w:rPr>
          <w:rtl w:val="true"/>
        </w:rPr>
        <w:t xml:space="preserve">כי יש לשלול מכל ומכל את האפשרות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בדתה את תלונתה נגד המערער כדי להסביר לבעלה כיצד קיימה יחסי מין עם אביה החורג</w:t>
      </w:r>
      <w:r>
        <w:rPr>
          <w:rtl w:val="true"/>
        </w:rPr>
        <w:t xml:space="preserve">, </w:t>
      </w:r>
      <w:r>
        <w:rPr>
          <w:rtl w:val="true"/>
        </w:rPr>
        <w:t>וזאת בהתבסס על שאר הראיות בתיק המוכיחות מעל לכל ספק סביר את ביצוע העבירות הנטענות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למכתב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דן בטענות המערער לפיהן יש באמור בו כדי לסתור את טענות המתלוננת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המערער טען שהתיאורים החיוביים המיוחסים לו על ידי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במכתב מלמדים כי הוא שימש לה כאב תומך ומגן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כי במכתב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ציינה ש</w:t>
      </w:r>
      <w:r>
        <w:rPr>
          <w:rtl w:val="true"/>
        </w:rPr>
        <w:t>"</w:t>
      </w:r>
      <w:r>
        <w:rPr>
          <w:rtl w:val="true"/>
        </w:rPr>
        <w:t>לצערה</w:t>
      </w:r>
      <w:r>
        <w:rPr>
          <w:rtl w:val="true"/>
        </w:rPr>
        <w:t xml:space="preserve">" </w:t>
      </w:r>
      <w:r>
        <w:rPr>
          <w:rtl w:val="true"/>
        </w:rPr>
        <w:t>הקשר ביניהם התפתח לכיוון שנוגד את ההלכה</w:t>
      </w:r>
      <w:r>
        <w:rPr>
          <w:rtl w:val="true"/>
        </w:rPr>
        <w:t xml:space="preserve">, </w:t>
      </w:r>
      <w:r>
        <w:rPr>
          <w:rtl w:val="true"/>
        </w:rPr>
        <w:t>ולגישת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השימוש במילה </w:t>
      </w:r>
      <w:r>
        <w:rPr>
          <w:rtl w:val="true"/>
        </w:rPr>
        <w:t>"</w:t>
      </w:r>
      <w:r>
        <w:rPr>
          <w:rtl w:val="true"/>
        </w:rPr>
        <w:t>לצערה</w:t>
      </w:r>
      <w:r>
        <w:rPr>
          <w:rtl w:val="true"/>
        </w:rPr>
        <w:t xml:space="preserve">" </w:t>
      </w:r>
      <w:r>
        <w:rPr>
          <w:rtl w:val="true"/>
        </w:rPr>
        <w:t xml:space="preserve">ותיאור הקשר ככזה </w:t>
      </w:r>
      <w:r>
        <w:rPr>
          <w:rtl w:val="true"/>
        </w:rPr>
        <w:t>"</w:t>
      </w:r>
      <w:r>
        <w:rPr>
          <w:rtl w:val="true"/>
        </w:rPr>
        <w:t>שנוגד את ההלכה</w:t>
      </w:r>
      <w:r>
        <w:rPr>
          <w:rtl w:val="true"/>
        </w:rPr>
        <w:t xml:space="preserve">", </w:t>
      </w:r>
      <w:r>
        <w:rPr>
          <w:rtl w:val="true"/>
        </w:rPr>
        <w:t>אך לא את החוק</w:t>
      </w:r>
      <w:r>
        <w:rPr>
          <w:rtl w:val="true"/>
        </w:rPr>
        <w:t xml:space="preserve">, </w:t>
      </w:r>
      <w:r>
        <w:rPr>
          <w:rtl w:val="true"/>
        </w:rPr>
        <w:t xml:space="preserve">מלמדים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הייתה קורבן לתקיפות מיניות מצדו</w:t>
      </w:r>
      <w:r>
        <w:rPr>
          <w:rtl w:val="true"/>
        </w:rPr>
        <w:t xml:space="preserve">. </w:t>
      </w:r>
      <w:r>
        <w:rPr>
          <w:rtl w:val="true"/>
        </w:rPr>
        <w:t>בית המשפט דחה טענות אלה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וקבע כי המכתב שטיוטה שלו נמצאה ביומנה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מיועד היה להישלח לרב ידוע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הכירה</w:t>
      </w:r>
      <w:r>
        <w:rPr>
          <w:rtl w:val="true"/>
        </w:rPr>
        <w:t xml:space="preserve">, </w:t>
      </w:r>
      <w:r>
        <w:rPr>
          <w:rtl w:val="true"/>
        </w:rPr>
        <w:t>ומשכך אין פלא שזו בחרה שלא להכליל בו פרטים על אודות התקיפות המיניות שחוותה</w:t>
      </w:r>
      <w:r>
        <w:rPr>
          <w:rtl w:val="true"/>
        </w:rPr>
        <w:t xml:space="preserve">, </w:t>
      </w:r>
      <w:r>
        <w:rPr>
          <w:rtl w:val="true"/>
        </w:rPr>
        <w:t>שכן היא התרגלה שלא לחשוף פרטים אלו בפני איש</w:t>
      </w:r>
      <w:r>
        <w:rPr>
          <w:rtl w:val="true"/>
        </w:rPr>
        <w:t xml:space="preserve">. </w:t>
      </w:r>
      <w:r>
        <w:rPr>
          <w:rtl w:val="true"/>
        </w:rPr>
        <w:t>בית המשפט הוסיף כי בעוד שטיוטת המכתב אכן מעלה תמיהה מסוימת</w:t>
      </w:r>
      <w:r>
        <w:rPr>
          <w:rtl w:val="true"/>
        </w:rPr>
        <w:t xml:space="preserve">, </w:t>
      </w:r>
      <w:r>
        <w:rPr>
          <w:rtl w:val="true"/>
        </w:rPr>
        <w:t xml:space="preserve">אין בה כדי להצביע על כך שטענות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שקריות או בדויות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המחוזי את המערער בעבירות של אינוס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4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5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3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מעשים מגונים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5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55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5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9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אינוס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מעשה סדום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6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6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סעיף </w:t>
      </w:r>
      <w:hyperlink r:id="rId6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סעיפים </w:t>
      </w:r>
      <w:hyperlink r:id="rId65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6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מעשה סדום </w:t>
      </w:r>
      <w:r>
        <w:rPr>
          <w:rtl w:val="true"/>
        </w:rPr>
        <w:t>(</w:t>
      </w:r>
      <w:r>
        <w:rPr>
          <w:rtl w:val="true"/>
        </w:rPr>
        <w:t>מספר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6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תקיפה </w:t>
      </w:r>
      <w:r>
        <w:rPr>
          <w:rtl w:val="true"/>
        </w:rPr>
        <w:t>(</w:t>
      </w:r>
      <w:r>
        <w:rPr>
          <w:rtl w:val="true"/>
        </w:rPr>
        <w:t>מספר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איומים </w:t>
      </w:r>
      <w:r>
        <w:rPr>
          <w:rtl w:val="true"/>
        </w:rPr>
        <w:t>(</w:t>
      </w:r>
      <w:r>
        <w:rPr>
          <w:rtl w:val="true"/>
        </w:rPr>
        <w:t>מספר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אשר למערערת</w:t>
      </w:r>
      <w:r>
        <w:rPr>
          <w:rtl w:val="true"/>
        </w:rPr>
        <w:t xml:space="preserve">, </w:t>
      </w:r>
      <w:r>
        <w:rPr>
          <w:rtl w:val="true"/>
        </w:rPr>
        <w:t xml:space="preserve">פסק בית המשפט כי יש להרשיעה בעבירות של אינוס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7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7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6"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ומעשים מגונים במשפחה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7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7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9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ובצירוף </w:t>
      </w:r>
      <w:hyperlink r:id="rId8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 xml:space="preserve">גזר דינם של המערערים ניתן ביום </w:t>
      </w:r>
      <w:r>
        <w:rPr/>
        <w:t>12.3.2020</w:t>
      </w:r>
      <w:r>
        <w:rPr>
          <w:rtl w:val="true"/>
        </w:rPr>
        <w:t xml:space="preserve">. </w:t>
      </w:r>
      <w:r>
        <w:rPr>
          <w:rtl w:val="true"/>
        </w:rPr>
        <w:t xml:space="preserve">במסגרת גזר הדין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עמד בית המשפט המחוזי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בין השאר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האמור בתסקיר נפגעות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 עיקרי הדברים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, </w:t>
      </w:r>
      <w:r>
        <w:rPr>
          <w:rtl w:val="true"/>
        </w:rPr>
        <w:t>מורכבויות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ומוקדי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ולכניעות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משפחה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בהתפתחותה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tl w:val="true"/>
        </w:rPr>
        <w:t xml:space="preserve">, </w:t>
      </w:r>
      <w:r>
        <w:rPr>
          <w:rtl w:val="true"/>
        </w:rPr>
        <w:t>והובילו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אצלה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לאובדנות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tl w:val="true"/>
        </w:rPr>
        <w:t xml:space="preserve"> בית המשפט</w:t>
      </w:r>
      <w:r>
        <w:rPr>
          <w:rtl w:val="true"/>
        </w:rPr>
        <w:t xml:space="preserve"> </w:t>
      </w:r>
      <w:r>
        <w:rPr>
          <w:rtl w:val="true"/>
        </w:rPr>
        <w:t xml:space="preserve">גם </w:t>
      </w:r>
      <w:r>
        <w:rPr>
          <w:rtl w:val="true"/>
        </w:rPr>
        <w:t>לטענות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ולראיות שהגישו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ובכלל זאת לעדים אשר העידו לפניו מטעם המערערים</w:t>
      </w:r>
      <w:r>
        <w:rPr>
          <w:rtl w:val="true"/>
        </w:rPr>
        <w:t xml:space="preserve">, </w:t>
      </w:r>
      <w:r>
        <w:rPr>
          <w:rtl w:val="true"/>
        </w:rPr>
        <w:t>ובפרט לעדויות בתם ובנם המשותפים של המערערים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לקבוע את מתחם העונש ההולם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הביא בית המשפט במניין שיקוליו את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את הפגיעה הקשה במקרה דנן בערכים מוגנים</w:t>
      </w:r>
      <w:r>
        <w:rPr>
          <w:rtl w:val="true"/>
        </w:rPr>
        <w:t xml:space="preserve">, </w:t>
      </w:r>
      <w:r>
        <w:rPr>
          <w:rtl w:val="true"/>
        </w:rPr>
        <w:t>ואת נסיבות ביצוע העבירות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הדגיש בית המשפט כי עסקינן במעשים מרובים אשר נמשכו על פני תקופה של שנים</w:t>
      </w:r>
      <w:r>
        <w:rPr>
          <w:rtl w:val="true"/>
        </w:rPr>
        <w:t xml:space="preserve">, </w:t>
      </w:r>
      <w:r>
        <w:rPr>
          <w:rtl w:val="true"/>
        </w:rPr>
        <w:t>ובוצעו על ידי המערער כמי ששמש עבור המתלוננות כדמות אב</w:t>
      </w:r>
      <w:r>
        <w:rPr>
          <w:rtl w:val="true"/>
        </w:rPr>
        <w:t xml:space="preserve">, </w:t>
      </w:r>
      <w:r>
        <w:rPr>
          <w:rtl w:val="true"/>
        </w:rPr>
        <w:t>בשיתוף עם אימהותיהן הביולוגיות</w:t>
      </w:r>
      <w:r>
        <w:rPr>
          <w:rtl w:val="true"/>
        </w:rPr>
        <w:t xml:space="preserve">. </w:t>
      </w:r>
      <w:r>
        <w:rPr>
          <w:rtl w:val="true"/>
        </w:rPr>
        <w:t>בשים לב לכל אלה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בעניינו של המערער ביחס לאישום הראשון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26-16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וביחס לאישום השני על </w:t>
      </w:r>
      <w:r>
        <w:rPr/>
        <w:t>17-11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אשר למערערת</w:t>
      </w:r>
      <w:r>
        <w:rPr>
          <w:rtl w:val="true"/>
        </w:rPr>
        <w:t xml:space="preserve">, </w:t>
      </w: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הענישה בעניינה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16-10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בחן בית המשפט המחוזי את הנסיבות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את העובדה כי המערערים נעדרי כל עבר פלילי </w:t>
      </w:r>
      <w:r>
        <w:rPr>
          <w:rtl w:val="true"/>
        </w:rPr>
        <w:t>(</w:t>
      </w:r>
      <w:r>
        <w:rPr>
          <w:rtl w:val="true"/>
        </w:rPr>
        <w:t>ואולם הדגיש כי לא ניתן להתעלם בהקשר זה מכך שהמעשים בוצעו במשך שנים</w:t>
      </w:r>
      <w:r>
        <w:rPr>
          <w:rtl w:val="true"/>
        </w:rPr>
        <w:t xml:space="preserve">); </w:t>
      </w:r>
      <w:r>
        <w:rPr>
          <w:rtl w:val="true"/>
        </w:rPr>
        <w:t>את משך הזמן שחלף מעת ביצוע העבירות</w:t>
      </w:r>
      <w:r>
        <w:rPr>
          <w:rtl w:val="true"/>
        </w:rPr>
        <w:t xml:space="preserve">; </w:t>
      </w:r>
      <w:r>
        <w:rPr>
          <w:rtl w:val="true"/>
        </w:rPr>
        <w:t>את עדויות בתם ובנם של המערערים בדבר אופיים הטוב של המערערים</w:t>
      </w:r>
      <w:r>
        <w:rPr>
          <w:rtl w:val="true"/>
        </w:rPr>
        <w:t xml:space="preserve">; </w:t>
      </w:r>
      <w:r>
        <w:rPr>
          <w:rtl w:val="true"/>
        </w:rPr>
        <w:t>את חזרתם בתשובה של המערערים ומעורבותם בקהילה</w:t>
      </w:r>
      <w:r>
        <w:rPr>
          <w:rtl w:val="true"/>
        </w:rPr>
        <w:t xml:space="preserve">; </w:t>
      </w:r>
      <w:r>
        <w:rPr>
          <w:rtl w:val="true"/>
        </w:rPr>
        <w:t>את מצבו הרפואי הלוקה של המערער</w:t>
      </w:r>
      <w:r>
        <w:rPr>
          <w:rtl w:val="true"/>
        </w:rPr>
        <w:t xml:space="preserve">; </w:t>
      </w:r>
      <w:r>
        <w:rPr>
          <w:rtl w:val="true"/>
        </w:rPr>
        <w:t>וכן את משך שהותם של המערערים במעצר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גם בהיעדר נטילת אחריות מצד המערערים</w:t>
      </w:r>
      <w:r>
        <w:rPr>
          <w:rtl w:val="true"/>
        </w:rPr>
        <w:t xml:space="preserve">, </w:t>
      </w:r>
      <w:r>
        <w:rPr>
          <w:rtl w:val="true"/>
        </w:rPr>
        <w:t>וכן בעובדה כי אלו לא חסכו מהמתלוננות את הצורך להעיד בבית המשפט</w:t>
      </w:r>
      <w:r>
        <w:rPr>
          <w:rtl w:val="true"/>
        </w:rPr>
        <w:t xml:space="preserve">, </w:t>
      </w:r>
      <w:r>
        <w:rPr>
          <w:rtl w:val="true"/>
        </w:rPr>
        <w:t>על החוויה הקשה הכרוכה בכך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ועל רקע האמור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וקבע כי יש להטיל על המערער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לצד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מהכלא בגין ביצוע עבירות מין או אלימות מסוג 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שנה מיום שחרורו מהכלא בגין עבירות מין או אלימות מסוג עוון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בסך של </w:t>
      </w:r>
      <w:r>
        <w:rPr/>
        <w:t>208,000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ולמתלוננת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בסך של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למערערת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יש להטיל עליה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מעצרה</w:t>
      </w:r>
      <w:r>
        <w:rPr>
          <w:rtl w:val="true"/>
        </w:rPr>
        <w:t xml:space="preserve">; </w:t>
      </w:r>
      <w:r>
        <w:rPr>
          <w:rtl w:val="true"/>
        </w:rPr>
        <w:t xml:space="preserve">לצד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בגין עבירות מסוג 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שנתיים בגין עבירות מין או אלימות מסוג עוון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מכוון הן להכרעת הדין והן לגזר הדין</w:t>
      </w:r>
      <w:r>
        <w:rPr>
          <w:rtl w:val="true"/>
        </w:rPr>
        <w:t xml:space="preserve">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כי שגה בית המשפט המחוזי כאשר נתן אמון בגרסתה השקרית והכבושה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וכאשר קבע כי גרסתו שלו אינה מהימנה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 xml:space="preserve">גרסתה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מלאה בסתירות היורדות לשורשו של עניין</w:t>
      </w:r>
      <w:r>
        <w:rPr>
          <w:rtl w:val="true"/>
        </w:rPr>
        <w:t xml:space="preserve">, </w:t>
      </w:r>
      <w:r>
        <w:rPr>
          <w:rtl w:val="true"/>
        </w:rPr>
        <w:t>ומעלה לא פעם תמיהות רבות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בעוד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מסרה כי התקיפות המיניות בוצעו מידי יום</w:t>
      </w:r>
      <w:r>
        <w:rPr>
          <w:rtl w:val="true"/>
        </w:rPr>
        <w:t xml:space="preserve">, </w:t>
      </w:r>
      <w:r>
        <w:rPr>
          <w:rtl w:val="true"/>
        </w:rPr>
        <w:t>היא ידעה לתאר אירוע תקיפה אחד בלבד</w:t>
      </w:r>
      <w:r>
        <w:rPr>
          <w:rtl w:val="true"/>
        </w:rPr>
        <w:t xml:space="preserve">, </w:t>
      </w:r>
      <w:r>
        <w:rPr>
          <w:rtl w:val="true"/>
        </w:rPr>
        <w:t>ואף נמנעה מלמקם את האירועים על ציר הזמן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סתרה את עצמה כאשר טענה מחד שהוא ידע להכותה באופן כזה שלא ישאיר סימנים על גופה</w:t>
      </w:r>
      <w:r>
        <w:rPr>
          <w:rtl w:val="true"/>
        </w:rPr>
        <w:t xml:space="preserve">, </w:t>
      </w:r>
      <w:r>
        <w:rPr>
          <w:rtl w:val="true"/>
        </w:rPr>
        <w:t>ומאידך טענה שאמה נאלצה להרכיב משקפיים על מנת להסתיר את סימני האלימות שהמערער הפעיל כלפיה</w:t>
      </w:r>
      <w:r>
        <w:rPr>
          <w:rtl w:val="true"/>
        </w:rPr>
        <w:t xml:space="preserve">. </w:t>
      </w:r>
      <w:r>
        <w:rPr>
          <w:rtl w:val="true"/>
        </w:rPr>
        <w:t>המערער טוען כי גרסתו שלו הייתה עקבית</w:t>
      </w:r>
      <w:r>
        <w:rPr>
          <w:rtl w:val="true"/>
        </w:rPr>
        <w:t xml:space="preserve">, </w:t>
      </w:r>
      <w:r>
        <w:rPr>
          <w:rtl w:val="true"/>
        </w:rPr>
        <w:t xml:space="preserve">מהימנה וכזו המותירה רושם של </w:t>
      </w:r>
      <w:r>
        <w:rPr>
          <w:rtl w:val="true"/>
        </w:rPr>
        <w:t>"</w:t>
      </w:r>
      <w:r>
        <w:rPr>
          <w:rtl w:val="true"/>
        </w:rPr>
        <w:t>אותות אמת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טוען המערער כי בית המשפט התעלם מהטריגר אשר הביא 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לחשוף את המעשים למעלה מחמש שנים לאחר שהסתיימו לכאורה</w:t>
      </w:r>
      <w:r>
        <w:rPr>
          <w:rtl w:val="true"/>
        </w:rPr>
        <w:t xml:space="preserve">, </w:t>
      </w:r>
      <w:r>
        <w:rPr>
          <w:rtl w:val="true"/>
        </w:rPr>
        <w:t xml:space="preserve">והוא גילויה של טיוטת המכתב על ידי בעלה של המתלוננת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בדתה את תלונתה מחשש שבעלה יעזוב אותה לאחר שגילה</w:t>
      </w:r>
      <w:r>
        <w:rPr>
          <w:rtl w:val="true"/>
        </w:rPr>
        <w:t xml:space="preserve">, </w:t>
      </w:r>
      <w:r>
        <w:rPr>
          <w:rtl w:val="true"/>
        </w:rPr>
        <w:t>כתוצאה מקריאת טיוטת המכתב</w:t>
      </w:r>
      <w:r>
        <w:rPr>
          <w:rtl w:val="true"/>
        </w:rPr>
        <w:t xml:space="preserve">, </w:t>
      </w:r>
      <w:r>
        <w:rPr>
          <w:rtl w:val="true"/>
        </w:rPr>
        <w:t>כי המערער הוא אבי הבן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וטוען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בחרה ביודעין להשמיט את הסיבה שהביאה אותה לשתף את בעלה בתקיפות המיניות שחוותה</w:t>
      </w:r>
      <w:r>
        <w:rPr>
          <w:rtl w:val="true"/>
        </w:rPr>
        <w:t xml:space="preserve">, </w:t>
      </w:r>
      <w:r>
        <w:rPr>
          <w:rtl w:val="true"/>
        </w:rPr>
        <w:t>ובכלל זאת את עצם קיומה של טיוטת המכתב</w:t>
      </w:r>
      <w:r>
        <w:rPr>
          <w:rtl w:val="true"/>
        </w:rPr>
        <w:t xml:space="preserve">, </w:t>
      </w:r>
      <w:r>
        <w:rPr>
          <w:rtl w:val="true"/>
        </w:rPr>
        <w:t>הן בהודעותיה במשטרה והן בחקירתה הראשית בבית המשפט</w:t>
      </w:r>
      <w:r>
        <w:rPr>
          <w:rtl w:val="true"/>
        </w:rPr>
        <w:t xml:space="preserve">, </w:t>
      </w:r>
      <w:r>
        <w:rPr>
          <w:rtl w:val="true"/>
        </w:rPr>
        <w:t>וכי בכך יש כדי להשליך על מהימנותה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הכתוב בטיוטת המכתב סותר את עדותה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 המעשים שבוצעו בה</w:t>
      </w:r>
      <w:r>
        <w:rPr>
          <w:rtl w:val="true"/>
        </w:rPr>
        <w:t xml:space="preserve">, </w:t>
      </w:r>
      <w:r>
        <w:rPr>
          <w:rtl w:val="true"/>
        </w:rPr>
        <w:t>ובדבר טיב יחסה אל המערער</w:t>
      </w:r>
      <w:r>
        <w:rPr>
          <w:rtl w:val="true"/>
        </w:rPr>
        <w:t xml:space="preserve">, </w:t>
      </w:r>
      <w:r>
        <w:rPr>
          <w:rtl w:val="true"/>
        </w:rPr>
        <w:t>ומעלה שאלות רבות בנוגע לסיבות שהביאו אותה לידי הגשת תלונתה</w:t>
      </w:r>
      <w:r>
        <w:rPr>
          <w:rtl w:val="true"/>
        </w:rPr>
        <w:t xml:space="preserve">.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טוען המערער כי בית המשפט המחוזי שגה כאשר לא נתן לטיוטת המכתב את המשקל הראייתי הראוי לה</w:t>
      </w:r>
      <w:r>
        <w:rPr>
          <w:rtl w:val="true"/>
        </w:rPr>
        <w:t xml:space="preserve">. </w:t>
      </w:r>
      <w:r>
        <w:rPr>
          <w:rtl w:val="true"/>
        </w:rPr>
        <w:t>עוד מוסיף המערער כי שגה בית המשפט כאשר לא נתן משקל לעדויות עדי ההגנה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לתיאורה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 ידי אותם העדים כאישה חזקה</w:t>
      </w:r>
      <w:r>
        <w:rPr>
          <w:rtl w:val="true"/>
        </w:rPr>
        <w:t xml:space="preserve">, </w:t>
      </w:r>
      <w:r>
        <w:rPr>
          <w:rtl w:val="true"/>
        </w:rPr>
        <w:t>שבמקרים רבים על פיה יישק דבר בבית</w:t>
      </w:r>
      <w:r>
        <w:rPr>
          <w:rtl w:val="true"/>
        </w:rPr>
        <w:t xml:space="preserve">; </w:t>
      </w:r>
      <w:r>
        <w:rPr>
          <w:rtl w:val="true"/>
        </w:rPr>
        <w:t xml:space="preserve">וכן לעדויות בדבר מערכת היחסים החמה והאוהבת בין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לבין המערער </w:t>
      </w:r>
      <w:r>
        <w:rPr>
          <w:rtl w:val="true"/>
        </w:rPr>
        <w:t>–</w:t>
      </w:r>
      <w:r>
        <w:rPr>
          <w:rtl w:val="true"/>
        </w:rPr>
        <w:t xml:space="preserve"> עדויות המתיישבות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עם הכתוב במכתב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גורס כי העובדה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 מבצעת בדיקות דם לגילוי הריון לעיתים תכופות</w:t>
      </w:r>
      <w:r>
        <w:rPr>
          <w:rtl w:val="true"/>
        </w:rPr>
        <w:t xml:space="preserve">, </w:t>
      </w:r>
      <w:r>
        <w:rPr>
          <w:rtl w:val="true"/>
        </w:rPr>
        <w:t>אינה מצביעה על כך שזו חששה להיכנס להריון נוסף על ידי המערער</w:t>
      </w:r>
      <w:r>
        <w:rPr>
          <w:rtl w:val="true"/>
        </w:rPr>
        <w:t xml:space="preserve">, </w:t>
      </w:r>
      <w:r>
        <w:rPr>
          <w:rtl w:val="true"/>
        </w:rPr>
        <w:t>כפי שקבע בית המשפט</w:t>
      </w:r>
      <w:r>
        <w:rPr>
          <w:rtl w:val="true"/>
        </w:rPr>
        <w:t xml:space="preserve">, </w:t>
      </w:r>
      <w:r>
        <w:rPr>
          <w:rtl w:val="true"/>
        </w:rPr>
        <w:t>אלא כי זו דווקא ייחלה להיכנס להריון נוסף מהמערער ובשל כך הלכה לרופא להיבדק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המערער טוען כי לא ניתן לקבוע שהודאתה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באירוע בדירת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היא הודאת אמת</w:t>
      </w:r>
      <w:r>
        <w:rPr>
          <w:rtl w:val="true"/>
        </w:rPr>
        <w:t xml:space="preserve">, </w:t>
      </w:r>
      <w:r>
        <w:rPr>
          <w:rtl w:val="true"/>
        </w:rPr>
        <w:t>וזאת לאור הלחץ שהופעל עליה במשטרה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מוסיף וטוען כי שגה בית המשפט המחוזי כאשר קבע יש ליתן אמון בעדותה של המתלוננת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 זו הייתה רצופה בסתירות מהותיות ובשקרים</w:t>
      </w:r>
      <w:r>
        <w:rPr>
          <w:rtl w:val="true"/>
        </w:rPr>
        <w:t xml:space="preserve">, </w:t>
      </w:r>
      <w:r>
        <w:rPr>
          <w:rtl w:val="true"/>
        </w:rPr>
        <w:t>וכן העלתה תמיהות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ידעה לציין את מועדי האירועים הנטענים</w:t>
      </w:r>
      <w:r>
        <w:rPr>
          <w:rtl w:val="true"/>
        </w:rPr>
        <w:t xml:space="preserve">, </w:t>
      </w:r>
      <w:r>
        <w:rPr>
          <w:rtl w:val="true"/>
        </w:rPr>
        <w:t>ורוב תשובותיה לשאלות הרלוונטיות לאירועים נענו בתשובות סתמיות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טוען כי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נהגה לכנות עצמה כ</w:t>
      </w:r>
      <w:r>
        <w:rPr>
          <w:rtl w:val="true"/>
        </w:rPr>
        <w:t>"</w:t>
      </w:r>
      <w:r>
        <w:rPr>
          <w:rtl w:val="true"/>
        </w:rPr>
        <w:t>אמנית השקר</w:t>
      </w:r>
      <w:r>
        <w:rPr>
          <w:rtl w:val="true"/>
        </w:rPr>
        <w:t xml:space="preserve">", </w:t>
      </w:r>
      <w:r>
        <w:rPr>
          <w:rtl w:val="true"/>
        </w:rPr>
        <w:t>וכינוי זה מעיד כאלף עדים שלא ניתן לסמוך על דבריה</w:t>
      </w:r>
      <w:r>
        <w:rPr>
          <w:rtl w:val="true"/>
        </w:rPr>
        <w:t xml:space="preserve">.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עשתה שימוש מאסיבי בחומרים פסיכו אקטיביים</w:t>
      </w:r>
      <w:r>
        <w:rPr>
          <w:rtl w:val="true"/>
        </w:rPr>
        <w:t xml:space="preserve">, </w:t>
      </w:r>
      <w:r>
        <w:rPr>
          <w:rtl w:val="true"/>
        </w:rPr>
        <w:t>צרכה אלכוהול ונטלה תרופות פסיכיאטריו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וכן מתקשה להבחין בין מציאות לבין דמיון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טוען המערער נגד קביעתו של בית המשפט המחוזי לפיה הדמיון במעשיו של המערער מהווה עדות שיטה</w:t>
      </w:r>
      <w:r>
        <w:rPr>
          <w:rtl w:val="true"/>
        </w:rPr>
        <w:t xml:space="preserve">.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>עדות שיטה מצריכה קיומם של קווי דמיון ברורים בין המעשים שבוצעו</w:t>
      </w:r>
      <w:r>
        <w:rPr>
          <w:rtl w:val="true"/>
        </w:rPr>
        <w:t xml:space="preserve">, </w:t>
      </w:r>
      <w:r>
        <w:rPr>
          <w:rtl w:val="true"/>
        </w:rPr>
        <w:t xml:space="preserve">באופן שיש בהם כדי להותיר מעין </w:t>
      </w:r>
      <w:r>
        <w:rPr>
          <w:rtl w:val="true"/>
        </w:rPr>
        <w:t>"</w:t>
      </w:r>
      <w:r>
        <w:rPr>
          <w:rtl w:val="true"/>
        </w:rPr>
        <w:t>כרטיס ביקור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טביעת אצבע</w:t>
      </w:r>
      <w:r>
        <w:rPr>
          <w:rtl w:val="true"/>
        </w:rPr>
        <w:t xml:space="preserve">" </w:t>
      </w:r>
      <w:r>
        <w:rPr>
          <w:rtl w:val="true"/>
        </w:rPr>
        <w:t>של הנאשם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במקרה דנן המעשים שתוארו אינם ייחודיים כלל</w:t>
      </w:r>
      <w:r>
        <w:rPr>
          <w:rtl w:val="true"/>
        </w:rPr>
        <w:t xml:space="preserve">, </w:t>
      </w:r>
      <w:r>
        <w:rPr>
          <w:rtl w:val="true"/>
        </w:rPr>
        <w:t xml:space="preserve">ולמעשה אף לא מתקיים דמיון בין המעשים שתיארה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לבין אלו שתוארו על ידי המתלוננת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מוסיף בהקשר הזה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ידעה למסור את שמה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בעת מתן הודעתה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ולכן לא ניתן לשלול כי ידעה פרטים נוספים על שסיפרה המתלוננת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המערער כי פעולות החקירה שנערכו בעניינן של המתלוננות לוו במחדלים רבים מצד המשטרה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לגישת המערער סוגיות רבות לא נבדקו</w:t>
      </w:r>
      <w:r>
        <w:rPr>
          <w:rtl w:val="true"/>
        </w:rPr>
        <w:t xml:space="preserve">, </w:t>
      </w:r>
      <w:r>
        <w:rPr>
          <w:rtl w:val="true"/>
        </w:rPr>
        <w:t xml:space="preserve">בעימות מול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ניתנה לו האפשרות להגיב או לשאול שאלות</w:t>
      </w:r>
      <w:r>
        <w:rPr>
          <w:rtl w:val="true"/>
        </w:rPr>
        <w:t xml:space="preserve">, </w:t>
      </w:r>
      <w:r>
        <w:rPr>
          <w:rtl w:val="true"/>
        </w:rPr>
        <w:t>והמשטרה אף לא נקטה אמצעים כדי למנוע שיח בין המתלוננות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לגזר הדין</w:t>
      </w:r>
      <w:r>
        <w:rPr>
          <w:rtl w:val="true"/>
        </w:rPr>
        <w:t xml:space="preserve">, </w:t>
      </w:r>
      <w:r>
        <w:rPr>
          <w:rtl w:val="true"/>
        </w:rPr>
        <w:t>המערער טוען כי השתת תקופת מאסר כה ממושכת אינה נותנת כל פתח של תקווה לשחרורו ממאסר</w:t>
      </w:r>
      <w:r>
        <w:rPr>
          <w:rtl w:val="true"/>
        </w:rPr>
        <w:t xml:space="preserve">, </w:t>
      </w:r>
      <w:r>
        <w:rPr>
          <w:rtl w:val="true"/>
        </w:rPr>
        <w:t>ומן הראוי להפחיתה באופן שלא יעלה על תקופת מאסר בת עשרים שנים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המערערת מצטרפת לנימוקי הערעור שהוגשו מטעם המערער לעניין הכרעת הדין</w:t>
      </w:r>
      <w:r>
        <w:rPr>
          <w:rtl w:val="true"/>
        </w:rPr>
        <w:t xml:space="preserve">. </w:t>
      </w:r>
      <w:r>
        <w:rPr>
          <w:rtl w:val="true"/>
        </w:rPr>
        <w:t>לעניין גזר הדין</w:t>
      </w:r>
      <w:r>
        <w:rPr>
          <w:rtl w:val="true"/>
        </w:rPr>
        <w:t xml:space="preserve">, </w:t>
      </w:r>
      <w:r>
        <w:rPr>
          <w:rtl w:val="true"/>
        </w:rPr>
        <w:t>מוסיפה המערערת מטעמה כי בית המשפט המחוזי לא נתן משקל מספיק להיותה הדמות הפחות דומיננטית בביצוע המעשים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היא לא זו אשר יזמה את האירועים</w:t>
      </w:r>
      <w:r>
        <w:rPr>
          <w:rtl w:val="true"/>
        </w:rPr>
        <w:t xml:space="preserve">, </w:t>
      </w:r>
      <w:r>
        <w:rPr>
          <w:rtl w:val="true"/>
        </w:rPr>
        <w:t>והיא גם לא שלטה על התפתחותם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המערערת טוענת כי בית המשפט שגה כאשר לא נתן משקל הולם לחלוף הזמן מעת ביצוע העבירות</w:t>
      </w:r>
      <w:r>
        <w:rPr>
          <w:rtl w:val="true"/>
        </w:rPr>
        <w:t xml:space="preserve">, </w:t>
      </w:r>
      <w:r>
        <w:rPr>
          <w:rtl w:val="true"/>
        </w:rPr>
        <w:t>ואף לא לעובדה כי המערערת הייתה עצורה מאחורי סורג ובריח במשך כשנה</w:t>
      </w:r>
      <w:r>
        <w:rPr>
          <w:rtl w:val="true"/>
        </w:rPr>
        <w:t xml:space="preserve">, </w:t>
      </w:r>
      <w:r>
        <w:rPr>
          <w:rtl w:val="true"/>
        </w:rPr>
        <w:t>וכן עצורה בפיקוח אלקטרוני במשך כשלוש שנים</w:t>
      </w:r>
      <w:r>
        <w:rPr>
          <w:rtl w:val="true"/>
        </w:rPr>
        <w:t xml:space="preserve">. </w:t>
      </w:r>
      <w:r>
        <w:rPr>
          <w:rtl w:val="true"/>
        </w:rPr>
        <w:t>עוד טוענת המערערת כי בית המשפט שגה כאשר לא נתן משקל מספק לעדי האופי שהעידו לטובתה</w:t>
      </w:r>
      <w:r>
        <w:rPr>
          <w:rtl w:val="true"/>
        </w:rPr>
        <w:t xml:space="preserve">, </w:t>
      </w:r>
      <w:r>
        <w:rPr>
          <w:rtl w:val="true"/>
        </w:rPr>
        <w:t>ובכלל זאת לעדות ילדיה המשותפים עם המערער</w:t>
      </w:r>
      <w:r>
        <w:rPr>
          <w:rtl w:val="true"/>
        </w:rPr>
        <w:t xml:space="preserve">, </w:t>
      </w:r>
      <w:r>
        <w:rPr>
          <w:rtl w:val="true"/>
        </w:rPr>
        <w:t>אשר תיארו אותה כאם טובה</w:t>
      </w:r>
      <w:r>
        <w:rPr>
          <w:rtl w:val="true"/>
        </w:rPr>
        <w:t xml:space="preserve">, </w:t>
      </w:r>
      <w:r>
        <w:rPr>
          <w:rtl w:val="true"/>
        </w:rPr>
        <w:t>דואגת ומסורה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התבקש בית המשפט להקל משמעותית בעונש המאסר בפועל שהושת על המערערת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</w:t>
      </w:r>
      <w:r>
        <w:rPr>
          <w:rtl w:val="true"/>
        </w:rPr>
        <w:t>המשיבה מצידה תומכת בהכרעת דינו של בית המשפט המחוזי מנימוקיו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הכרעת הדין מושתתת על עדויותיהן של המתלוננות</w:t>
      </w:r>
      <w:r>
        <w:rPr>
          <w:rtl w:val="true"/>
        </w:rPr>
        <w:t xml:space="preserve">, </w:t>
      </w:r>
      <w:r>
        <w:rPr>
          <w:rtl w:val="true"/>
        </w:rPr>
        <w:t>אשר נמצאו כמהימנות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והנתמכות על ידי ראיות מחזקות נוספות</w:t>
      </w:r>
      <w:r>
        <w:rPr>
          <w:rtl w:val="true"/>
        </w:rPr>
        <w:t xml:space="preserve">, </w:t>
      </w:r>
      <w:r>
        <w:rPr>
          <w:rtl w:val="true"/>
        </w:rPr>
        <w:t>כמפורט בהכרעת הדין</w:t>
      </w:r>
      <w:r>
        <w:rPr>
          <w:rtl w:val="true"/>
        </w:rPr>
        <w:t xml:space="preserve">. </w:t>
      </w:r>
      <w:r>
        <w:rPr>
          <w:rtl w:val="true"/>
        </w:rPr>
        <w:t>המשיבה מוסיפה כי בית המשפט המחוזי דחה את גרסאות המערערים ביחס לאירועים הנטענים</w:t>
      </w:r>
      <w:r>
        <w:rPr>
          <w:rtl w:val="true"/>
        </w:rPr>
        <w:t xml:space="preserve">, </w:t>
      </w:r>
      <w:r>
        <w:rPr>
          <w:rtl w:val="true"/>
        </w:rPr>
        <w:t>ומצא אותן כשקריות</w:t>
      </w:r>
      <w:r>
        <w:rPr>
          <w:rtl w:val="true"/>
        </w:rPr>
        <w:t xml:space="preserve">. </w:t>
      </w:r>
      <w:r>
        <w:rPr>
          <w:rtl w:val="true"/>
        </w:rPr>
        <w:t>המשיבה מדגישה כי בית המשפט קבע את אשר קבע לאחר ששמע את המתלוננות</w:t>
      </w:r>
      <w:r>
        <w:rPr>
          <w:rtl w:val="true"/>
        </w:rPr>
        <w:t xml:space="preserve">, </w:t>
      </w:r>
      <w:r>
        <w:rPr>
          <w:rtl w:val="true"/>
        </w:rPr>
        <w:t>את המערערים ואת העדים הנוספים בתיק</w:t>
      </w:r>
      <w:r>
        <w:rPr>
          <w:rtl w:val="true"/>
        </w:rPr>
        <w:t xml:space="preserve">, </w:t>
      </w:r>
      <w:r>
        <w:rPr>
          <w:rtl w:val="true"/>
        </w:rPr>
        <w:t>והתרשם באופן בלתי אמצעי מהתנהגותם ומשפת גופם</w:t>
      </w:r>
      <w:r>
        <w:rPr>
          <w:rtl w:val="true"/>
        </w:rPr>
        <w:t xml:space="preserve">, </w:t>
      </w:r>
      <w:r>
        <w:rPr>
          <w:rtl w:val="true"/>
        </w:rPr>
        <w:t>וכן לאחר שעיין ביסודיות בכל טענות ההגנה</w:t>
      </w:r>
      <w:r>
        <w:rPr>
          <w:rtl w:val="true"/>
        </w:rPr>
        <w:t xml:space="preserve">, </w:t>
      </w:r>
      <w:r>
        <w:rPr>
          <w:rtl w:val="true"/>
        </w:rPr>
        <w:t>המועלות פעם נוספת בערעורים שלפנינו</w:t>
      </w:r>
      <w:r>
        <w:rPr>
          <w:rtl w:val="true"/>
        </w:rPr>
        <w:t xml:space="preserve">, </w:t>
      </w:r>
      <w:r>
        <w:rPr>
          <w:rtl w:val="true"/>
        </w:rPr>
        <w:t>ודחה אותן לגופן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אין כל מקום להתערבות ערכאת הערעור בממצאי העובדה והמהימנות שנקבעו על ידי בית המשפט המחוזי בהכרעת הדין</w:t>
      </w:r>
      <w:r>
        <w:rPr>
          <w:rtl w:val="true"/>
        </w:rPr>
        <w:t xml:space="preserve">, </w:t>
      </w:r>
      <w:r>
        <w:rPr>
          <w:rtl w:val="true"/>
        </w:rPr>
        <w:t>ויש להותיר את הרשעת המערערים על כנה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לגזר הדין</w:t>
      </w:r>
      <w:r>
        <w:rPr>
          <w:rtl w:val="true"/>
        </w:rPr>
        <w:t xml:space="preserve">, </w:t>
      </w:r>
      <w:r>
        <w:rPr>
          <w:rtl w:val="true"/>
        </w:rPr>
        <w:t>המשיבה טוענת כי העונש אשר הושת על המערערים הולם את חומרת המעשים שאלו ביצעו</w:t>
      </w:r>
      <w:r>
        <w:rPr>
          <w:rtl w:val="true"/>
        </w:rPr>
        <w:t xml:space="preserve">, </w:t>
      </w:r>
      <w:r>
        <w:rPr>
          <w:rtl w:val="true"/>
        </w:rPr>
        <w:t>את הפגיעה בכבודן ובגופן של המתלוננות</w:t>
      </w:r>
      <w:r>
        <w:rPr>
          <w:rtl w:val="true"/>
        </w:rPr>
        <w:t xml:space="preserve">, </w:t>
      </w:r>
      <w:r>
        <w:rPr>
          <w:rtl w:val="true"/>
        </w:rPr>
        <w:t xml:space="preserve">ואת הנזקים שנגרמו להן כתוצאה ממעשי המערערים </w:t>
      </w:r>
      <w:r>
        <w:rPr>
          <w:rtl w:val="true"/>
        </w:rPr>
        <w:t>–</w:t>
      </w:r>
      <w:r>
        <w:rPr>
          <w:rtl w:val="true"/>
        </w:rPr>
        <w:t xml:space="preserve"> נזקים הממשיכים ללוות אותן גם כיום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לגישת המשיבה</w:t>
      </w:r>
      <w:r>
        <w:rPr>
          <w:rtl w:val="true"/>
        </w:rPr>
        <w:t xml:space="preserve">, </w:t>
      </w:r>
      <w:r>
        <w:rPr>
          <w:rtl w:val="true"/>
        </w:rPr>
        <w:t>אין מקום להפחית בעונשי המאסר שהושתו על המערערים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</w:t>
      </w:r>
      <w:r>
        <w:rPr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30</w:t>
      </w:r>
      <w:r>
        <w:rPr/>
        <w:t>.</w:t>
      </w:r>
      <w:r>
        <w:rPr/>
        <w:t>7</w:t>
      </w:r>
      <w:r>
        <w:rPr/>
        <w:t>.2020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לעיכוב</w:t>
      </w:r>
      <w:r>
        <w:rPr>
          <w:rtl w:val="true"/>
        </w:rPr>
        <w:t xml:space="preserve"> ביצוע</w:t>
      </w:r>
      <w:r>
        <w:rPr>
          <w:rtl w:val="true"/>
        </w:rPr>
        <w:t xml:space="preserve"> </w:t>
      </w:r>
      <w:r>
        <w:rPr>
          <w:rtl w:val="true"/>
        </w:rPr>
        <w:t>רכיב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שבגזר</w:t>
      </w:r>
      <w:r>
        <w:rPr>
          <w:rtl w:val="true"/>
        </w:rPr>
        <w:t xml:space="preserve"> </w:t>
      </w:r>
      <w:r>
        <w:rPr>
          <w:rtl w:val="true"/>
        </w:rPr>
        <w:t>דינ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 xml:space="preserve">והמערערת החלה בריצוי עונש מאסרה ביום </w:t>
      </w:r>
      <w:r>
        <w:rPr/>
        <w:t>23.8.2020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בערעורים ובצרופותיהם</w:t>
      </w:r>
      <w:r>
        <w:rPr>
          <w:rtl w:val="true"/>
        </w:rPr>
        <w:t xml:space="preserve">, </w:t>
      </w:r>
      <w:r>
        <w:rPr>
          <w:rtl w:val="true"/>
        </w:rPr>
        <w:t>ושמעתי את טיעוני באי</w:t>
      </w:r>
      <w:r>
        <w:rPr>
          <w:rtl w:val="true"/>
        </w:rPr>
        <w:t>-</w:t>
      </w:r>
      <w:r>
        <w:rPr>
          <w:rtl w:val="true"/>
        </w:rPr>
        <w:t>כוח הצדדים במסגרת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הערעורים להידחות על שני חלקיהם</w:t>
      </w:r>
      <w:r>
        <w:rPr>
          <w:rtl w:val="true"/>
        </w:rPr>
        <w:t xml:space="preserve">. </w:t>
      </w:r>
      <w:r>
        <w:rPr>
          <w:rtl w:val="true"/>
        </w:rPr>
        <w:t>כך אציע לחבריי שנעשה</w:t>
      </w:r>
      <w:r>
        <w:rPr>
          <w:rtl w:val="true"/>
        </w:rPr>
        <w:t xml:space="preserve">, </w:t>
      </w:r>
      <w:r>
        <w:rPr>
          <w:rtl w:val="true"/>
        </w:rPr>
        <w:t>והכל מהטעמים שיפורטו 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כבר בראשית הדברים יצוין כי עיקר הטענות שמעלים המערערים ביחס להכרעת הדין מכוונות כלפי ממצאים עובדתיים וקביעות מהימנות של בית המשפט קמא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הלכה פסוקה היא כי לא בנקל תתערב ערכאת הערעור בממצאי עובדה ומהימנות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האפשרות הניתנת לערכאה הדיונית</w:t>
      </w:r>
      <w:r>
        <w:rPr>
          <w:rtl w:val="true"/>
        </w:rPr>
        <w:t xml:space="preserve">, </w:t>
      </w:r>
      <w:r>
        <w:rPr>
          <w:rtl w:val="true"/>
        </w:rPr>
        <w:t>ואשר אינה נתונה לערכאת הערעור</w:t>
      </w:r>
      <w:r>
        <w:rPr>
          <w:rtl w:val="true"/>
        </w:rPr>
        <w:t xml:space="preserve">, </w:t>
      </w:r>
      <w:r>
        <w:rPr>
          <w:rtl w:val="true"/>
        </w:rPr>
        <w:t>להתרשם באופן ישיר ובלתי אמצעי מהצדדים</w:t>
      </w:r>
      <w:r>
        <w:rPr>
          <w:rtl w:val="true"/>
        </w:rPr>
        <w:t xml:space="preserve">, </w:t>
      </w:r>
      <w:r>
        <w:rPr>
          <w:rtl w:val="true"/>
        </w:rPr>
        <w:t xml:space="preserve">מראיותיהם ומהעדויות מטעמם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 רבים</w:t>
      </w:r>
      <w:r>
        <w:rPr>
          <w:rtl w:val="true"/>
        </w:rPr>
        <w:t xml:space="preserve">: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8560/18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4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20.10.2020</w:t>
      </w:r>
      <w:r>
        <w:rPr>
          <w:rtl w:val="true"/>
        </w:rPr>
        <w:t xml:space="preserve">);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3.1.2021</w:t>
      </w:r>
      <w:r>
        <w:rPr>
          <w:rtl w:val="true"/>
        </w:rPr>
        <w:t xml:space="preserve">);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כלל 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כוחו יפה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במיוחד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ביחס לעבירות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 כל שכן עבירות מין במשפחה</w:t>
      </w:r>
      <w:r>
        <w:rPr>
          <w:rtl w:val="true"/>
        </w:rPr>
        <w:t xml:space="preserve">, </w:t>
      </w:r>
      <w:r>
        <w:rPr>
          <w:rtl w:val="true"/>
        </w:rPr>
        <w:t>כבענייננו אנו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שכן לרוב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עבירות מעין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אל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מבוצעות בחדרי חדרים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וממילא ההכרעה בהן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מבוססת בעיקר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על עדויות הנפגע והפוגע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ועל התרשמות הערכאה הדיונית מאמינותן</w:t>
      </w:r>
      <w:r>
        <w:rPr>
          <w:rtl w:val="true"/>
        </w:rPr>
        <w:t xml:space="preserve"> ומהימנותן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10.11.2015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11.8.2016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22.8.2021</w:t>
      </w:r>
      <w:r>
        <w:rPr>
          <w:rtl w:val="true"/>
        </w:rPr>
        <w:t xml:space="preserve">)). </w:t>
      </w:r>
      <w:r>
        <w:rPr>
          <w:rtl w:val="true"/>
        </w:rPr>
        <w:t>לא מצאתי כי עניינם של המערערים נמנה בגדר המקרים החריגים המצדיקים התערבות כאמור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מצא את גרסאותיהן של המתלוננות כאמינות</w:t>
      </w:r>
      <w:r>
        <w:rPr>
          <w:rtl w:val="true"/>
        </w:rPr>
        <w:t xml:space="preserve">, </w:t>
      </w:r>
      <w:r>
        <w:rPr>
          <w:rtl w:val="true"/>
        </w:rPr>
        <w:t>וזאת הן בהתבסס על התרשמותו הישירה מעדויותיהן לפניו</w:t>
      </w:r>
      <w:r>
        <w:rPr>
          <w:rtl w:val="true"/>
        </w:rPr>
        <w:t xml:space="preserve">, </w:t>
      </w:r>
      <w:r>
        <w:rPr>
          <w:rtl w:val="true"/>
        </w:rPr>
        <w:t>והן בהתבסס על ראיות נוספות אשר יש בהן כדי לתמוך ולחזק עדויות אלו</w:t>
      </w:r>
      <w:r>
        <w:rPr>
          <w:rtl w:val="true"/>
        </w:rPr>
        <w:t xml:space="preserve">. </w:t>
      </w:r>
      <w:r>
        <w:rPr>
          <w:rtl w:val="true"/>
        </w:rPr>
        <w:t>המערערים טוענים כי בקביעתו זו בית המשפט התעלם מקשיים ומסתירות בגרסאות המתלוננות</w:t>
      </w:r>
      <w:r>
        <w:rPr>
          <w:rtl w:val="true"/>
        </w:rPr>
        <w:t xml:space="preserve">, </w:t>
      </w:r>
      <w:r>
        <w:rPr>
          <w:rtl w:val="true"/>
        </w:rPr>
        <w:t>ואולם לא מצאתי כי בטענה זו יש ממש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אין בטענת המערערים לפיה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תיארה בפירוט אירוע אחד בלבד כדי לפגוע באמינותה</w:t>
      </w:r>
      <w:r>
        <w:rPr>
          <w:rtl w:val="true"/>
        </w:rPr>
        <w:t xml:space="preserve">. </w:t>
      </w:r>
      <w:r>
        <w:rPr>
          <w:rtl w:val="true"/>
        </w:rPr>
        <w:t xml:space="preserve">המעשים על פי עדות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בוצעו כלפיה מידי יום</w:t>
      </w:r>
      <w:r>
        <w:rPr>
          <w:rtl w:val="true"/>
        </w:rPr>
        <w:t xml:space="preserve">, </w:t>
      </w:r>
      <w:r>
        <w:rPr>
          <w:rtl w:val="true"/>
        </w:rPr>
        <w:t>ולעיתים אף מספר פעמים ביום</w:t>
      </w:r>
      <w:r>
        <w:rPr>
          <w:rtl w:val="true"/>
        </w:rPr>
        <w:t xml:space="preserve">, </w:t>
      </w:r>
      <w:r>
        <w:rPr>
          <w:rtl w:val="true"/>
        </w:rPr>
        <w:t>במשך שנים</w:t>
      </w:r>
      <w:r>
        <w:rPr>
          <w:rtl w:val="true"/>
        </w:rPr>
        <w:t xml:space="preserve">, </w:t>
      </w:r>
      <w:r>
        <w:rPr>
          <w:rtl w:val="true"/>
        </w:rPr>
        <w:t>ומשכך לא ניתן לצפות ממנה לתאר בפירוט כל אירוע תקיפה או למקמו באופן מדויק על ציר הזמן</w:t>
      </w:r>
      <w:r>
        <w:rPr>
          <w:rtl w:val="true"/>
        </w:rPr>
        <w:t xml:space="preserve">, </w:t>
      </w:r>
      <w:r>
        <w:rPr>
          <w:rtl w:val="true"/>
        </w:rPr>
        <w:t>וזאת בפרט לאור השפעותיהן הייחודיות של עבירות מין על קורבנותיהם</w:t>
      </w:r>
      <w:r>
        <w:rPr>
          <w:rtl w:val="true"/>
        </w:rPr>
        <w:t xml:space="preserve">, </w:t>
      </w:r>
      <w:r>
        <w:rPr>
          <w:rtl w:val="true"/>
        </w:rPr>
        <w:t>והקושי המוכר של אותם הקורבנות כתוצאה מכך למסור גרסה שלמה</w:t>
      </w:r>
      <w:r>
        <w:rPr>
          <w:rtl w:val="true"/>
        </w:rPr>
        <w:t xml:space="preserve">,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 xml:space="preserve">עקבית וקוהרנטית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 xml:space="preserve">);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4213/15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30.3.2016</w:t>
      </w:r>
      <w:r>
        <w:rPr>
          <w:rtl w:val="true"/>
        </w:rPr>
        <w:t xml:space="preserve">);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16.4.2019</w:t>
      </w:r>
      <w:r>
        <w:rPr>
          <w:rtl w:val="true"/>
        </w:rPr>
        <w:t xml:space="preserve">)). </w:t>
      </w:r>
      <w:r>
        <w:rPr>
          <w:rtl w:val="true"/>
        </w:rPr>
        <w:t xml:space="preserve">אך הגיוני הוא שהאירוע אשר נחרט בזיכרונה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בצורה החזקה ביותר הוא אירוע תקיפתה הראשון</w:t>
      </w:r>
      <w:r>
        <w:rPr>
          <w:rtl w:val="true"/>
        </w:rPr>
        <w:t xml:space="preserve">, </w:t>
      </w:r>
      <w:r>
        <w:rPr>
          <w:rtl w:val="true"/>
        </w:rPr>
        <w:t xml:space="preserve">אותו היא תיארה בפירוט כבר בהודעתה במשטרה מיום </w:t>
      </w:r>
      <w:r>
        <w:rPr/>
        <w:t>17.3.2016</w:t>
      </w:r>
      <w:r>
        <w:rPr>
          <w:rtl w:val="true"/>
        </w:rPr>
        <w:t xml:space="preserve">, </w:t>
      </w:r>
      <w:r>
        <w:rPr>
          <w:rtl w:val="true"/>
        </w:rPr>
        <w:t>וזאת כתגובה לשאלת החוקרת מתי החל ביצוע המעשים כלפיה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תארה בתחילת הודעתה בקווים כלליים את הפגיעות המיניות המתמשכות מהן סבלה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טענתה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לפיה אמה נאלצה להרכיב משקפיים על מנת להסתיר את סימני האלימות שהמערער הפעיל כלפיה</w:t>
      </w:r>
      <w:r>
        <w:rPr>
          <w:rtl w:val="true"/>
        </w:rPr>
        <w:t xml:space="preserve">, </w:t>
      </w:r>
      <w:r>
        <w:rPr>
          <w:rtl w:val="true"/>
        </w:rPr>
        <w:t xml:space="preserve">אינה בהכרח סותרת את טענתה הנוספת לפיה המערער ידע להכות אותה עצמה מבלי להשאיר סימנים על גופה </w:t>
      </w:r>
      <w:r>
        <w:rPr>
          <w:rtl w:val="true"/>
        </w:rPr>
        <w:t>–</w:t>
      </w:r>
      <w:r>
        <w:rPr>
          <w:rtl w:val="true"/>
        </w:rPr>
        <w:t xml:space="preserve">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טענה כי המערער מעולם לא השאיר סימנים על גופה שלה</w:t>
      </w:r>
      <w:r>
        <w:rPr>
          <w:rtl w:val="true"/>
        </w:rPr>
        <w:t xml:space="preserve">, </w:t>
      </w:r>
      <w:r>
        <w:rPr>
          <w:rtl w:val="true"/>
        </w:rPr>
        <w:t>ואף לא טענה כי המערער נהג בה ובאמה בדיוק באותו האופן</w:t>
      </w:r>
      <w:r>
        <w:rPr>
          <w:rtl w:val="true"/>
        </w:rPr>
        <w:t xml:space="preserve">. </w:t>
      </w:r>
      <w:r>
        <w:rPr>
          <w:rtl w:val="true"/>
        </w:rPr>
        <w:t>משאלו הם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מתקיימת סתירה בדבריה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בהקשר הזה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גם בעובדה שהמתלוננת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 ידעה לציין את מועדי האירועים הנטענים אין כדי לפגוע במהימנותה </w:t>
      </w:r>
      <w:r>
        <w:rPr>
          <w:rtl w:val="true"/>
        </w:rPr>
        <w:t>–</w:t>
      </w:r>
      <w:r>
        <w:rPr>
          <w:rtl w:val="true"/>
        </w:rPr>
        <w:t xml:space="preserve"> המדובר במתלוננת שהותקפה בגיל צעיר ביותר</w:t>
      </w:r>
      <w:r>
        <w:rPr>
          <w:rtl w:val="true"/>
        </w:rPr>
        <w:t xml:space="preserve">, </w:t>
      </w:r>
      <w:r>
        <w:rPr>
          <w:rtl w:val="true"/>
        </w:rPr>
        <w:t xml:space="preserve">ובדומה למתלוננת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ומאותן הסיבות</w:t>
      </w:r>
      <w:r>
        <w:rPr>
          <w:rtl w:val="true"/>
        </w:rPr>
        <w:t xml:space="preserve">, </w:t>
      </w:r>
      <w:r>
        <w:rPr>
          <w:rtl w:val="true"/>
        </w:rPr>
        <w:t>לא ניתן לצפות ממנה לזכור כעבור מספר שנים את המועדים המדויקים בהן הותקפה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ביחס לטענת המערערים לפיה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 להבחין בין מציאות לבין דמיון</w:t>
      </w:r>
      <w:r>
        <w:rPr>
          <w:rtl w:val="true"/>
        </w:rPr>
        <w:t xml:space="preserve">, </w:t>
      </w:r>
      <w:r>
        <w:rPr>
          <w:rtl w:val="true"/>
        </w:rPr>
        <w:t xml:space="preserve">הרי שהמתלוננת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טופלה לאורך השנים על ידי אנשי מקצוע רבים</w:t>
      </w:r>
      <w:r>
        <w:rPr>
          <w:rtl w:val="true"/>
        </w:rPr>
        <w:t xml:space="preserve">, </w:t>
      </w:r>
      <w:r>
        <w:rPr>
          <w:rtl w:val="true"/>
        </w:rPr>
        <w:t>ובהם פסיכיאטרים</w:t>
      </w:r>
      <w:r>
        <w:rPr>
          <w:rtl w:val="true"/>
        </w:rPr>
        <w:t xml:space="preserve">, </w:t>
      </w:r>
      <w:r>
        <w:rPr>
          <w:rtl w:val="true"/>
        </w:rPr>
        <w:t>פסיכולוגים ועובדים סוציאליים</w:t>
      </w:r>
      <w:r>
        <w:rPr>
          <w:rtl w:val="true"/>
        </w:rPr>
        <w:t xml:space="preserve">, </w:t>
      </w:r>
      <w:r>
        <w:rPr>
          <w:rtl w:val="true"/>
        </w:rPr>
        <w:t>אשר חלקם אף העידו לפני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ואף לא אחד מהם ציין כי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סובלת מבעיה מסוג 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 xml:space="preserve">לא נותר לי אלא להצטרף למסקנתו של בית המשפט המחוזי לפיה אין ממש בטענה כי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לוקה בהעלאת זיכרונו</w:t>
      </w:r>
      <w:r>
        <w:rPr>
          <w:rtl w:val="true"/>
        </w:rPr>
        <w:t>ת</w:t>
      </w:r>
      <w:r>
        <w:rPr>
          <w:rtl w:val="true"/>
        </w:rPr>
        <w:t xml:space="preserve"> שווא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טענת המערערים כי שגה בית המשפט קמא כאשר קבע כי גרסתם אינה אמינה על אף שזו הייתה עקבית ומהימנה</w:t>
      </w:r>
      <w:r>
        <w:rPr>
          <w:rtl w:val="true"/>
        </w:rPr>
        <w:t xml:space="preserve">, </w:t>
      </w:r>
      <w:r>
        <w:rPr>
          <w:rtl w:val="true"/>
        </w:rPr>
        <w:t xml:space="preserve">די להזכיר כי המערער הכחיש בתחילת חקירתו על ידי המשטרה שקיים יחסי מין עם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וטען כי הוא אינו אבי הבן שילדה</w:t>
      </w:r>
      <w:r>
        <w:rPr>
          <w:rtl w:val="true"/>
        </w:rPr>
        <w:t xml:space="preserve">. </w:t>
      </w:r>
      <w:r>
        <w:rPr>
          <w:rtl w:val="true"/>
        </w:rPr>
        <w:t>רק בהמשך החקירה שינה גרסתו</w:t>
      </w:r>
      <w:r>
        <w:rPr>
          <w:rtl w:val="true"/>
        </w:rPr>
        <w:t xml:space="preserve">, </w:t>
      </w:r>
      <w:r>
        <w:rPr>
          <w:rtl w:val="true"/>
        </w:rPr>
        <w:t xml:space="preserve">והודה הן שקיים יחסי מין עם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והן שהוא אביו של הבן</w:t>
      </w:r>
      <w:r>
        <w:rPr>
          <w:rtl w:val="true"/>
        </w:rPr>
        <w:t xml:space="preserve">, </w:t>
      </w:r>
      <w:r>
        <w:rPr>
          <w:rtl w:val="true"/>
        </w:rPr>
        <w:t>אלא שעתה טען כי יחסי מין אלו קוימו בהסכמה</w:t>
      </w:r>
      <w:r>
        <w:rPr>
          <w:rtl w:val="true"/>
        </w:rPr>
        <w:t xml:space="preserve">. </w:t>
      </w:r>
      <w:r>
        <w:rPr>
          <w:rtl w:val="true"/>
        </w:rPr>
        <w:t xml:space="preserve">גרסה משתנה מסוג זה אינה יכולה לחסות תחת ההגדרה של גרסה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בעצם העובדה כי המערער שינה את גרסתו בסוגיות מרכזיות שבמחלוקת </w:t>
      </w:r>
      <w:r>
        <w:rPr>
          <w:rtl w:val="true"/>
        </w:rPr>
        <w:t>–</w:t>
      </w:r>
      <w:r>
        <w:rPr>
          <w:rtl w:val="true"/>
        </w:rPr>
        <w:t xml:space="preserve"> כמו עצם קיום יחסי מין עם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יש גם כדי לפגום במהימנות גרסתו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6411/98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150</w:t>
      </w:r>
      <w:r>
        <w:rPr>
          <w:rtl w:val="true"/>
        </w:rPr>
        <w:t xml:space="preserve">, </w:t>
      </w:r>
      <w:r>
        <w:rPr/>
        <w:t>192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1639/98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501</w:t>
      </w:r>
      <w:r>
        <w:rPr>
          <w:rtl w:val="true"/>
        </w:rPr>
        <w:t xml:space="preserve">, </w:t>
      </w:r>
      <w:r>
        <w:rPr/>
        <w:t>510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עלאק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11.4.2007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המערער מייחס משמעות רבה לטיוטת המכתב שכתבה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ואשר נמצאה ביומנה</w:t>
      </w:r>
      <w:r>
        <w:rPr>
          <w:rtl w:val="true"/>
        </w:rPr>
        <w:t xml:space="preserve">, </w:t>
      </w:r>
      <w:r>
        <w:rPr>
          <w:rtl w:val="true"/>
        </w:rPr>
        <w:t>וסבור כי יש בו כדי להטיל ספק משמעותי בגרסתה</w:t>
      </w:r>
      <w:r>
        <w:rPr>
          <w:rtl w:val="true"/>
        </w:rPr>
        <w:t xml:space="preserve">. </w:t>
      </w:r>
      <w:r>
        <w:rPr>
          <w:rtl w:val="true"/>
        </w:rPr>
        <w:t>לאחר עיון בטיוטת המכתב</w:t>
      </w:r>
      <w:r>
        <w:rPr>
          <w:rtl w:val="true"/>
        </w:rPr>
        <w:t xml:space="preserve">, </w:t>
      </w:r>
      <w:r>
        <w:rPr>
          <w:rtl w:val="true"/>
        </w:rPr>
        <w:t>הגעתי למסקנה כי יש לדחות טענות אלה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כתבה את טיוטת המכתב מתוך מחשבה לשלוח אותו לרב ידוע במסגרת הליך חזרתה בתשובה</w:t>
      </w:r>
      <w:r>
        <w:rPr>
          <w:rtl w:val="true"/>
        </w:rPr>
        <w:t xml:space="preserve">. </w:t>
      </w:r>
      <w:r>
        <w:rPr>
          <w:rtl w:val="true"/>
        </w:rPr>
        <w:t>תכלית המכתב שלא נשלח מתוארת בפתחו כך</w:t>
      </w:r>
      <w:r>
        <w:rPr>
          <w:rtl w:val="true"/>
        </w:rPr>
        <w:t>: "</w:t>
      </w:r>
      <w:r>
        <w:rPr>
          <w:rtl w:val="true"/>
        </w:rPr>
        <w:t>אני פונה לכבוד הרב עם כל האמת ורק האמת מסיבה אחת אני רוצה לתקן את מה שפגמתי ולצאת מן העולם הזה מתוקנת אי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". </w:t>
      </w:r>
      <w:r>
        <w:rPr>
          <w:rtl w:val="true"/>
        </w:rPr>
        <w:t>ההתייחסות המופיעה בטיוטת המכתב לקשר בינה לבין המערער היא בלשון כללית</w:t>
      </w:r>
      <w:r>
        <w:rPr>
          <w:rtl w:val="true"/>
        </w:rPr>
        <w:t xml:space="preserve">, </w:t>
      </w:r>
      <w:r>
        <w:rPr>
          <w:rtl w:val="true"/>
        </w:rPr>
        <w:t>ובשולי הדברים בלבד</w:t>
      </w:r>
      <w:r>
        <w:rPr>
          <w:rtl w:val="true"/>
        </w:rPr>
        <w:t xml:space="preserve">. </w:t>
      </w:r>
      <w:r>
        <w:rPr>
          <w:rtl w:val="true"/>
        </w:rPr>
        <w:t xml:space="preserve">ניכר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לא ראתה בתיאור מערכת יחסים זו כעניין הדרוש על מנת </w:t>
      </w:r>
      <w:r>
        <w:rPr>
          <w:rtl w:val="true"/>
        </w:rPr>
        <w:t>"</w:t>
      </w:r>
      <w:r>
        <w:rPr>
          <w:rtl w:val="true"/>
        </w:rPr>
        <w:t>לתקן את מה שפגמתי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אין בעובדה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הזכירה מיוזמתה את עצם קיומו של המכתב במהלך חקירתה במשטרה כדי לפגוע באמינותה</w:t>
      </w:r>
      <w:r>
        <w:rPr>
          <w:rtl w:val="true"/>
        </w:rPr>
        <w:t xml:space="preserve">. </w:t>
      </w:r>
      <w:r>
        <w:rPr>
          <w:rtl w:val="true"/>
        </w:rPr>
        <w:t xml:space="preserve">עוד יש לציין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אומנם ציינה בטיוטת המכתב כי </w:t>
      </w:r>
      <w:r>
        <w:rPr>
          <w:rtl w:val="true"/>
        </w:rPr>
        <w:t>"</w:t>
      </w:r>
      <w:r>
        <w:rPr>
          <w:rtl w:val="true"/>
        </w:rPr>
        <w:t xml:space="preserve">לצערי זה </w:t>
      </w:r>
      <w:r>
        <w:rPr>
          <w:rtl w:val="true"/>
        </w:rPr>
        <w:t>[</w:t>
      </w:r>
      <w:r>
        <w:rPr>
          <w:rtl w:val="true"/>
        </w:rPr>
        <w:t xml:space="preserve">הקשר עם המערער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.] </w:t>
      </w:r>
      <w:r>
        <w:rPr>
          <w:rtl w:val="true"/>
        </w:rPr>
        <w:t>התפתח גם לכיוון שנוגד את ההלכה</w:t>
      </w:r>
      <w:r>
        <w:rPr>
          <w:rtl w:val="true"/>
        </w:rPr>
        <w:t xml:space="preserve">", </w:t>
      </w:r>
      <w:r>
        <w:rPr>
          <w:rtl w:val="true"/>
        </w:rPr>
        <w:t xml:space="preserve">ובהמשך אף ציינה כי בנה נולד </w:t>
      </w:r>
      <w:r>
        <w:rPr>
          <w:rtl w:val="true"/>
        </w:rPr>
        <w:t>"</w:t>
      </w:r>
      <w:r>
        <w:rPr>
          <w:rtl w:val="true"/>
        </w:rPr>
        <w:t>מהקשר שפירטתי לפני כן למעלה</w:t>
      </w:r>
      <w:r>
        <w:rPr>
          <w:rtl w:val="true"/>
        </w:rPr>
        <w:t xml:space="preserve">", </w:t>
      </w:r>
      <w:r>
        <w:rPr>
          <w:rtl w:val="true"/>
        </w:rPr>
        <w:t xml:space="preserve">ואולם מלשון כללית זו קשה להסיק מהו בדיוק אותו </w:t>
      </w:r>
      <w:r>
        <w:rPr>
          <w:rtl w:val="true"/>
        </w:rPr>
        <w:t>"</w:t>
      </w:r>
      <w:r>
        <w:rPr>
          <w:rtl w:val="true"/>
        </w:rPr>
        <w:t>כיוון שנוגד את ההלכה</w:t>
      </w:r>
      <w:r>
        <w:rPr>
          <w:rtl w:val="true"/>
        </w:rPr>
        <w:t xml:space="preserve">" </w:t>
      </w:r>
      <w:r>
        <w:rPr>
          <w:rtl w:val="true"/>
        </w:rPr>
        <w:t xml:space="preserve">אליו מתייחסת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ובוודאי שלא ניתן ללמוד כי היא מייחסת לעצמה אחריות למה שנעשה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מסכים אני עם ניתוחו של בית המשפט המחוזי לפיו כיוון שמדובר במסמך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כתבה מתוך כוונה לשלוח אותו לרב ידוע שאינו מוכר לה</w:t>
      </w:r>
      <w:r>
        <w:rPr>
          <w:rtl w:val="true"/>
        </w:rPr>
        <w:t xml:space="preserve">, </w:t>
      </w:r>
      <w:r>
        <w:rPr>
          <w:rtl w:val="true"/>
        </w:rPr>
        <w:t>אין להתפלא כי לא מצאה לנכון לציין בו פרטים אשר נמנעה מלחשוף בפני אנשים אחרים</w:t>
      </w:r>
      <w:r>
        <w:rPr>
          <w:rtl w:val="true"/>
        </w:rPr>
        <w:t xml:space="preserve">, </w:t>
      </w:r>
      <w:r>
        <w:rPr>
          <w:rtl w:val="true"/>
        </w:rPr>
        <w:t>ובכלל זאת את התקיפות המיניות שחוותה</w:t>
      </w:r>
      <w:r>
        <w:rPr>
          <w:rtl w:val="true"/>
        </w:rPr>
        <w:t xml:space="preserve">. </w:t>
      </w:r>
      <w:r>
        <w:rPr>
          <w:rtl w:val="true"/>
        </w:rPr>
        <w:t xml:space="preserve">דומה כי המכתב מציג למעשה את תולדות חייה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כפי שהתרגלה ברבות השנים להציג בפני אנשים החיצוניים למשפחתה הגרעינית</w:t>
      </w:r>
      <w:r>
        <w:rPr>
          <w:rtl w:val="true"/>
        </w:rPr>
        <w:t xml:space="preserve">, </w:t>
      </w:r>
      <w:r>
        <w:rPr>
          <w:rtl w:val="true"/>
        </w:rPr>
        <w:t>וכפי שביקשה להציגם בפני אותו רב על מנת לתמוך בפניה אליו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 אין זה מפתיע כי ייתכן והאמור בו עולה בקנה אחד עם עדויות העדים מטעם המערערים לפני בית המשפט קמא</w:t>
      </w:r>
      <w:r>
        <w:rPr>
          <w:rtl w:val="true"/>
        </w:rPr>
        <w:t xml:space="preserve">, </w:t>
      </w:r>
      <w:r>
        <w:rPr>
          <w:rtl w:val="true"/>
        </w:rPr>
        <w:t>אשר ביחס אליהם קבע בית המשפט המחוזי כי אין להם היכרות של ממש עם הנעשה בפועל בתוך כותלי דירת המערערים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יודגש כי בניגוד לטענת המערערים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התעלם מעדויות עדי ההגנה</w:t>
      </w:r>
      <w:r>
        <w:rPr>
          <w:rtl w:val="true"/>
        </w:rPr>
        <w:t xml:space="preserve">, </w:t>
      </w:r>
      <w:r>
        <w:rPr>
          <w:rtl w:val="true"/>
        </w:rPr>
        <w:t>אלא נדרש בהרחבה במסגרת הכרעת הדין לכל אחת מהעדויות האמורות</w:t>
      </w:r>
      <w:r>
        <w:rPr>
          <w:rtl w:val="true"/>
        </w:rPr>
        <w:t xml:space="preserve">, </w:t>
      </w:r>
      <w:r>
        <w:rPr>
          <w:rtl w:val="true"/>
        </w:rPr>
        <w:t>והגיע למסקנה כי המשקל שיש ליחס להן הוא נמוך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נוכח העובדה שאותם עדים לא היו בקיאים בטיב הקשר שהתקיים בפועל בין המערער לבין המתלוננת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שלוש מתוך ארבע העדות שהעידו מטעם המערער בהליך קמא</w:t>
      </w:r>
      <w:r>
        <w:rPr>
          <w:rtl w:val="true"/>
        </w:rPr>
        <w:t xml:space="preserve">, </w:t>
      </w:r>
      <w:r>
        <w:rPr>
          <w:rtl w:val="true"/>
        </w:rPr>
        <w:t>כלל לא היו מודעות שהמערער הוא אביו של הבן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העדה הרביעית והיחידה שהייתה מודעת לכך</w:t>
      </w:r>
      <w:r>
        <w:rPr>
          <w:rtl w:val="true"/>
        </w:rPr>
        <w:t xml:space="preserve">, </w:t>
      </w:r>
      <w:r>
        <w:rPr>
          <w:rtl w:val="true"/>
        </w:rPr>
        <w:t xml:space="preserve">העידה על עצמה בעדותה כי היא מעולם לא הייתה בקשר אישי עם המתלוננת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15.2.2018</w:t>
      </w:r>
      <w:r>
        <w:rPr>
          <w:rtl w:val="true"/>
        </w:rPr>
        <w:t xml:space="preserve">).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לא ראיתי מקום להתערב בהחלטת בית המשפט קמא ביחס למשקל הנמוך שיש ליחס לעדויות אלו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לא ראיתי לקבל את טענת המערערים לפיה לא ניתן לקבוע כי הודאת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ביחס לאירוע שהתרחש בדירתה היא הודאת אמת</w:t>
      </w:r>
      <w:r>
        <w:rPr>
          <w:rtl w:val="true"/>
        </w:rPr>
        <w:t xml:space="preserve">, </w:t>
      </w:r>
      <w:r>
        <w:rPr>
          <w:rtl w:val="true"/>
        </w:rPr>
        <w:t>וזאת לאור הלחץ שהופעל עליה לכאורה בחקירתה במשטרה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כממצא עובדתי כי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תיארה את האירוע במשטרה מבלי שהופעל עליה כל לחץ</w:t>
      </w:r>
      <w:r>
        <w:rPr>
          <w:rtl w:val="true"/>
        </w:rPr>
        <w:t xml:space="preserve">, </w:t>
      </w:r>
      <w:r>
        <w:rPr>
          <w:rtl w:val="true"/>
        </w:rPr>
        <w:t>ואגב כך אף אזכרה פרטי מידע ביחס לאותו אירוע</w:t>
      </w:r>
      <w:r>
        <w:rPr>
          <w:rtl w:val="true"/>
        </w:rPr>
        <w:t xml:space="preserve">, </w:t>
      </w:r>
      <w:r>
        <w:rPr>
          <w:rtl w:val="true"/>
        </w:rPr>
        <w:t xml:space="preserve">מבלי שאלו נאמרו לה על ידי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 על ידי חוקרי המשטרה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דומה כי אין כל בסיס משפטי לפסילת הודאתה של 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ביחס לאירוע האמור או להפחתת המשקל הראייתי שייחס לה בית המשפט המחוזי</w:t>
      </w:r>
      <w:r>
        <w:rPr>
          <w:rtl w:val="true"/>
        </w:rPr>
        <w:t xml:space="preserve">.   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מעיון בחומר הראיות עולה כי אין ממש גם בטענת המערערים לפיה קיימת אפשרות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בדתה את תלונתה מחשש שמא בעלה יעזוב אותה לאחר שגילה כי המערער הוא אביו של הבן</w:t>
      </w:r>
      <w:r>
        <w:rPr>
          <w:rtl w:val="true"/>
        </w:rPr>
        <w:t xml:space="preserve">. </w:t>
      </w:r>
      <w:r>
        <w:rPr>
          <w:rtl w:val="true"/>
        </w:rPr>
        <w:t>טענה זו מבוססת כל כולה על העובדה כי המתלוננת סיפרה לבעלה על התקיפות המיניות שבוצעו בה לאחר שזה נחשף לטיוטת המכתב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כלל לא ברור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אכן חששה שבעלה יעזוב אותה ככל שיגלה שקיימה יחסי מין בהסכמה עם המערער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 xml:space="preserve">מעדותו של בעלה לפני בית המשפט המחוזי עולה כי זה הבין עוד בטרם שנחשף לטיוטת המכתב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המתלוננת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שיהרוס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הנישואים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הוא מצא לנכון</w:t>
      </w:r>
      <w:r>
        <w:rPr>
          <w:rtl w:val="true"/>
        </w:rPr>
        <w:t xml:space="preserve">, </w:t>
      </w:r>
      <w:r>
        <w:rPr>
          <w:rtl w:val="true"/>
        </w:rPr>
        <w:t>כך על פי עדותו</w:t>
      </w:r>
      <w:r>
        <w:rPr>
          <w:rtl w:val="true"/>
        </w:rPr>
        <w:t xml:space="preserve">, </w:t>
      </w:r>
      <w:r>
        <w:rPr>
          <w:rtl w:val="true"/>
        </w:rPr>
        <w:t xml:space="preserve">להבהיר למתלוננת </w:t>
      </w:r>
      <w:r>
        <w:rPr/>
        <w:t>1</w:t>
      </w:r>
      <w:r>
        <w:rPr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20.3.2017</w:t>
      </w:r>
      <w:r>
        <w:rPr>
          <w:rtl w:val="true"/>
        </w:rPr>
        <w:t xml:space="preserve">). </w:t>
      </w:r>
      <w:r>
        <w:rPr>
          <w:rtl w:val="true"/>
        </w:rPr>
        <w:t>מדברים אלו</w:t>
      </w:r>
      <w:r>
        <w:rPr>
          <w:rtl w:val="true"/>
        </w:rPr>
        <w:t xml:space="preserve">, </w:t>
      </w:r>
      <w:r>
        <w:rPr>
          <w:rtl w:val="true"/>
        </w:rPr>
        <w:t>אשר נמצאו על ידי בית המשפט כמהימנים</w:t>
      </w:r>
      <w:r>
        <w:rPr>
          <w:rtl w:val="true"/>
        </w:rPr>
        <w:t xml:space="preserve">, </w:t>
      </w:r>
      <w:r>
        <w:rPr>
          <w:rtl w:val="true"/>
        </w:rPr>
        <w:t xml:space="preserve">ואשר מגובים גם במכתב שכתב הבעל למתלוננת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בסמוך לגילוי טיוטת המכתב שכתבה האחרונה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 xml:space="preserve">עולה כי לבעל לא הייתה כל כוונה לעזוב 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עקב דברים שקרו בעברה</w:t>
      </w:r>
      <w:r>
        <w:rPr>
          <w:rtl w:val="true"/>
        </w:rPr>
        <w:t xml:space="preserve">. </w:t>
      </w:r>
      <w:r>
        <w:rPr>
          <w:rtl w:val="true"/>
        </w:rPr>
        <w:t xml:space="preserve">אומנם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טרם נחשפה לאמירות אלו מצד בעלה כאשר סיפרה לו על התקיפות המיניות שחוותה</w:t>
      </w:r>
      <w:r>
        <w:rPr>
          <w:rtl w:val="true"/>
        </w:rPr>
        <w:t xml:space="preserve">, </w:t>
      </w:r>
      <w:r>
        <w:rPr>
          <w:rtl w:val="true"/>
        </w:rPr>
        <w:t>ואולם יש בהן כדי להעיד על האווירה הכללית בין בני הזוג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מחומר הראיות לא עולה כי במועד שבו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סיפרה לבעלה על התקיפות המיניות</w:t>
      </w:r>
      <w:r>
        <w:rPr>
          <w:rtl w:val="true"/>
        </w:rPr>
        <w:t xml:space="preserve">, </w:t>
      </w:r>
      <w:r>
        <w:rPr>
          <w:rtl w:val="true"/>
        </w:rPr>
        <w:t>זו סברה</w:t>
      </w:r>
      <w:r>
        <w:rPr>
          <w:rtl w:val="true"/>
        </w:rPr>
        <w:t xml:space="preserve">, </w:t>
      </w:r>
      <w:r>
        <w:rPr>
          <w:rtl w:val="true"/>
        </w:rPr>
        <w:t>או שהיה לה יסוד לסבור</w:t>
      </w:r>
      <w:r>
        <w:rPr>
          <w:rtl w:val="true"/>
        </w:rPr>
        <w:t xml:space="preserve">, </w:t>
      </w:r>
      <w:r>
        <w:rPr>
          <w:rtl w:val="true"/>
        </w:rPr>
        <w:t>שבעלה עלול לעזוב אותה ככל שיגלה כי לכאורה קיימה יחסי מין בהסכמה עם המערער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אף אם נניח כי גילוי טיוטת המכתב הניע 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לחשוף את שארע בעברה בפני בעלה</w:t>
      </w:r>
      <w:r>
        <w:rPr>
          <w:rtl w:val="true"/>
        </w:rPr>
        <w:t xml:space="preserve">, </w:t>
      </w:r>
      <w:r>
        <w:rPr>
          <w:rtl w:val="true"/>
        </w:rPr>
        <w:t xml:space="preserve">אין בכך כדי לשמש ולו ראשית ראיה התומכת בגרסת המערערים </w:t>
      </w:r>
      <w:r>
        <w:rPr>
          <w:rtl w:val="true"/>
        </w:rPr>
        <w:t>–</w:t>
      </w:r>
      <w:r>
        <w:rPr>
          <w:rtl w:val="true"/>
        </w:rPr>
        <w:t xml:space="preserve"> דהיינו</w:t>
      </w:r>
      <w:r>
        <w:rPr>
          <w:rtl w:val="true"/>
        </w:rPr>
        <w:t xml:space="preserve">, </w:t>
      </w:r>
      <w:r>
        <w:rPr>
          <w:rtl w:val="true"/>
        </w:rPr>
        <w:t>שבמקום לגלות לבעלה את האמת על שאירע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בחרה לעשות כן באמצעות המצאת גרסה שקרית</w:t>
      </w:r>
      <w:r>
        <w:rPr>
          <w:rtl w:val="true"/>
        </w:rPr>
        <w:t xml:space="preserve">, </w:t>
      </w:r>
      <w:r>
        <w:rPr>
          <w:rtl w:val="true"/>
        </w:rPr>
        <w:t>המייחסת לאמה ולאביה החורג מעשי זוועה שלא היו ולא נבראו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 xml:space="preserve">בכל הנוגע לטענת המערערים כי עדותה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 עדות כבושה</w:t>
      </w:r>
      <w:r>
        <w:rPr>
          <w:rtl w:val="true"/>
        </w:rPr>
        <w:t xml:space="preserve">, </w:t>
      </w:r>
      <w:r>
        <w:rPr>
          <w:rtl w:val="true"/>
        </w:rPr>
        <w:t>הרי שבפסיקה כבר נקבע שאין בכבישת עדות של נפגע עבירת מין כדי לפגוע במהימנותה או במשקל שיש לייחס לה</w:t>
      </w:r>
      <w:r>
        <w:rPr>
          <w:rtl w:val="true"/>
        </w:rPr>
        <w:t xml:space="preserve">, </w:t>
      </w:r>
      <w:r>
        <w:rPr>
          <w:rtl w:val="true"/>
        </w:rPr>
        <w:t xml:space="preserve">וזאת בהתקיים הסבר סביר לכבישת העדות המעוגן בנסיבות העניין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2485/00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918</w:t>
      </w:r>
      <w:r>
        <w:rPr>
          <w:rtl w:val="true"/>
        </w:rPr>
        <w:t xml:space="preserve">, </w:t>
      </w:r>
      <w:r>
        <w:rPr/>
        <w:t>926-925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7.10.2015</w:t>
      </w:r>
      <w:r>
        <w:rPr>
          <w:rtl w:val="true"/>
        </w:rPr>
        <w:t xml:space="preserve">)).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הסבירה את כבישת עדותה בכך שבמהלך השנים התביישה ופחדה לחשוף את המעשים שנעשו כלפיה</w:t>
      </w:r>
      <w:r>
        <w:rPr>
          <w:rtl w:val="true"/>
        </w:rPr>
        <w:t xml:space="preserve">, </w:t>
      </w:r>
      <w:r>
        <w:rPr>
          <w:rtl w:val="true"/>
        </w:rPr>
        <w:t>ורק לאחר שהתחתנה עם בעלה חשה ביטחון</w:t>
      </w:r>
      <w:r>
        <w:rPr>
          <w:rtl w:val="true"/>
        </w:rPr>
        <w:t xml:space="preserve">, </w:t>
      </w:r>
      <w:r>
        <w:rPr>
          <w:rtl w:val="true"/>
        </w:rPr>
        <w:t>הן מבחינה כלכלית והן מבחינה רגשית</w:t>
      </w:r>
      <w:r>
        <w:rPr>
          <w:rtl w:val="true"/>
        </w:rPr>
        <w:t xml:space="preserve">, </w:t>
      </w:r>
      <w:r>
        <w:rPr>
          <w:rtl w:val="true"/>
        </w:rPr>
        <w:t>לחשוף את אשר חוותה</w:t>
      </w:r>
      <w:r>
        <w:rPr>
          <w:rtl w:val="true"/>
        </w:rPr>
        <w:t xml:space="preserve">. </w:t>
      </w:r>
      <w:r>
        <w:rPr>
          <w:rtl w:val="true"/>
        </w:rPr>
        <w:t xml:space="preserve">סבורני כי הסבר זה מניח את הדעת </w:t>
      </w:r>
      <w:r>
        <w:rPr>
          <w:rtl w:val="true"/>
        </w:rPr>
        <w:t>–</w:t>
      </w:r>
      <w:r>
        <w:rPr>
          <w:rtl w:val="true"/>
        </w:rPr>
        <w:t xml:space="preserve">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הותקפה מינית על ידי אמה הביולוגית ואביה החורג החל מגיל צעיר ביותר</w:t>
      </w:r>
      <w:r>
        <w:rPr>
          <w:rtl w:val="true"/>
        </w:rPr>
        <w:t xml:space="preserve">, </w:t>
      </w:r>
      <w:r>
        <w:rPr>
          <w:rtl w:val="true"/>
        </w:rPr>
        <w:t>ולכן אין להתפלא כי היא חששה להתלונן נגדם</w:t>
      </w:r>
      <w:r>
        <w:rPr>
          <w:rtl w:val="true"/>
        </w:rPr>
        <w:t xml:space="preserve">, </w:t>
      </w:r>
      <w:r>
        <w:rPr>
          <w:rtl w:val="true"/>
        </w:rPr>
        <w:t>בהעדר רשת ביטחון עליה תוכל להסתמך ולהישען לצורך גיוס הכוחות הנדרשים לשם הגשת תלונה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ברי כי אין בכבישת העדות של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 לפגוע במהימנות או במשקל שיש לייחס לה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מוסיפים וטוענים כי בית המשפט קמא שגה כאשר קבע כי המעשים המיוחסים למערער עולים כדי עדות שיטה</w:t>
      </w:r>
      <w:r>
        <w:rPr>
          <w:rtl w:val="true"/>
        </w:rPr>
        <w:t xml:space="preserve">, </w:t>
      </w:r>
      <w:r>
        <w:rPr>
          <w:rtl w:val="true"/>
        </w:rPr>
        <w:t>וזאת משהמעשים אשר יוחסו לו אינם ייחודיים</w:t>
      </w:r>
      <w:r>
        <w:rPr>
          <w:rtl w:val="true"/>
        </w:rPr>
        <w:t xml:space="preserve">, </w:t>
      </w:r>
      <w:r>
        <w:rPr>
          <w:rtl w:val="true"/>
        </w:rPr>
        <w:t>ואף לא מתקיים דמיון בין תיאורי המעשים על ידי המתלוננות</w:t>
      </w:r>
      <w:r>
        <w:rPr>
          <w:rtl w:val="true"/>
        </w:rPr>
        <w:t xml:space="preserve">. </w:t>
      </w:r>
      <w:r>
        <w:rPr>
          <w:rtl w:val="true"/>
        </w:rPr>
        <w:t>גם דינה של טענה זו להידחות</w:t>
      </w:r>
      <w:r>
        <w:rPr>
          <w:rtl w:val="true"/>
        </w:rPr>
        <w:t xml:space="preserve">. </w:t>
      </w:r>
      <w:r>
        <w:rPr>
          <w:rtl w:val="true"/>
        </w:rPr>
        <w:t>לא ניתן להתעלם מקיומם של קווי דמיון בין עדויות המתלוננות</w:t>
      </w:r>
      <w:r>
        <w:rPr>
          <w:rtl w:val="true"/>
        </w:rPr>
        <w:t xml:space="preserve">, </w:t>
      </w:r>
      <w:r>
        <w:rPr>
          <w:rtl w:val="true"/>
        </w:rPr>
        <w:t>הן ביחס למערכת היחסים בכללותה</w:t>
      </w:r>
      <w:r>
        <w:rPr>
          <w:rtl w:val="true"/>
        </w:rPr>
        <w:t xml:space="preserve">: </w:t>
      </w:r>
      <w:r>
        <w:rPr>
          <w:rtl w:val="true"/>
        </w:rPr>
        <w:t>כפיית יחסי מין על ידי מי ששימש כדמות אב עבורן במעורבות פעילה של האם הביולוגית</w:t>
      </w:r>
      <w:r>
        <w:rPr>
          <w:rtl w:val="true"/>
        </w:rPr>
        <w:t xml:space="preserve">; </w:t>
      </w:r>
      <w:r>
        <w:rPr>
          <w:rtl w:val="true"/>
        </w:rPr>
        <w:t>הן ביחס למעשים עצמם</w:t>
      </w:r>
      <w:r>
        <w:rPr>
          <w:rtl w:val="true"/>
        </w:rPr>
        <w:t xml:space="preserve">, </w:t>
      </w:r>
      <w:r>
        <w:rPr>
          <w:rtl w:val="true"/>
        </w:rPr>
        <w:t>ובפרט ביחס ל</w:t>
      </w:r>
      <w:r>
        <w:rPr>
          <w:rtl w:val="true"/>
        </w:rPr>
        <w:t>"</w:t>
      </w:r>
      <w:r>
        <w:rPr>
          <w:rtl w:val="true"/>
        </w:rPr>
        <w:t>טקס החניכה</w:t>
      </w:r>
      <w:r>
        <w:rPr>
          <w:rtl w:val="true"/>
        </w:rPr>
        <w:t xml:space="preserve">", </w:t>
      </w:r>
      <w:r>
        <w:rPr>
          <w:rtl w:val="true"/>
        </w:rPr>
        <w:t>אשר הוא בוודאי לא רק מזעזע</w:t>
      </w:r>
      <w:r>
        <w:rPr>
          <w:rtl w:val="true"/>
        </w:rPr>
        <w:t xml:space="preserve">, </w:t>
      </w:r>
      <w:r>
        <w:rPr>
          <w:rtl w:val="true"/>
        </w:rPr>
        <w:t>אלא גם חריג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כטענת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הדמיון המתואר אינו עולה בהכרח כדי </w:t>
      </w:r>
      <w:r>
        <w:rPr>
          <w:rtl w:val="true"/>
        </w:rPr>
        <w:t>"</w:t>
      </w:r>
      <w:r>
        <w:rPr>
          <w:rtl w:val="true"/>
        </w:rPr>
        <w:t>כרטיס ביקור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טביעת אצבע של הנאשם</w:t>
      </w:r>
      <w:r>
        <w:rPr>
          <w:rtl w:val="true"/>
        </w:rPr>
        <w:t xml:space="preserve">", </w:t>
      </w:r>
      <w:r>
        <w:rPr>
          <w:rtl w:val="true"/>
        </w:rPr>
        <w:t>ואולם בפסיקה הודגש הלוך וחזור כי לא בכל מקרה ומקרה עדות השיטה חייבת להצביע על מידה גבוהה של דמיון</w:t>
      </w:r>
      <w:r>
        <w:rPr>
          <w:rtl w:val="true"/>
        </w:rPr>
        <w:t xml:space="preserve">, </w:t>
      </w:r>
      <w:r>
        <w:rPr>
          <w:rtl w:val="true"/>
        </w:rPr>
        <w:t>אלא מידת הדמיון הנדרשת היא פונקציה של מעמד עדות השיטה ומקומה ב</w:t>
      </w:r>
      <w:r>
        <w:rPr>
          <w:rtl w:val="true"/>
        </w:rPr>
        <w:t>"</w:t>
      </w:r>
      <w:r>
        <w:rPr>
          <w:rtl w:val="true"/>
        </w:rPr>
        <w:t>סל הראיות</w:t>
      </w:r>
      <w:r>
        <w:rPr>
          <w:rtl w:val="true"/>
        </w:rPr>
        <w:t xml:space="preserve">" </w:t>
      </w:r>
      <w:r>
        <w:rPr>
          <w:rtl w:val="true"/>
        </w:rPr>
        <w:t>המונח לפני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עמד על כך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 ב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679/78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480</w:t>
      </w:r>
      <w:r>
        <w:rPr>
          <w:rtl w:val="true"/>
        </w:rPr>
        <w:t xml:space="preserve">, </w:t>
      </w:r>
      <w:r>
        <w:rPr/>
        <w:t>493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כרטיס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".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סל</w:t>
      </w:r>
      <w:r>
        <w:rPr>
          <w:rtl w:val="true"/>
        </w:rPr>
        <w:t xml:space="preserve">"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tl w:val="true"/>
        </w:rPr>
        <w:t xml:space="preserve">...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האינטנסיביות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פונקציה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אנטיפקה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3.4.2008</w:t>
      </w:r>
      <w:r>
        <w:rPr>
          <w:rtl w:val="true"/>
        </w:rPr>
        <w:t xml:space="preserve">); </w:t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9657/05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9.3.2009</w:t>
      </w:r>
      <w:r>
        <w:rPr>
          <w:rtl w:val="true"/>
        </w:rPr>
        <w:t xml:space="preserve">);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10.11.2011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המשפט המחוזי הסתמך על עדות השיטה אך כראיית חיזוק לעדויות המתלוננות</w:t>
      </w:r>
      <w:r>
        <w:rPr>
          <w:rtl w:val="true"/>
        </w:rPr>
        <w:t xml:space="preserve">, </w:t>
      </w:r>
      <w:r>
        <w:rPr>
          <w:rtl w:val="true"/>
        </w:rPr>
        <w:t>לצד ראיות רבות נוספות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 במידת הדמיון המתקיימת בענייננו בין גרסאות המתלוננות כדי לראות במעשי המערער כעדות שיטה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וביחס לטענת המערערים לפיה לא ניתן לשלול את האפשרות כי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ידעה פרטים על טענות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עוד בטרם הגישה את תלונתה </w:t>
      </w:r>
      <w:r>
        <w:rPr>
          <w:rtl w:val="true"/>
        </w:rPr>
        <w:t>–</w:t>
      </w:r>
      <w:r>
        <w:rPr>
          <w:rtl w:val="true"/>
        </w:rPr>
        <w:t xml:space="preserve"> בית המשפט קמא קבע כממצא עובדתי בהתבסס על מכלול הראיות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ותלונתה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ולא ראיתי טעם להתערב בקביעה זו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מוסיפים וטוענים כי ייתכן שהמתלוננת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נחשפה לטענותיה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כלפי המערער באמצעות בלוג שנכתב על ידי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ובו היא פרסמה את המעשים שבוצעו בה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מעיון בפרסומיה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בבלוג הנזכר</w:t>
      </w:r>
      <w:r>
        <w:rPr>
          <w:rtl w:val="true"/>
        </w:rPr>
        <w:t xml:space="preserve">, </w:t>
      </w:r>
      <w:r>
        <w:rPr>
          <w:rtl w:val="true"/>
        </w:rPr>
        <w:t xml:space="preserve">אשר הוגשו במסגרת ההליך קמא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 xml:space="preserve">עולה כי התייחסותה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למעשי המערערים בבלוג היא כללית בלבד</w:t>
      </w:r>
      <w:r>
        <w:rPr>
          <w:rtl w:val="true"/>
        </w:rPr>
        <w:t xml:space="preserve">, </w:t>
      </w:r>
      <w:r>
        <w:rPr>
          <w:rtl w:val="true"/>
        </w:rPr>
        <w:t>וממילא אין כל אזכור ממשי לפרטי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כגון </w:t>
      </w:r>
      <w:r>
        <w:rPr>
          <w:rtl w:val="true"/>
        </w:rPr>
        <w:t>"</w:t>
      </w:r>
      <w:r>
        <w:rPr>
          <w:rtl w:val="true"/>
        </w:rPr>
        <w:t>טקס החניכה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הסתמך בית המשפט קמא בקביעתו כי מעשי המערער מבססים עדות שיטה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ראיתי מקום לקבל גם את 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 xml:space="preserve">כי נפלו בעניינם </w:t>
      </w:r>
      <w:r>
        <w:rPr>
          <w:rtl w:val="true"/>
        </w:rPr>
        <w:t>מחדלי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משמעותיים מצד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לבסס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ולהביא</w:t>
      </w:r>
      <w:r>
        <w:rPr>
          <w:rtl w:val="true"/>
        </w:rPr>
        <w:t xml:space="preserve"> </w:t>
      </w:r>
      <w:r>
        <w:rPr>
          <w:rtl w:val="true"/>
        </w:rPr>
        <w:t>לזיכוי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 xml:space="preserve">שיתקיים </w:t>
      </w:r>
      <w:r>
        <w:rPr>
          <w:rtl w:val="true"/>
        </w:rPr>
        <w:t>מחדל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 </w:t>
      </w:r>
      <w:r>
        <w:rPr>
          <w:rtl w:val="true"/>
        </w:rPr>
        <w:t>המקפח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הגנת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והיורד</w:t>
      </w:r>
      <w:r>
        <w:rPr>
          <w:rtl w:val="true"/>
        </w:rPr>
        <w:t xml:space="preserve"> </w:t>
      </w:r>
      <w:r>
        <w:rPr>
          <w:rtl w:val="true"/>
        </w:rPr>
        <w:t>לשורש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5073/11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12.11.2014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לאחר בחינת המחדלים המתוארים על ידי המערערים</w:t>
      </w:r>
      <w:r>
        <w:rPr>
          <w:rtl w:val="true"/>
        </w:rPr>
        <w:t xml:space="preserve">, </w:t>
      </w:r>
      <w:r>
        <w:rPr>
          <w:rtl w:val="true"/>
        </w:rPr>
        <w:t>לא התרשמתי כי זהו המצב בענייננו</w:t>
      </w:r>
      <w:r>
        <w:rPr>
          <w:rtl w:val="true"/>
        </w:rPr>
        <w:t xml:space="preserve">, </w:t>
      </w:r>
      <w:r>
        <w:rPr>
          <w:rtl w:val="true"/>
        </w:rPr>
        <w:t>וממילא דומה כי במסגרת חקירות העדים אשר נוהלו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ניתנה למערערים ההזדמנות לתקן את מירב הפגמים הנטענים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בחקירתה הנגדית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למערערים ניתנה ההזדמנות לחקור אותה ביחס לכל אותם תיאורים והסברים אשר לגישתם לא נבדקו על ידי המשטרה והמלמדים כי זו משקרת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ביחס לטענת המערער כי לא ניתנה לו האפשרות להגיב או לשאול שאלות במסגרת העימות שלו מול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 שהמערער יכול היה להגיב על הטענות שברצונו היה להגיב עליהן במסגרת עדותו לפני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וכן לשאול את השאלות שברצונו היה לשאול את המתלוננת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 חקירתה הנגדית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לנוכח כל המקובץ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לא מצאתי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המערערים הצביעו על טעות בהכרעת דינו של בית המשפט קמא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מדובר בהכרעת דין מבוססת היטב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הנשענת 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התרשמות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 של הערכאה הדיונית מהעדויות אשר הובאו בפניה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ובכלל זאת עדויות המתלוננות והמערערים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כן על מכלול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חומר הראיו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ת שהוגש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tl w:val="true"/>
        </w:rPr>
        <w:t>ככזו</w:t>
      </w:r>
      <w:r>
        <w:rPr>
          <w:rtl w:val="true"/>
        </w:rPr>
        <w:t xml:space="preserve">, </w:t>
      </w:r>
      <w:r>
        <w:rPr>
          <w:rtl w:val="true"/>
        </w:rPr>
        <w:t>לא קמה כל עילה להתערבות ערכאת הערעור בה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שהוגש ביחס להכרעת הדין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ערכאת הערעור אינה נוטה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שבהן העונש חורג באופן קיצוני מהענישה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טעות בולטת בגזר הדין </w:t>
      </w:r>
      <w:r>
        <w:rPr>
          <w:rtl w:val="true"/>
        </w:rPr>
        <w:t>(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18.6.2020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b/>
          <w:spacing w:val="0"/>
          <w:rtl w:val="true"/>
        </w:rPr>
        <w:t xml:space="preserve"> </w:t>
      </w:r>
      <w:hyperlink r:id="rId104">
        <w:r>
          <w:rPr>
            <w:rStyle w:val="Hyperlink"/>
            <w:b/>
            <w:b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b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b/>
            <w:b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spacing w:val="0"/>
            <w:u w:val="single"/>
          </w:rPr>
          <w:t>7474/19</w:t>
        </w:r>
      </w:hyperlink>
      <w:r>
        <w:rPr>
          <w:b/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b/>
          <w:spacing w:val="0"/>
          <w:rtl w:val="true"/>
        </w:rPr>
        <w:t xml:space="preserve"> </w:t>
      </w:r>
      <w:r>
        <w:rPr>
          <w:b/>
          <w:b/>
          <w:spacing w:val="0"/>
          <w:rtl w:val="true"/>
        </w:rPr>
        <w:t xml:space="preserve">פסקה </w:t>
      </w:r>
      <w:r>
        <w:rPr>
          <w:b/>
          <w:spacing w:val="0"/>
        </w:rPr>
        <w:t>27</w:t>
      </w:r>
      <w:r>
        <w:rPr>
          <w:b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b/>
          <w:spacing w:val="0"/>
          <w:rtl w:val="true"/>
        </w:rPr>
        <w:t>(</w:t>
      </w:r>
      <w:r>
        <w:rPr>
          <w:b/>
          <w:spacing w:val="0"/>
        </w:rPr>
        <w:t>12.7.2020</w:t>
      </w:r>
      <w:r>
        <w:rPr>
          <w:b/>
          <w:spacing w:val="0"/>
          <w:rtl w:val="true"/>
        </w:rPr>
        <w:t>);</w:t>
      </w:r>
      <w:r>
        <w:rPr>
          <w:rtl w:val="true"/>
        </w:rPr>
        <w:t xml:space="preserve"> </w:t>
      </w:r>
      <w:hyperlink r:id="rId10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6962/17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24.8.2020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hyperlink r:id="rId10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b/>
          <w:b/>
          <w:spacing w:val="0"/>
          <w:rtl w:val="true"/>
        </w:rPr>
        <w:t xml:space="preserve">פסקה </w:t>
      </w:r>
      <w:r>
        <w:rPr>
          <w:b/>
          <w:spacing w:val="0"/>
        </w:rPr>
        <w:t>43</w:t>
      </w:r>
      <w:r>
        <w:rPr>
          <w:b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b/>
          <w:spacing w:val="0"/>
          <w:rtl w:val="true"/>
        </w:rPr>
        <w:t>(</w:t>
      </w:r>
      <w:r>
        <w:rPr>
          <w:b/>
          <w:spacing w:val="0"/>
        </w:rPr>
        <w:t>20.10.2020</w:t>
      </w:r>
      <w:r>
        <w:rPr>
          <w:b/>
          <w:spacing w:val="0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לא מצאתי כי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העונשים שהושתו על המערערים ב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מקרה דנן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למרות שהם כוללים עונשי מאסר לתקופות ממושכות וחיוב בפיצויים בסכומים נכבדים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מצדיקים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התערבות כאמו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אין זאת אלא שמתקיימת בענייננו הלימה בין הזוועה שבמעשי המערערים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אשר קשה להאמין כי בני אנוש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לא כל שכן הורים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מסוגלים 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לבין העונשים הכבדים שנגזרו על המערערים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דומני שהדברים מדברים בעד עצמם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tl w:val="true"/>
        </w:rPr>
        <w:t>ואולם למען לא ימצא הכתוב חסר</w:t>
      </w:r>
      <w:r>
        <w:rPr>
          <w:rtl w:val="true"/>
        </w:rPr>
        <w:t xml:space="preserve">, </w:t>
      </w:r>
      <w:r>
        <w:rPr>
          <w:rtl w:val="true"/>
        </w:rPr>
        <w:t>אנמק בקצרה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משפט זה עמד לא אחת על </w:t>
      </w:r>
      <w:r>
        <w:rPr>
          <w:rtl w:val="true"/>
        </w:rPr>
        <w:t>החומרה היתרה הגלומה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 מין</w:t>
      </w:r>
      <w:r>
        <w:rPr>
          <w:rtl w:val="true"/>
        </w:rPr>
        <w:t xml:space="preserve"> כלפי קטינים</w:t>
      </w:r>
      <w:r>
        <w:rPr>
          <w:rtl w:val="true"/>
        </w:rPr>
        <w:t xml:space="preserve">, </w:t>
      </w:r>
      <w:r>
        <w:rPr>
          <w:rtl w:val="true"/>
        </w:rPr>
        <w:t xml:space="preserve">וביתר שאת כאשר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העבירות מבוצעות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בידי בן משפחה – תוך ניצול לרעה של הקרבה הפיזית והנפשית ושל האמון השורר במסגרת התא המשפחתי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4.7.2007</w:t>
      </w:r>
      <w:r>
        <w:rPr>
          <w:rtl w:val="true"/>
        </w:rPr>
        <w:t xml:space="preserve">);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18.11.2012</w:t>
      </w:r>
      <w:r>
        <w:rPr>
          <w:rtl w:val="true"/>
        </w:rPr>
        <w:t xml:space="preserve">);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11.1.2016</w:t>
      </w:r>
      <w:r>
        <w:rPr>
          <w:rtl w:val="true"/>
        </w:rPr>
        <w:t xml:space="preserve">);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במשך שנים רבות ביצע המערער באופן יומיומי עבירות מין קשות וחמורות</w:t>
      </w:r>
      <w:r>
        <w:rPr>
          <w:rtl w:val="true"/>
        </w:rPr>
        <w:t xml:space="preserve">, </w:t>
      </w:r>
      <w:r>
        <w:rPr>
          <w:rtl w:val="true"/>
        </w:rPr>
        <w:t>ובכלל זאת מעשי אינוס</w:t>
      </w:r>
      <w:r>
        <w:rPr>
          <w:rtl w:val="true"/>
        </w:rPr>
        <w:t xml:space="preserve">, </w:t>
      </w:r>
      <w:r>
        <w:rPr>
          <w:rtl w:val="true"/>
        </w:rPr>
        <w:t xml:space="preserve">כלפי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לה שימש כדמות אב</w:t>
      </w:r>
      <w:r>
        <w:rPr>
          <w:rtl w:val="true"/>
        </w:rPr>
        <w:t xml:space="preserve">, </w:t>
      </w:r>
      <w:r>
        <w:rPr>
          <w:rtl w:val="true"/>
        </w:rPr>
        <w:t xml:space="preserve">וזאת מאז שזו הייתה כבת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. </w:t>
      </w:r>
      <w:r>
        <w:rPr>
          <w:rtl w:val="true"/>
        </w:rPr>
        <w:t xml:space="preserve">התקיפות המיניות לוו בהפעלת אלימות פיזית ומילולית כלפי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והמעשים בוצעו בידיעתה של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אימה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לעיתים אף לקחה בהם חלק</w:t>
      </w:r>
      <w:r>
        <w:rPr>
          <w:rtl w:val="true"/>
        </w:rPr>
        <w:t xml:space="preserve">, </w:t>
      </w:r>
      <w:r>
        <w:rPr>
          <w:rtl w:val="true"/>
        </w:rPr>
        <w:t>וביצעה אותם בצוותא יחד עם המערער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כמי שהיו בעלי חובה חוקית ומוסרית להגן על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מעלו בתפקידם</w:t>
      </w:r>
      <w:r>
        <w:rPr>
          <w:rtl w:val="true"/>
        </w:rPr>
        <w:t xml:space="preserve">, </w:t>
      </w:r>
      <w:r>
        <w:rPr>
          <w:rtl w:val="true"/>
        </w:rPr>
        <w:t>וניצלו את חוסר האונים שלה מולם כדי לספק את תאוותיהם המיניות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ראו במתלוננת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ככלי שרת לריצוי רצונותיהם</w:t>
      </w:r>
      <w:r>
        <w:rPr>
          <w:rtl w:val="true"/>
        </w:rPr>
        <w:t xml:space="preserve">, </w:t>
      </w:r>
      <w:r>
        <w:rPr>
          <w:rtl w:val="true"/>
        </w:rPr>
        <w:t>והתעלמו התעלמות מוחלטת מזכותה על גופה ומהאוטונומי</w:t>
      </w:r>
      <w:r>
        <w:rPr>
          <w:rtl w:val="true"/>
        </w:rPr>
        <w:t>ה</w:t>
      </w:r>
      <w:r>
        <w:rPr>
          <w:rtl w:val="true"/>
        </w:rPr>
        <w:t xml:space="preserve"> שלה כבת אדם</w:t>
      </w:r>
      <w:r>
        <w:rPr>
          <w:rtl w:val="true"/>
        </w:rPr>
        <w:t xml:space="preserve">. </w:t>
      </w:r>
      <w:r>
        <w:rPr>
          <w:rtl w:val="true"/>
        </w:rPr>
        <w:t xml:space="preserve">כפי שעולה מתסקיר נפגעת העבירה בעניינה של המתלוננת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התקיפות המיניות המתמשכות מהן זו סבלה מאז גיל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גרמו לה לנזקים קיצוניים בחומרתם</w:t>
      </w:r>
      <w:r>
        <w:rPr>
          <w:rtl w:val="true"/>
        </w:rPr>
        <w:t xml:space="preserve">, </w:t>
      </w:r>
      <w:r>
        <w:rPr>
          <w:rtl w:val="true"/>
        </w:rPr>
        <w:t>וה</w:t>
      </w:r>
      <w:r>
        <w:rPr>
          <w:rtl w:val="true"/>
        </w:rPr>
        <w:t>תסמינים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פוסט</w:t>
      </w:r>
      <w:r>
        <w:rPr>
          <w:rtl w:val="true"/>
        </w:rPr>
        <w:t xml:space="preserve"> </w:t>
      </w:r>
      <w:r>
        <w:rPr>
          <w:rtl w:val="true"/>
        </w:rPr>
        <w:t>טראומתיים</w:t>
      </w:r>
      <w:r>
        <w:rPr>
          <w:rtl w:val="true"/>
        </w:rPr>
        <w:t xml:space="preserve"> </w:t>
      </w:r>
      <w:r>
        <w:rPr>
          <w:rtl w:val="true"/>
        </w:rPr>
        <w:t>עימם היא מתמודדת מקשים עליה עד היום לתפקד באופן תקין בתחומי החיים השונים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ניצל את מעמדו כמי שהיה בעל דמות אבהית בעבור המתלוננת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וביצע גם בה עבירות מין חמורות</w:t>
      </w:r>
      <w:r>
        <w:rPr>
          <w:rtl w:val="true"/>
        </w:rPr>
        <w:t xml:space="preserve">, </w:t>
      </w:r>
      <w:r>
        <w:rPr>
          <w:rtl w:val="true"/>
        </w:rPr>
        <w:t>ובכלל זאת מעשי סדום</w:t>
      </w:r>
      <w:r>
        <w:rPr>
          <w:rtl w:val="true"/>
        </w:rPr>
        <w:t xml:space="preserve">, </w:t>
      </w:r>
      <w:r>
        <w:rPr>
          <w:rtl w:val="true"/>
        </w:rPr>
        <w:t>מספר פעמים בשבוע במשך שנים</w:t>
      </w:r>
      <w:r>
        <w:rPr>
          <w:rtl w:val="true"/>
        </w:rPr>
        <w:t xml:space="preserve">. </w:t>
      </w:r>
      <w:r>
        <w:rPr>
          <w:rtl w:val="true"/>
        </w:rPr>
        <w:t>המעשים בוצעו תוך שימוש בכוח ובאיומים</w:t>
      </w:r>
      <w:r>
        <w:rPr>
          <w:rtl w:val="true"/>
        </w:rPr>
        <w:t xml:space="preserve">, </w:t>
      </w:r>
      <w:r>
        <w:rPr>
          <w:rtl w:val="true"/>
        </w:rPr>
        <w:t xml:space="preserve">ולעיתים נעשו בשיתוף אימה הביולוגית של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 xml:space="preserve">כעולה מתסקיר נפגעת העבירה בעניינה של המתלוננת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הפגיעות המיניות מהן סבלה פגעו בהתפתחותה התקינה</w:t>
      </w:r>
      <w:r>
        <w:rPr>
          <w:rtl w:val="true"/>
        </w:rPr>
        <w:t xml:space="preserve">, </w:t>
      </w:r>
      <w:r>
        <w:rPr>
          <w:rtl w:val="true"/>
        </w:rPr>
        <w:t>וחלק מהנזקים והפגיעות הנפשיות שנגרמו לה כתוצאה מהן כלל אינן הפיכות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בדין גזר בית המשפט המחוזי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 על המערער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על המערערת </w:t>
      </w:r>
      <w:r>
        <w:rPr>
          <w:rtl w:val="true"/>
        </w:rPr>
        <w:t>(</w:t>
      </w:r>
      <w:r>
        <w:rPr>
          <w:rtl w:val="true"/>
        </w:rPr>
        <w:t>לצד מאסרים מותנים ותשלום פיצוי כספי למתלוננות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המדובר בעונשי מאסר כבדים</w:t>
      </w:r>
      <w:r>
        <w:rPr>
          <w:rtl w:val="true"/>
        </w:rPr>
        <w:t xml:space="preserve">, </w:t>
      </w:r>
      <w:r>
        <w:rPr>
          <w:rtl w:val="true"/>
        </w:rPr>
        <w:t>ואולם בהתחשב באופיים ובהימשכותם של מעשי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מדובר בעונשים העומדים ביחס הולם לחומרת המעשים </w:t>
      </w:r>
      <w:r>
        <w:rPr>
          <w:rtl w:val="true"/>
        </w:rPr>
        <w:t>(</w:t>
      </w:r>
      <w:r>
        <w:rPr>
          <w:rtl w:val="true"/>
        </w:rPr>
        <w:t>וראו לעניין זה</w:t>
      </w:r>
      <w:r>
        <w:rPr>
          <w:rtl w:val="true"/>
        </w:rPr>
        <w:t xml:space="preserve">: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המעגן את עקרון ההלימה כעקרון המנחה בענישה</w:t>
      </w:r>
      <w:r>
        <w:rPr>
          <w:rtl w:val="true"/>
        </w:rPr>
        <w:t xml:space="preserve">). </w:t>
      </w:r>
      <w:r>
        <w:rPr>
          <w:rtl w:val="true"/>
        </w:rPr>
        <w:t xml:space="preserve">עוד יש לציין כי העונש שהושת על המערערים אינו חורג מהענישה המקובלת במקרים דומים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לשם השוואה</w:t>
      </w:r>
      <w:r>
        <w:rPr>
          <w:rtl w:val="true"/>
        </w:rPr>
        <w:t xml:space="preserve">: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7.4.2014</w:t>
      </w:r>
      <w:r>
        <w:rPr>
          <w:rtl w:val="true"/>
        </w:rPr>
        <w:t xml:space="preserve">); 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פסקות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30.6.2014</w:t>
      </w:r>
      <w:r>
        <w:rPr>
          <w:rtl w:val="true"/>
        </w:rPr>
        <w:t xml:space="preserve">), </w:t>
      </w:r>
      <w:r>
        <w:rPr>
          <w:rtl w:val="true"/>
        </w:rPr>
        <w:t>בהם הוטלו עונשים דומים בחומרתם בגין הרשעות בביצוע עבירות מין במשפחה</w:t>
      </w:r>
      <w:r>
        <w:rPr>
          <w:rtl w:val="true"/>
        </w:rPr>
        <w:t xml:space="preserve">).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לא נעלם מעיניי שהעונש אשר הוטל על המערער חורג מהעונש המרבי הקבוע בחוק בגין כל אחת מהעבירות בהן הורשע בנפרד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לא רק שהמערער הורשע בכך שביצע פגיעות מיניות קשות מאד לאורך שנים במתלוננת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אלא שהוא הורשע גם בביצוע פגיעות מניות קשות מאד לאורך שנים במתלוננת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בו מדובר במערער שהורשע בריבוי מעשי פגיעה מינית חמורים ביותר לאורך זמן בשתי מתלוננות קטינות</w:t>
      </w:r>
      <w:r>
        <w:rPr>
          <w:rtl w:val="true"/>
        </w:rPr>
        <w:t xml:space="preserve">, </w:t>
      </w:r>
      <w:r>
        <w:rPr>
          <w:rtl w:val="true"/>
        </w:rPr>
        <w:t>תוך ניצול יחסי האמון והתלות של כל אחת מהן בו</w:t>
      </w:r>
      <w:r>
        <w:rPr>
          <w:rtl w:val="true"/>
        </w:rPr>
        <w:t xml:space="preserve">, </w:t>
      </w:r>
      <w:r>
        <w:rPr>
          <w:rtl w:val="true"/>
        </w:rPr>
        <w:t>לא רק שניתן כעניין של סמכות לפסוק לו עונש העולה על העונש המרבי</w:t>
      </w:r>
      <w:r>
        <w:rPr>
          <w:rtl w:val="true"/>
        </w:rPr>
        <w:t xml:space="preserve">, </w:t>
      </w:r>
      <w:r>
        <w:rPr>
          <w:rtl w:val="true"/>
        </w:rPr>
        <w:t>אלא שגם ראוי</w:t>
      </w:r>
      <w:r>
        <w:rPr>
          <w:rtl w:val="true"/>
        </w:rPr>
        <w:t xml:space="preserve">, </w:t>
      </w:r>
      <w:r>
        <w:rPr>
          <w:rtl w:val="true"/>
        </w:rPr>
        <w:t>בהינתן מכלול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לפסוק לו עונש שכזה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934</w:t>
      </w:r>
      <w:r>
        <w:rPr>
          <w:rtl w:val="true"/>
        </w:rPr>
        <w:t xml:space="preserve">, </w:t>
      </w:r>
      <w:r>
        <w:rPr/>
        <w:t>944-943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1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/>
        <w:t>612-610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);  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9-8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גם לא מצאתי ממש בטענות המערערת בנוגע לשיקולים לקולה הפועלים לטובתה</w:t>
      </w:r>
      <w:r>
        <w:rPr>
          <w:rtl w:val="true"/>
        </w:rPr>
        <w:t xml:space="preserve">, </w:t>
      </w:r>
      <w:r>
        <w:rPr>
          <w:rtl w:val="true"/>
        </w:rPr>
        <w:t>אשר לגישתה לא זכו למשקל מספק על 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בית המשפט דן בגזר הדין בהרחבה בכל אחד מהשיקולים אותם הזכירה המערערת</w:t>
      </w:r>
      <w:r>
        <w:rPr>
          <w:rtl w:val="true"/>
        </w:rPr>
        <w:t xml:space="preserve">, </w:t>
      </w:r>
      <w:r>
        <w:rPr>
          <w:rtl w:val="true"/>
        </w:rPr>
        <w:t>ונתן להם משקל ממשי בעת גזירת עונשה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בית המשפט ציין מפורשות בגזר הדין כי אין ביכולתו להתעלם ממידת ההשפעה שהייתה למערער על המערערת</w:t>
      </w:r>
      <w:r>
        <w:rPr>
          <w:rtl w:val="true"/>
        </w:rPr>
        <w:t xml:space="preserve">, </w:t>
      </w:r>
      <w:r>
        <w:rPr>
          <w:rtl w:val="true"/>
        </w:rPr>
        <w:t>אשר פגעה במידת יכולתה להימנע מביצוע המעשים</w:t>
      </w:r>
      <w:r>
        <w:rPr>
          <w:rtl w:val="true"/>
        </w:rPr>
        <w:t xml:space="preserve">, </w:t>
      </w:r>
      <w:r>
        <w:rPr>
          <w:rtl w:val="true"/>
        </w:rPr>
        <w:t>וכי מסיבה זו יש ליחס למעשים שבוצעו על ידה מידת חומרה פחותה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הביא בחשבון את חלוף הזמן ממועד ביצוע העבירות</w:t>
      </w:r>
      <w:r>
        <w:rPr>
          <w:rtl w:val="true"/>
        </w:rPr>
        <w:t xml:space="preserve">, </w:t>
      </w:r>
      <w:r>
        <w:rPr>
          <w:rtl w:val="true"/>
        </w:rPr>
        <w:t>את העדים שהעידו לטובת המערערת</w:t>
      </w:r>
      <w:r>
        <w:rPr>
          <w:rtl w:val="true"/>
        </w:rPr>
        <w:t xml:space="preserve">, </w:t>
      </w:r>
      <w:r>
        <w:rPr>
          <w:rtl w:val="true"/>
        </w:rPr>
        <w:t>ובכלל זאת את עדויות ילדיה המשותפים עם המערער</w:t>
      </w:r>
      <w:r>
        <w:rPr>
          <w:rtl w:val="true"/>
        </w:rPr>
        <w:t xml:space="preserve">, </w:t>
      </w:r>
      <w:r>
        <w:rPr>
          <w:rtl w:val="true"/>
        </w:rPr>
        <w:t>וכן את משך הזמן בו שהתה במעצר מאחורי סורג ובריח ובמעצר בפיקוח אלקטרוני</w:t>
      </w:r>
      <w:r>
        <w:rPr>
          <w:rtl w:val="true"/>
        </w:rPr>
        <w:t xml:space="preserve">. </w:t>
      </w:r>
      <w:r>
        <w:rPr>
          <w:rtl w:val="true"/>
        </w:rPr>
        <w:t>שיקולים אלה הביאו את בית המשפט קמא להטיל על המערערת עונש שבוודאי אינו קל</w:t>
      </w:r>
      <w:r>
        <w:rPr>
          <w:rtl w:val="true"/>
        </w:rPr>
        <w:t xml:space="preserve">, </w:t>
      </w:r>
      <w:r>
        <w:rPr>
          <w:rtl w:val="true"/>
        </w:rPr>
        <w:t>אך הוא מקל בהשוואה לעונש שראוי היה להטיל עליה בגין מעשיה המזעזעים אלמלא קיומם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משאלו הם פני הדברים</w:t>
      </w:r>
      <w:r>
        <w:rPr>
          <w:rtl w:val="true"/>
        </w:rPr>
        <w:t xml:space="preserve">, </w:t>
      </w:r>
      <w:r>
        <w:rPr>
          <w:rtl w:val="true"/>
        </w:rPr>
        <w:t>לא ראיתי כי נפלה טעות מלפני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בוודאי לא כזו המצדיקה את התערבותה של ערכאת הערעור בגזר דינם של המערערים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של שני חלקיו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>
                <w:spacing w:val="42"/>
              </w:rPr>
            </w:pPr>
            <w:r>
              <w:rPr>
                <w:spacing w:val="42"/>
                <w:rtl w:val="true"/>
              </w:rPr>
              <w:t>המשנה</w:t>
            </w:r>
            <w:r>
              <w:rPr>
                <w:rFonts w:eastAsia="Arial TUR" w:cs="Arial TUR"/>
                <w:spacing w:val="42"/>
                <w:rtl w:val="true"/>
              </w:rPr>
              <w:t xml:space="preserve"> </w:t>
            </w:r>
            <w:r>
              <w:rPr>
                <w:spacing w:val="42"/>
                <w:rtl w:val="true"/>
              </w:rPr>
              <w:t>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</w:r>
    </w:p>
    <w:p>
      <w:pPr>
        <w:pStyle w:val="Ruller41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ולמתלוננת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בכפייה</w:t>
      </w:r>
      <w:r>
        <w:rPr>
          <w:rtl w:val="true"/>
        </w:rPr>
        <w:t xml:space="preserve">,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ובאיומים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האמהות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חניכה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" </w:t>
      </w:r>
      <w:r>
        <w:rPr>
          <w:rtl w:val="true"/>
        </w:rPr>
        <w:t>לילדות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ללמדן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".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ושמענו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חלחלה</w:t>
      </w:r>
      <w:r>
        <w:rPr>
          <w:rtl w:val="true"/>
        </w:rPr>
        <w:t xml:space="preserve">, </w:t>
      </w:r>
      <w:r>
        <w:rPr>
          <w:rtl w:val="true"/>
        </w:rPr>
        <w:t>מכוערים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ומזוויעים</w:t>
      </w:r>
      <w:r>
        <w:rPr>
          <w:rtl w:val="true"/>
        </w:rPr>
        <w:t xml:space="preserve">, </w:t>
      </w:r>
      <w:r>
        <w:rPr>
          <w:rtl w:val="true"/>
        </w:rPr>
        <w:t>והותירו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>
                <w:spacing w:val="42"/>
              </w:rPr>
            </w:pPr>
            <w:r>
              <w:rPr>
                <w:spacing w:val="42"/>
                <w:rtl w:val="true"/>
              </w:rPr>
              <w:t>ש</w:t>
            </w:r>
            <w:r>
              <w:rPr>
                <w:rFonts w:eastAsia="Arial TUR" w:cs="Arial TUR"/>
                <w:spacing w:val="42"/>
                <w:rtl w:val="true"/>
              </w:rPr>
              <w:t xml:space="preserve"> </w:t>
            </w:r>
            <w:r>
              <w:rPr>
                <w:spacing w:val="42"/>
                <w:rtl w:val="true"/>
              </w:rPr>
              <w:t>ו</w:t>
            </w:r>
            <w:r>
              <w:rPr>
                <w:rFonts w:eastAsia="Arial TUR" w:cs="Arial TUR"/>
                <w:spacing w:val="42"/>
                <w:rtl w:val="true"/>
              </w:rPr>
              <w:t xml:space="preserve"> </w:t>
            </w:r>
            <w:r>
              <w:rPr>
                <w:spacing w:val="42"/>
                <w:rtl w:val="true"/>
              </w:rPr>
              <w:t>פ</w:t>
            </w:r>
            <w:r>
              <w:rPr>
                <w:rFonts w:eastAsia="Arial TUR" w:cs="Arial TUR"/>
                <w:spacing w:val="42"/>
                <w:rtl w:val="true"/>
              </w:rPr>
              <w:t xml:space="preserve"> </w:t>
            </w:r>
            <w:r>
              <w:rPr>
                <w:spacing w:val="42"/>
                <w:rtl w:val="true"/>
              </w:rPr>
              <w:t>ט</w:t>
            </w:r>
            <w:r>
              <w:rPr>
                <w:rFonts w:eastAsia="Arial TUR" w:cs="Arial TUR"/>
                <w:spacing w:val="42"/>
                <w:rtl w:val="true"/>
              </w:rPr>
              <w:t xml:space="preserve"> </w:t>
            </w:r>
            <w:r>
              <w:rPr>
                <w:spacing w:val="42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24.3.2022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20025280</w:t>
      </w:r>
      <w:r>
        <w:rPr>
          <w:sz w:val="16"/>
          <w:rtl w:val="true"/>
        </w:rPr>
        <w:t>_</w:t>
      </w:r>
      <w:r>
        <w:rPr>
          <w:sz w:val="16"/>
        </w:rPr>
        <w:t>Y16.docx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ער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54678313-2528/20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9"/>
      <w:footerReference w:type="default" r:id="rId1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2528/20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27385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5.a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45.b.5" TargetMode="External"/><Relationship Id="rId10" Type="http://schemas.openxmlformats.org/officeDocument/2006/relationships/hyperlink" Target="http://www.nevo.co.il/law/70301/347.b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51.a" TargetMode="External"/><Relationship Id="rId13" Type="http://schemas.openxmlformats.org/officeDocument/2006/relationships/hyperlink" Target="http://www.nevo.co.il/law/70301/351.c.2" TargetMode="External"/><Relationship Id="rId14" Type="http://schemas.openxmlformats.org/officeDocument/2006/relationships/hyperlink" Target="http://www.nevo.co.il/law/70301/354" TargetMode="External"/><Relationship Id="rId15" Type="http://schemas.openxmlformats.org/officeDocument/2006/relationships/hyperlink" Target="http://www.nevo.co.il/law/70301/354.d" TargetMode="External"/><Relationship Id="rId16" Type="http://schemas.openxmlformats.org/officeDocument/2006/relationships/hyperlink" Target="http://www.nevo.co.il/law/70301/368b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case/21273854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/345.b.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351.a" TargetMode="External"/><Relationship Id="rId24" Type="http://schemas.openxmlformats.org/officeDocument/2006/relationships/hyperlink" Target="http://www.nevo.co.il/law/70301/354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/345.b.1" TargetMode="External"/><Relationship Id="rId27" Type="http://schemas.openxmlformats.org/officeDocument/2006/relationships/hyperlink" Target="http://www.nevo.co.il/law/70301/345.b.5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351.c.2" TargetMode="External"/><Relationship Id="rId30" Type="http://schemas.openxmlformats.org/officeDocument/2006/relationships/hyperlink" Target="http://www.nevo.co.il/law/70301/354" TargetMode="External"/><Relationship Id="rId31" Type="http://schemas.openxmlformats.org/officeDocument/2006/relationships/hyperlink" Target="http://www.nevo.co.il/law/70301/345.a.1" TargetMode="External"/><Relationship Id="rId32" Type="http://schemas.openxmlformats.org/officeDocument/2006/relationships/hyperlink" Target="http://www.nevo.co.il/law/70301/379" TargetMode="External"/><Relationship Id="rId33" Type="http://schemas.openxmlformats.org/officeDocument/2006/relationships/hyperlink" Target="http://www.nevo.co.il/law/70301/192" TargetMode="External"/><Relationship Id="rId34" Type="http://schemas.openxmlformats.org/officeDocument/2006/relationships/hyperlink" Target="http://www.nevo.co.il/law/70301/347.b" TargetMode="External"/><Relationship Id="rId35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01/345.b.5" TargetMode="External"/><Relationship Id="rId37" Type="http://schemas.openxmlformats.org/officeDocument/2006/relationships/hyperlink" Target="http://www.nevo.co.il/law/70301/345.a.1" TargetMode="External"/><Relationship Id="rId38" Type="http://schemas.openxmlformats.org/officeDocument/2006/relationships/hyperlink" Target="http://www.nevo.co.il/law/70301/351.a" TargetMode="External"/><Relationship Id="rId39" Type="http://schemas.openxmlformats.org/officeDocument/2006/relationships/hyperlink" Target="http://www.nevo.co.il/law/70301/354" TargetMode="External"/><Relationship Id="rId40" Type="http://schemas.openxmlformats.org/officeDocument/2006/relationships/hyperlink" Target="http://www.nevo.co.il/law/70301/348.b" TargetMode="External"/><Relationship Id="rId41" Type="http://schemas.openxmlformats.org/officeDocument/2006/relationships/hyperlink" Target="http://www.nevo.co.il/law/70301/345.b.1" TargetMode="External"/><Relationship Id="rId42" Type="http://schemas.openxmlformats.org/officeDocument/2006/relationships/hyperlink" Target="http://www.nevo.co.il/law/70301/345.b.5" TargetMode="External"/><Relationship Id="rId43" Type="http://schemas.openxmlformats.org/officeDocument/2006/relationships/hyperlink" Target="http://www.nevo.co.il/law/70301/345.a.1" TargetMode="External"/><Relationship Id="rId44" Type="http://schemas.openxmlformats.org/officeDocument/2006/relationships/hyperlink" Target="http://www.nevo.co.il/law/70301/351.c.2" TargetMode="External"/><Relationship Id="rId45" Type="http://schemas.openxmlformats.org/officeDocument/2006/relationships/hyperlink" Target="http://www.nevo.co.il/law/70301/354" TargetMode="External"/><Relationship Id="rId46" Type="http://schemas.openxmlformats.org/officeDocument/2006/relationships/hyperlink" Target="http://www.nevo.co.il/law/70301/368b" TargetMode="External"/><Relationship Id="rId47" Type="http://schemas.openxmlformats.org/officeDocument/2006/relationships/hyperlink" Target="http://www.nevo.co.il/law/70301/245.a" TargetMode="External"/><Relationship Id="rId48" Type="http://schemas.openxmlformats.org/officeDocument/2006/relationships/hyperlink" Target="http://www.nevo.co.il/law/70301/354.d" TargetMode="External"/><Relationship Id="rId49" Type="http://schemas.openxmlformats.org/officeDocument/2006/relationships/hyperlink" Target="http://www.nevo.co.il/law/70301/345.b.1" TargetMode="External"/><Relationship Id="rId50" Type="http://schemas.openxmlformats.org/officeDocument/2006/relationships/hyperlink" Target="http://www.nevo.co.il/law/70301/345.b.5" TargetMode="External"/><Relationship Id="rId51" Type="http://schemas.openxmlformats.org/officeDocument/2006/relationships/hyperlink" Target="http://www.nevo.co.il/law/70301/345.a.1" TargetMode="External"/><Relationship Id="rId52" Type="http://schemas.openxmlformats.org/officeDocument/2006/relationships/hyperlink" Target="http://www.nevo.co.il/law/70301/351.a" TargetMode="External"/><Relationship Id="rId53" Type="http://schemas.openxmlformats.org/officeDocument/2006/relationships/hyperlink" Target="http://www.nevo.co.il/law/70301/354" TargetMode="External"/><Relationship Id="rId54" Type="http://schemas.openxmlformats.org/officeDocument/2006/relationships/hyperlink" Target="http://www.nevo.co.il/law/70301/348.b" TargetMode="External"/><Relationship Id="rId55" Type="http://schemas.openxmlformats.org/officeDocument/2006/relationships/hyperlink" Target="http://www.nevo.co.il/law/70301/345.b.1" TargetMode="External"/><Relationship Id="rId56" Type="http://schemas.openxmlformats.org/officeDocument/2006/relationships/hyperlink" Target="http://www.nevo.co.il/law/70301/345.b.5" TargetMode="External"/><Relationship Id="rId57" Type="http://schemas.openxmlformats.org/officeDocument/2006/relationships/hyperlink" Target="http://www.nevo.co.il/law/70301/345.a.1" TargetMode="External"/><Relationship Id="rId58" Type="http://schemas.openxmlformats.org/officeDocument/2006/relationships/hyperlink" Target="http://www.nevo.co.il/law/70301/351.c.2" TargetMode="External"/><Relationship Id="rId59" Type="http://schemas.openxmlformats.org/officeDocument/2006/relationships/hyperlink" Target="http://www.nevo.co.il/law/70301/354" TargetMode="External"/><Relationship Id="rId60" Type="http://schemas.openxmlformats.org/officeDocument/2006/relationships/hyperlink" Target="http://www.nevo.co.il/law/70301/345.a.1" TargetMode="External"/><Relationship Id="rId61" Type="http://schemas.openxmlformats.org/officeDocument/2006/relationships/hyperlink" Target="http://www.nevo.co.il/law/70301/347.b" TargetMode="External"/><Relationship Id="rId62" Type="http://schemas.openxmlformats.org/officeDocument/2006/relationships/hyperlink" Target="http://www.nevo.co.il/law/70301/345.b.1" TargetMode="External"/><Relationship Id="rId63" Type="http://schemas.openxmlformats.org/officeDocument/2006/relationships/hyperlink" Target="http://www.nevo.co.il/law/70301/345.b.5" TargetMode="External"/><Relationship Id="rId64" Type="http://schemas.openxmlformats.org/officeDocument/2006/relationships/hyperlink" Target="http://www.nevo.co.il/law/70301/345.a.1" TargetMode="External"/><Relationship Id="rId65" Type="http://schemas.openxmlformats.org/officeDocument/2006/relationships/hyperlink" Target="http://www.nevo.co.il/law/70301/351.a" TargetMode="External"/><Relationship Id="rId66" Type="http://schemas.openxmlformats.org/officeDocument/2006/relationships/hyperlink" Target="http://www.nevo.co.il/law/70301/354" TargetMode="External"/><Relationship Id="rId67" Type="http://schemas.openxmlformats.org/officeDocument/2006/relationships/hyperlink" Target="http://www.nevo.co.il/law/70301/347.b" TargetMode="External"/><Relationship Id="rId68" Type="http://schemas.openxmlformats.org/officeDocument/2006/relationships/hyperlink" Target="http://www.nevo.co.il/law/70301/345.b.1" TargetMode="External"/><Relationship Id="rId69" Type="http://schemas.openxmlformats.org/officeDocument/2006/relationships/hyperlink" Target="http://www.nevo.co.il/law/70301/345.a.1" TargetMode="External"/><Relationship Id="rId70" Type="http://schemas.openxmlformats.org/officeDocument/2006/relationships/hyperlink" Target="http://www.nevo.co.il/law/70301/379" TargetMode="External"/><Relationship Id="rId71" Type="http://schemas.openxmlformats.org/officeDocument/2006/relationships/hyperlink" Target="http://www.nevo.co.il/law/70301/192" TargetMode="External"/><Relationship Id="rId72" Type="http://schemas.openxmlformats.org/officeDocument/2006/relationships/hyperlink" Target="http://www.nevo.co.il/law/70301/345.b.1" TargetMode="External"/><Relationship Id="rId73" Type="http://schemas.openxmlformats.org/officeDocument/2006/relationships/hyperlink" Target="http://www.nevo.co.il/law/70301/345.b.5" TargetMode="External"/><Relationship Id="rId74" Type="http://schemas.openxmlformats.org/officeDocument/2006/relationships/hyperlink" Target="http://www.nevo.co.il/law/70301/345.a.1" TargetMode="External"/><Relationship Id="rId75" Type="http://schemas.openxmlformats.org/officeDocument/2006/relationships/hyperlink" Target="http://www.nevo.co.il/law/70301/351.a" TargetMode="External"/><Relationship Id="rId76" Type="http://schemas.openxmlformats.org/officeDocument/2006/relationships/hyperlink" Target="http://www.nevo.co.il/law/70301/354" TargetMode="External"/><Relationship Id="rId77" Type="http://schemas.openxmlformats.org/officeDocument/2006/relationships/hyperlink" Target="http://www.nevo.co.il/law/70301/348.b" TargetMode="External"/><Relationship Id="rId78" Type="http://schemas.openxmlformats.org/officeDocument/2006/relationships/hyperlink" Target="http://www.nevo.co.il/law/70301/345.b.1" TargetMode="External"/><Relationship Id="rId79" Type="http://schemas.openxmlformats.org/officeDocument/2006/relationships/hyperlink" Target="http://www.nevo.co.il/law/70301/345.b.5" TargetMode="External"/><Relationship Id="rId80" Type="http://schemas.openxmlformats.org/officeDocument/2006/relationships/hyperlink" Target="http://www.nevo.co.il/law/70301/345.a.1" TargetMode="External"/><Relationship Id="rId81" Type="http://schemas.openxmlformats.org/officeDocument/2006/relationships/hyperlink" Target="http://www.nevo.co.il/law/70301/351.c.2" TargetMode="External"/><Relationship Id="rId82" Type="http://schemas.openxmlformats.org/officeDocument/2006/relationships/hyperlink" Target="http://www.nevo.co.il/case/25202729" TargetMode="External"/><Relationship Id="rId83" Type="http://schemas.openxmlformats.org/officeDocument/2006/relationships/hyperlink" Target="http://www.nevo.co.il/case/25481020" TargetMode="External"/><Relationship Id="rId84" Type="http://schemas.openxmlformats.org/officeDocument/2006/relationships/hyperlink" Target="http://www.nevo.co.il/case/26142559" TargetMode="External"/><Relationship Id="rId85" Type="http://schemas.openxmlformats.org/officeDocument/2006/relationships/hyperlink" Target="http://www.nevo.co.il/case/26518589" TargetMode="External"/><Relationship Id="rId86" Type="http://schemas.openxmlformats.org/officeDocument/2006/relationships/hyperlink" Target="http://www.nevo.co.il/case/20028610" TargetMode="External"/><Relationship Id="rId87" Type="http://schemas.openxmlformats.org/officeDocument/2006/relationships/hyperlink" Target="http://www.nevo.co.il/case/20622775" TargetMode="External"/><Relationship Id="rId88" Type="http://schemas.openxmlformats.org/officeDocument/2006/relationships/hyperlink" Target="http://www.nevo.co.il/case/26538274" TargetMode="External"/><Relationship Id="rId89" Type="http://schemas.openxmlformats.org/officeDocument/2006/relationships/hyperlink" Target="http://www.nevo.co.il/case/26938540" TargetMode="External"/><Relationship Id="rId90" Type="http://schemas.openxmlformats.org/officeDocument/2006/relationships/hyperlink" Target="http://www.nevo.co.il/case/6246489" TargetMode="External"/><Relationship Id="rId91" Type="http://schemas.openxmlformats.org/officeDocument/2006/relationships/hyperlink" Target="http://www.nevo.co.il/case/20363474" TargetMode="External"/><Relationship Id="rId92" Type="http://schemas.openxmlformats.org/officeDocument/2006/relationships/hyperlink" Target="http://www.nevo.co.il/case/23507393" TargetMode="External"/><Relationship Id="rId93" Type="http://schemas.openxmlformats.org/officeDocument/2006/relationships/hyperlink" Target="http://www.nevo.co.il/case/5770497" TargetMode="External"/><Relationship Id="rId94" Type="http://schemas.openxmlformats.org/officeDocument/2006/relationships/hyperlink" Target="http://www.nevo.co.il/case/5782008" TargetMode="External"/><Relationship Id="rId95" Type="http://schemas.openxmlformats.org/officeDocument/2006/relationships/hyperlink" Target="http://www.nevo.co.il/case/5709800" TargetMode="External"/><Relationship Id="rId96" Type="http://schemas.openxmlformats.org/officeDocument/2006/relationships/hyperlink" Target="http://www.nevo.co.il/case/5816508" TargetMode="External"/><Relationship Id="rId97" Type="http://schemas.openxmlformats.org/officeDocument/2006/relationships/hyperlink" Target="http://www.nevo.co.il/case/17954516" TargetMode="External"/><Relationship Id="rId98" Type="http://schemas.openxmlformats.org/officeDocument/2006/relationships/hyperlink" Target="http://www.nevo.co.il/case/17930061" TargetMode="External"/><Relationship Id="rId99" Type="http://schemas.openxmlformats.org/officeDocument/2006/relationships/hyperlink" Target="http://www.nevo.co.il/case/5943155" TargetMode="External"/><Relationship Id="rId100" Type="http://schemas.openxmlformats.org/officeDocument/2006/relationships/hyperlink" Target="http://www.nevo.co.il/case/6162862" TargetMode="External"/><Relationship Id="rId101" Type="http://schemas.openxmlformats.org/officeDocument/2006/relationships/hyperlink" Target="http://www.nevo.co.il/case/5573732" TargetMode="External"/><Relationship Id="rId102" Type="http://schemas.openxmlformats.org/officeDocument/2006/relationships/hyperlink" Target="http://www.nevo.co.il/case/5712233" TargetMode="External"/><Relationship Id="rId103" Type="http://schemas.openxmlformats.org/officeDocument/2006/relationships/hyperlink" Target="http://www.nevo.co.il/case/26280651" TargetMode="External"/><Relationship Id="rId104" Type="http://schemas.openxmlformats.org/officeDocument/2006/relationships/hyperlink" Target="http://www.nevo.co.il/case/26177206" TargetMode="External"/><Relationship Id="rId105" Type="http://schemas.openxmlformats.org/officeDocument/2006/relationships/hyperlink" Target="http://www.nevo.co.il/case/22961900" TargetMode="External"/><Relationship Id="rId106" Type="http://schemas.openxmlformats.org/officeDocument/2006/relationships/hyperlink" Target="http://www.nevo.co.il/case/26256014" TargetMode="External"/><Relationship Id="rId107" Type="http://schemas.openxmlformats.org/officeDocument/2006/relationships/hyperlink" Target="http://www.nevo.co.il/case/6194147" TargetMode="External"/><Relationship Id="rId108" Type="http://schemas.openxmlformats.org/officeDocument/2006/relationships/hyperlink" Target="http://www.nevo.co.il/case/6247531" TargetMode="External"/><Relationship Id="rId109" Type="http://schemas.openxmlformats.org/officeDocument/2006/relationships/hyperlink" Target="http://www.nevo.co.il/case/20031943" TargetMode="External"/><Relationship Id="rId110" Type="http://schemas.openxmlformats.org/officeDocument/2006/relationships/hyperlink" Target="http://www.nevo.co.il/case/20489987" TargetMode="External"/><Relationship Id="rId111" Type="http://schemas.openxmlformats.org/officeDocument/2006/relationships/hyperlink" Target="http://www.nevo.co.il/law/70301/40b" TargetMode="External"/><Relationship Id="rId112" Type="http://schemas.openxmlformats.org/officeDocument/2006/relationships/hyperlink" Target="http://www.nevo.co.il/case/5604218" TargetMode="External"/><Relationship Id="rId113" Type="http://schemas.openxmlformats.org/officeDocument/2006/relationships/hyperlink" Target="http://www.nevo.co.il/case/6248194" TargetMode="External"/><Relationship Id="rId114" Type="http://schemas.openxmlformats.org/officeDocument/2006/relationships/hyperlink" Target="http://www.nevo.co.il/case/5799039" TargetMode="External"/><Relationship Id="rId115" Type="http://schemas.openxmlformats.org/officeDocument/2006/relationships/hyperlink" Target="http://www.nevo.co.il/case/6230925" TargetMode="External"/><Relationship Id="rId116" Type="http://schemas.openxmlformats.org/officeDocument/2006/relationships/hyperlink" Target="http://www.nevo.co.il/case/13093721" TargetMode="External"/><Relationship Id="rId117" Type="http://schemas.openxmlformats.org/officeDocument/2006/relationships/hyperlink" Target="https://supreme.court.gov.il/" TargetMode="External"/><Relationship Id="rId118" Type="http://schemas.openxmlformats.org/officeDocument/2006/relationships/hyperlink" Target="http://www.nevo.co.il/advertisements/nevo-100.doc" TargetMode="External"/><Relationship Id="rId119" Type="http://schemas.openxmlformats.org/officeDocument/2006/relationships/header" Target="header1.xml"/><Relationship Id="rId120" Type="http://schemas.openxmlformats.org/officeDocument/2006/relationships/footer" Target="footer1.xml"/><Relationship Id="rId121" Type="http://schemas.openxmlformats.org/officeDocument/2006/relationships/numbering" Target="numbering.xml"/><Relationship Id="rId122" Type="http://schemas.openxmlformats.org/officeDocument/2006/relationships/fontTable" Target="fontTable.xml"/><Relationship Id="rId123" Type="http://schemas.openxmlformats.org/officeDocument/2006/relationships/settings" Target="settings.xml"/><Relationship Id="rId1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2022-03-27T09:29:00Z</dcterms:created>
  <dc:creator>h4</dc:creator>
  <dc:description/>
  <cp:keywords/>
  <dc:language>en-IL</dc:language>
  <cp:lastModifiedBy>hofit</cp:lastModifiedBy>
  <cp:lastPrinted>2022-03-24T18:15:00Z</cp:lastPrinted>
  <dcterms:modified xsi:type="dcterms:W3CDTF">2022-03-27T09:29:00Z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21273854:2;25202729;25481020;26142559;26518589;20028610;20622775;26538274;26938540;6246489;20363474;23507393;5770497;5782008;5709800;5816508;17954516;17930061;5943155;6162862;5573732;5712233;26280651;26177206;22961900;26256014;6194147;6247531;20031943</vt:lpwstr>
  </property>
  <property fmtid="{D5CDD505-2E9C-101B-9397-08002B2CF9AE}" pid="9" name="CASESLISTTMP2">
    <vt:lpwstr>20489987;5604218;6248194;5799039;6230925;13093721</vt:lpwstr>
  </property>
  <property fmtid="{D5CDD505-2E9C-101B-9397-08002B2CF9AE}" pid="10" name="CITY">
    <vt:lpwstr/>
  </property>
  <property fmtid="{D5CDD505-2E9C-101B-9397-08002B2CF9AE}" pid="11" name="DATE">
    <vt:lpwstr>20220324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ברון;ע' גרוסקופף;נ' הנדל</vt:lpwstr>
  </property>
  <property fmtid="{D5CDD505-2E9C-101B-9397-08002B2CF9AE}" pid="15" name="LAWLISTTMP1">
    <vt:lpwstr>70301/345.b.1:10;345.b.5:9;345.a.1:12;351.a:5;354:8;348.b:4;351.c.2:4;379:2;192:2;347.b:3;368b;245.a;354.d;040b</vt:lpwstr>
  </property>
  <property fmtid="{D5CDD505-2E9C-101B-9397-08002B2CF9AE}" pid="16" name="LAWYER">
    <vt:lpwstr>עילית מידן;אבי כהן;ניל סיימון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>דיון פלילי</vt:lpwstr>
  </property>
  <property fmtid="{D5CDD505-2E9C-101B-9397-08002B2CF9AE}" pid="33" name="NOSE16">
    <vt:lpwstr>ראיות</vt:lpwstr>
  </property>
  <property fmtid="{D5CDD505-2E9C-101B-9397-08002B2CF9AE}" pid="34" name="NOSE17">
    <vt:lpwstr>ראיות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77;77;77;18;18;89;89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>חקירה במשטרה</vt:lpwstr>
  </property>
  <property fmtid="{D5CDD505-2E9C-101B-9397-08002B2CF9AE}" pid="44" name="NOSE26">
    <vt:lpwstr>עדות</vt:lpwstr>
  </property>
  <property fmtid="{D5CDD505-2E9C-101B-9397-08002B2CF9AE}" pid="45" name="NOSE27">
    <vt:lpwstr>עדות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1446;1446;1446;504;475;1654;1654</vt:lpwstr>
  </property>
  <property fmtid="{D5CDD505-2E9C-101B-9397-08002B2CF9AE}" pid="49" name="NOSE31">
    <vt:lpwstr>מדיניות ענישה: עבירות מין במשפחה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עקרון ההלימה‏</vt:lpwstr>
  </property>
  <property fmtid="{D5CDD505-2E9C-101B-9397-08002B2CF9AE}" pid="53" name="NOSE34">
    <vt:lpwstr>אי-התערבות בממצאים עובדתיים</vt:lpwstr>
  </property>
  <property fmtid="{D5CDD505-2E9C-101B-9397-08002B2CF9AE}" pid="54" name="NOSE35">
    <vt:lpwstr>מחדלי חקירה</vt:lpwstr>
  </property>
  <property fmtid="{D5CDD505-2E9C-101B-9397-08002B2CF9AE}" pid="55" name="NOSE36">
    <vt:lpwstr>עדות כבושה</vt:lpwstr>
  </property>
  <property fmtid="{D5CDD505-2E9C-101B-9397-08002B2CF9AE}" pid="56" name="NOSE37">
    <vt:lpwstr>שיטה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16241;8994;14799;3849;3672;10410;10421</vt:lpwstr>
  </property>
  <property fmtid="{D5CDD505-2E9C-101B-9397-08002B2CF9AE}" pid="60" name="PADIDATE">
    <vt:lpwstr>20220327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2528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410120220324</vt:lpwstr>
  </property>
  <property fmtid="{D5CDD505-2E9C-101B-9397-08002B2CF9AE}" pid="70" name="TYPE_N_DATE">
    <vt:lpwstr>41020220324</vt:lpwstr>
  </property>
  <property fmtid="{D5CDD505-2E9C-101B-9397-08002B2CF9AE}" pid="71" name="VOLUME">
    <vt:lpwstr/>
  </property>
  <property fmtid="{D5CDD505-2E9C-101B-9397-08002B2CF9AE}" pid="72" name="WORDNUMPAGES">
    <vt:lpwstr>26</vt:lpwstr>
  </property>
</Properties>
</file>