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2538/19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הנשיאה</w:t>
            </w:r>
            <w:r>
              <w:rPr>
                <w:rFonts w:cs="Times New Roman;Times New Roman"/>
                <w:rtl w:val="true"/>
              </w:rPr>
              <w:t xml:space="preserve"> </w:t>
            </w:r>
            <w:r>
              <w:rPr>
                <w:rtl w:val="true"/>
              </w:rPr>
              <w:t>א</w:t>
            </w:r>
            <w:r>
              <w:rPr>
                <w:rtl w:val="true"/>
              </w:rPr>
              <w:t xml:space="preserve">' </w:t>
            </w:r>
            <w:r>
              <w:rPr>
                <w:rtl w:val="true"/>
              </w:rPr>
              <w:t>חיות</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י</w:t>
            </w:r>
            <w:r>
              <w:rPr>
                <w:rtl w:val="true"/>
              </w:rPr>
              <w:t xml:space="preserve">' </w:t>
            </w:r>
            <w:r>
              <w:rPr>
                <w:rtl w:val="true"/>
              </w:rPr>
              <w:t>עמית</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ג</w:t>
            </w:r>
            <w:r>
              <w:rPr>
                <w:rtl w:val="true"/>
              </w:rPr>
              <w:t xml:space="preserve">' </w:t>
            </w:r>
            <w:r>
              <w:rPr>
                <w:rtl w:val="true"/>
              </w:rPr>
              <w:t>קרא</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cs="David;Times New Roman" w:ascii="David;Times New Roman" w:hAnsi="David;Times New Roman"/>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ascii="David;Times New Roman" w:hAnsi="David;Times New Roman"/>
                <w:rtl w:val="true"/>
              </w:rPr>
              <w:t>ות</w:t>
            </w:r>
            <w:r>
              <w:rPr>
                <w:rFonts w:cs="David;Times New Roman" w:ascii="David;Times New Roman" w:hAnsi="David;Times New Roman"/>
                <w:rtl w:val="true"/>
              </w:rPr>
              <w:t>:</w:t>
            </w:r>
          </w:p>
        </w:tc>
        <w:tc>
          <w:tcPr>
            <w:tcW w:w="5154" w:type="dxa"/>
            <w:tcBorders/>
          </w:tcPr>
          <w:p>
            <w:pPr>
              <w:pStyle w:val="BodyRuller1"/>
              <w:ind w:end="0"/>
              <w:jc w:val="start"/>
              <w:rPr/>
            </w:pPr>
            <w:r>
              <w:rPr/>
              <w:t>1</w:t>
            </w:r>
            <w:r>
              <w:rPr>
                <w:rtl w:val="true"/>
              </w:rPr>
              <w:t xml:space="preserve">. </w:t>
            </w:r>
            <w:r>
              <w:rPr>
                <w:rtl w:val="true"/>
              </w:rPr>
              <w:t>מדינת</w:t>
            </w:r>
            <w:r>
              <w:rPr>
                <w:rFonts w:cs="Times New Roman;Times New Roman"/>
                <w:rtl w:val="true"/>
              </w:rPr>
              <w:t xml:space="preserve"> </w:t>
            </w:r>
            <w:r>
              <w:rPr>
                <w:rtl w:val="true"/>
              </w:rPr>
              <w:t>ישראל</w:t>
            </w:r>
          </w:p>
        </w:tc>
      </w:tr>
      <w:tr>
        <w:trPr>
          <w:trHeight w:val="287" w:hRule="atLeast"/>
        </w:trPr>
        <w:tc>
          <w:tcPr>
            <w:tcW w:w="3210"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tc>
        <w:tc>
          <w:tcPr>
            <w:tcW w:w="5154" w:type="dxa"/>
            <w:tcBorders/>
          </w:tcPr>
          <w:p>
            <w:pPr>
              <w:pStyle w:val="BodyRuller1"/>
              <w:ind w:end="0"/>
              <w:jc w:val="start"/>
              <w:rPr/>
            </w:pPr>
            <w:r>
              <w:rPr/>
              <w:t>2</w:t>
            </w:r>
            <w:r>
              <w:rPr>
                <w:rtl w:val="true"/>
              </w:rPr>
              <w:t xml:space="preserve">. </w:t>
            </w:r>
            <w:r>
              <w:rPr>
                <w:rtl w:val="true"/>
              </w:rPr>
              <w:t>פלוני</w:t>
            </w:r>
            <w:r>
              <w:rPr>
                <w:rtl w:val="true"/>
              </w:rPr>
              <w:t>ת</w:t>
            </w:r>
          </w:p>
        </w:tc>
      </w:tr>
    </w:tbl>
    <w:p>
      <w:pPr>
        <w:pStyle w:val="Ruller31"/>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גזר</w:t>
            </w:r>
            <w:r>
              <w:rPr>
                <w:rFonts w:cs="Times New Roman;Times New Roman"/>
                <w:sz w:val="24"/>
                <w:sz w:val="24"/>
                <w:szCs w:val="24"/>
                <w:rtl w:val="true"/>
              </w:rPr>
              <w:t xml:space="preserve"> </w:t>
            </w:r>
            <w:r>
              <w:rPr>
                <w:sz w:val="24"/>
                <w:sz w:val="24"/>
                <w:szCs w:val="24"/>
                <w:rtl w:val="true"/>
              </w:rPr>
              <w:t>דינו</w:t>
            </w:r>
            <w:r>
              <w:rPr>
                <w:rFonts w:cs="Times New Roman;Times New Roman"/>
                <w:sz w:val="24"/>
                <w:sz w:val="24"/>
                <w:szCs w:val="24"/>
                <w:rtl w:val="true"/>
              </w:rPr>
              <w:t xml:space="preserve"> </w:t>
            </w:r>
            <w:r>
              <w:rPr>
                <w:sz w:val="24"/>
                <w:sz w:val="24"/>
                <w:szCs w:val="24"/>
                <w:rtl w:val="true"/>
              </w:rPr>
              <w:t>של</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Times New Roman"/>
                <w:sz w:val="24"/>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28.2.2019</w:t>
            </w:r>
            <w:r>
              <w:rPr>
                <w:sz w:val="24"/>
                <w:szCs w:val="24"/>
                <w:rtl w:val="true"/>
              </w:rPr>
              <w:t xml:space="preserve"> </w:t>
            </w:r>
            <w:r>
              <w:rPr>
                <w:sz w:val="24"/>
                <w:sz w:val="24"/>
                <w:szCs w:val="24"/>
                <w:rtl w:val="true"/>
              </w:rPr>
              <w:t>בתפ</w:t>
            </w:r>
            <w:r>
              <w:rPr>
                <w:sz w:val="24"/>
                <w:szCs w:val="24"/>
                <w:rtl w:val="true"/>
              </w:rPr>
              <w:t>"</w:t>
            </w:r>
            <w:r>
              <w:rPr>
                <w:sz w:val="24"/>
                <w:sz w:val="24"/>
                <w:szCs w:val="24"/>
                <w:rtl w:val="true"/>
              </w:rPr>
              <w:t>ח</w:t>
            </w:r>
            <w:r>
              <w:rPr>
                <w:rFonts w:cs="Times New Roman;Times New Roman"/>
                <w:sz w:val="24"/>
                <w:sz w:val="24"/>
                <w:szCs w:val="24"/>
                <w:rtl w:val="true"/>
              </w:rPr>
              <w:t xml:space="preserve"> </w:t>
            </w:r>
            <w:r>
              <w:rPr>
                <w:sz w:val="24"/>
                <w:szCs w:val="24"/>
              </w:rPr>
              <w:t>55284-07-18</w:t>
            </w:r>
            <w:r>
              <w:rPr>
                <w:sz w:val="24"/>
                <w:szCs w:val="24"/>
                <w:rtl w:val="true"/>
              </w:rPr>
              <w:t xml:space="preserve"> </w:t>
            </w:r>
            <w:r>
              <w:rPr>
                <w:sz w:val="24"/>
                <w:sz w:val="24"/>
                <w:szCs w:val="24"/>
                <w:rtl w:val="true"/>
              </w:rPr>
              <w:t>אשר</w:t>
            </w:r>
            <w:r>
              <w:rPr>
                <w:rFonts w:cs="Times New Roman;Times New Roman"/>
                <w:sz w:val="24"/>
                <w:sz w:val="24"/>
                <w:szCs w:val="24"/>
                <w:rtl w:val="true"/>
              </w:rPr>
              <w:t xml:space="preserve"> </w:t>
            </w:r>
            <w:r>
              <w:rPr>
                <w:sz w:val="24"/>
                <w:sz w:val="24"/>
                <w:szCs w:val="24"/>
                <w:rtl w:val="true"/>
              </w:rPr>
              <w:t>ניתן</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ידי</w:t>
            </w:r>
            <w:r>
              <w:rPr>
                <w:rFonts w:cs="Times New Roman;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השופטים</w:t>
            </w:r>
            <w:r>
              <w:rPr>
                <w:rFonts w:cs="Times New Roman;Times New Roman"/>
                <w:sz w:val="24"/>
                <w:sz w:val="24"/>
                <w:szCs w:val="24"/>
                <w:rtl w:val="true"/>
              </w:rPr>
              <w:t xml:space="preserve"> </w:t>
            </w:r>
            <w:r>
              <w:rPr>
                <w:rFonts w:ascii="Century" w:hAnsi="Century" w:cs="Miriam"/>
                <w:b/>
                <w:b/>
                <w:szCs w:val="24"/>
                <w:rtl w:val="true"/>
              </w:rPr>
              <w:t>מ</w:t>
            </w:r>
            <w:r>
              <w:rPr>
                <w:rFonts w:cs="Miriam" w:ascii="Century" w:hAnsi="Century"/>
                <w:b/>
                <w:szCs w:val="24"/>
                <w:rtl w:val="true"/>
              </w:rPr>
              <w:t xml:space="preserve">' </w:t>
            </w:r>
            <w:r>
              <w:rPr>
                <w:rFonts w:ascii="Century" w:hAnsi="Century" w:cs="Miriam"/>
                <w:b/>
                <w:b/>
                <w:szCs w:val="24"/>
                <w:rtl w:val="true"/>
              </w:rPr>
              <w:t>פינקלשטיין</w:t>
            </w:r>
            <w:r>
              <w:rPr>
                <w:sz w:val="24"/>
                <w:szCs w:val="24"/>
                <w:rtl w:val="true"/>
              </w:rPr>
              <w:t xml:space="preserve">, </w:t>
            </w:r>
            <w:r>
              <w:rPr>
                <w:sz w:val="24"/>
                <w:sz w:val="24"/>
                <w:szCs w:val="24"/>
                <w:rtl w:val="true"/>
              </w:rPr>
              <w:t>סג</w:t>
            </w:r>
            <w:r>
              <w:rPr>
                <w:sz w:val="24"/>
                <w:szCs w:val="24"/>
                <w:rtl w:val="true"/>
              </w:rPr>
              <w:t>"</w:t>
            </w:r>
            <w:r>
              <w:rPr>
                <w:sz w:val="24"/>
                <w:sz w:val="24"/>
                <w:szCs w:val="24"/>
                <w:rtl w:val="true"/>
              </w:rPr>
              <w:t>נ</w:t>
            </w:r>
            <w:r>
              <w:rPr>
                <w:sz w:val="24"/>
                <w:szCs w:val="24"/>
                <w:rtl w:val="true"/>
              </w:rPr>
              <w:t xml:space="preserve">, </w:t>
            </w:r>
            <w:r>
              <w:rPr>
                <w:rFonts w:ascii="Century" w:hAnsi="Century" w:cs="Miriam"/>
                <w:b/>
                <w:b/>
                <w:szCs w:val="24"/>
                <w:rtl w:val="true"/>
              </w:rPr>
              <w:t>ל</w:t>
            </w:r>
            <w:r>
              <w:rPr>
                <w:rFonts w:cs="Miriam" w:ascii="Century" w:hAnsi="Century"/>
                <w:b/>
                <w:szCs w:val="24"/>
                <w:rtl w:val="true"/>
              </w:rPr>
              <w:t xml:space="preserve">' </w:t>
            </w:r>
            <w:r>
              <w:rPr>
                <w:rFonts w:ascii="Century" w:hAnsi="Century" w:cs="Miriam"/>
                <w:b/>
                <w:b/>
                <w:szCs w:val="24"/>
                <w:rtl w:val="true"/>
              </w:rPr>
              <w:t>ברודי</w:t>
            </w:r>
            <w:r>
              <w:rPr>
                <w:sz w:val="24"/>
                <w:szCs w:val="24"/>
                <w:rtl w:val="true"/>
              </w:rPr>
              <w:t xml:space="preserve">, </w:t>
            </w:r>
            <w:r>
              <w:rPr>
                <w:sz w:val="24"/>
                <w:sz w:val="24"/>
                <w:szCs w:val="24"/>
                <w:rtl w:val="true"/>
              </w:rPr>
              <w:t>סג</w:t>
            </w:r>
            <w:r>
              <w:rPr>
                <w:sz w:val="24"/>
                <w:szCs w:val="24"/>
                <w:rtl w:val="true"/>
              </w:rPr>
              <w:t>"</w:t>
            </w:r>
            <w:r>
              <w:rPr>
                <w:sz w:val="24"/>
                <w:sz w:val="24"/>
                <w:szCs w:val="24"/>
                <w:rtl w:val="true"/>
              </w:rPr>
              <w:t>נ</w:t>
            </w:r>
            <w:r>
              <w:rPr>
                <w:sz w:val="24"/>
                <w:szCs w:val="24"/>
                <w:rtl w:val="true"/>
              </w:rPr>
              <w:t xml:space="preserve">, </w:t>
            </w:r>
            <w:r>
              <w:rPr>
                <w:sz w:val="24"/>
                <w:sz w:val="24"/>
                <w:szCs w:val="24"/>
                <w:rtl w:val="true"/>
              </w:rPr>
              <w:t>ו</w:t>
            </w:r>
            <w:r>
              <w:rPr>
                <w:rFonts w:cs="Miriam" w:ascii="Century" w:hAnsi="Century"/>
                <w:b/>
                <w:szCs w:val="24"/>
                <w:rtl w:val="true"/>
              </w:rPr>
              <w:t>-</w:t>
            </w:r>
            <w:r>
              <w:rPr>
                <w:rFonts w:ascii="Century" w:hAnsi="Century" w:cs="Miriam"/>
                <w:b/>
                <w:b/>
                <w:szCs w:val="24"/>
                <w:rtl w:val="true"/>
              </w:rPr>
              <w:t>ר</w:t>
            </w:r>
            <w:r>
              <w:rPr>
                <w:rFonts w:cs="Miriam" w:ascii="Century" w:hAnsi="Century"/>
                <w:b/>
                <w:szCs w:val="24"/>
                <w:rtl w:val="true"/>
              </w:rPr>
              <w:t xml:space="preserve">' </w:t>
            </w:r>
            <w:r>
              <w:rPr>
                <w:rFonts w:ascii="Century" w:hAnsi="Century" w:cs="Miriam"/>
                <w:b/>
                <w:b/>
                <w:szCs w:val="24"/>
                <w:rtl w:val="true"/>
              </w:rPr>
              <w:t>אמיר</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6"/>
                <w:szCs w:val="26"/>
              </w:rPr>
            </w:pPr>
            <w:r>
              <w:rPr>
                <w:sz w:val="26"/>
                <w:sz w:val="26"/>
                <w:szCs w:val="26"/>
                <w:rtl w:val="true"/>
              </w:rPr>
              <w:t>תאריך</w:t>
            </w:r>
            <w:r>
              <w:rPr>
                <w:rFonts w:cs="Times New Roman;Times New Roman"/>
                <w:sz w:val="26"/>
                <w:sz w:val="26"/>
                <w:szCs w:val="26"/>
                <w:rtl w:val="true"/>
              </w:rPr>
              <w:t xml:space="preserve"> </w:t>
            </w:r>
            <w:r>
              <w:rPr>
                <w:sz w:val="26"/>
                <w:sz w:val="26"/>
                <w:szCs w:val="26"/>
                <w:rtl w:val="true"/>
              </w:rPr>
              <w:t>הישיבה</w:t>
            </w:r>
            <w:r>
              <w:rPr>
                <w:sz w:val="26"/>
                <w:szCs w:val="26"/>
                <w:rtl w:val="true"/>
              </w:rPr>
              <w:t>:</w:t>
            </w:r>
          </w:p>
        </w:tc>
        <w:tc>
          <w:tcPr>
            <w:tcW w:w="2423" w:type="dxa"/>
            <w:tcBorders/>
          </w:tcPr>
          <w:p>
            <w:pPr>
              <w:pStyle w:val="BodyRuller1"/>
              <w:ind w:end="0"/>
              <w:jc w:val="start"/>
              <w:rPr>
                <w:sz w:val="26"/>
                <w:szCs w:val="26"/>
              </w:rPr>
            </w:pPr>
            <w:r>
              <w:rPr>
                <w:rFonts w:cs="Times New Roman;Times New Roman"/>
                <w:sz w:val="26"/>
                <w:szCs w:val="26"/>
                <w:rtl w:val="true"/>
              </w:rPr>
              <w:t xml:space="preserve">  </w:t>
            </w:r>
            <w:r>
              <w:rPr>
                <w:sz w:val="26"/>
                <w:sz w:val="26"/>
                <w:szCs w:val="26"/>
                <w:rtl w:val="true"/>
              </w:rPr>
              <w:t>כ</w:t>
            </w:r>
            <w:r>
              <w:rPr>
                <w:sz w:val="26"/>
                <w:szCs w:val="26"/>
                <w:rtl w:val="true"/>
              </w:rPr>
              <w:t>"</w:t>
            </w:r>
            <w:r>
              <w:rPr>
                <w:sz w:val="26"/>
                <w:sz w:val="26"/>
                <w:szCs w:val="26"/>
                <w:rtl w:val="true"/>
              </w:rPr>
              <w:t>ט</w:t>
            </w:r>
            <w:r>
              <w:rPr>
                <w:rFonts w:cs="Times New Roman;Times New Roman"/>
                <w:sz w:val="26"/>
                <w:sz w:val="26"/>
                <w:szCs w:val="26"/>
                <w:rtl w:val="true"/>
              </w:rPr>
              <w:t xml:space="preserve"> </w:t>
            </w:r>
            <w:r>
              <w:rPr>
                <w:sz w:val="26"/>
                <w:sz w:val="26"/>
                <w:szCs w:val="26"/>
                <w:rtl w:val="true"/>
              </w:rPr>
              <w:t>בתשרי</w:t>
            </w:r>
            <w:r>
              <w:rPr>
                <w:rFonts w:cs="Times New Roman;Times New Roman"/>
                <w:sz w:val="26"/>
                <w:sz w:val="26"/>
                <w:szCs w:val="26"/>
                <w:rtl w:val="true"/>
              </w:rPr>
              <w:t xml:space="preserve"> </w:t>
            </w:r>
            <w:r>
              <w:rPr>
                <w:sz w:val="26"/>
                <w:sz w:val="26"/>
                <w:szCs w:val="26"/>
                <w:rtl w:val="true"/>
              </w:rPr>
              <w:t>התש</w:t>
            </w:r>
            <w:r>
              <w:rPr>
                <w:sz w:val="26"/>
                <w:szCs w:val="26"/>
                <w:rtl w:val="true"/>
              </w:rPr>
              <w:t>"</w:t>
            </w:r>
            <w:r>
              <w:rPr>
                <w:sz w:val="26"/>
                <w:sz w:val="26"/>
                <w:szCs w:val="26"/>
                <w:rtl w:val="true"/>
              </w:rPr>
              <w:t>ף</w:t>
            </w:r>
          </w:p>
        </w:tc>
        <w:tc>
          <w:tcPr>
            <w:tcW w:w="2710" w:type="dxa"/>
            <w:tcBorders/>
          </w:tcPr>
          <w:p>
            <w:pPr>
              <w:pStyle w:val="BodyRuller1"/>
              <w:ind w:end="0"/>
              <w:jc w:val="start"/>
              <w:rPr>
                <w:sz w:val="26"/>
                <w:szCs w:val="26"/>
              </w:rPr>
            </w:pPr>
            <w:r>
              <w:rPr>
                <w:sz w:val="26"/>
                <w:szCs w:val="26"/>
                <w:rtl w:val="true"/>
              </w:rPr>
              <w:t>(</w:t>
            </w:r>
            <w:r>
              <w:rPr>
                <w:sz w:val="26"/>
                <w:szCs w:val="26"/>
              </w:rPr>
              <w:t>28.10.2019</w:t>
            </w:r>
            <w:r>
              <w:rPr>
                <w:sz w:val="26"/>
                <w:szCs w:val="26"/>
                <w:rtl w:val="true"/>
              </w:rPr>
              <w:t>)</w:t>
            </w:r>
            <w:r>
              <w:rPr>
                <w:sz w:val="26"/>
                <w:szCs w:val="26"/>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sz w:val="26"/>
                <w:szCs w:val="26"/>
              </w:rPr>
            </w:pPr>
            <w:r>
              <w:rPr>
                <w:sz w:val="26"/>
                <w:sz w:val="26"/>
                <w:szCs w:val="26"/>
                <w:rtl w:val="true"/>
              </w:rPr>
              <w:t>בשם</w:t>
            </w:r>
            <w:r>
              <w:rPr>
                <w:rFonts w:cs="Times New Roman;Times New Roman"/>
                <w:sz w:val="26"/>
                <w:sz w:val="26"/>
                <w:szCs w:val="26"/>
                <w:rtl w:val="true"/>
              </w:rPr>
              <w:t xml:space="preserve"> </w:t>
            </w:r>
            <w:r>
              <w:rPr>
                <w:sz w:val="26"/>
                <w:sz w:val="26"/>
                <w:szCs w:val="26"/>
                <w:rtl w:val="true"/>
              </w:rPr>
              <w:t>המערער</w:t>
            </w:r>
            <w:r>
              <w:rPr>
                <w:sz w:val="26"/>
                <w:szCs w:val="26"/>
                <w:rtl w:val="true"/>
              </w:rPr>
              <w:t>:</w:t>
            </w:r>
          </w:p>
        </w:tc>
        <w:tc>
          <w:tcPr>
            <w:tcW w:w="5148" w:type="dxa"/>
            <w:tcBorders/>
          </w:tcPr>
          <w:p>
            <w:pPr>
              <w:pStyle w:val="BodyRuller1"/>
              <w:ind w:end="0"/>
              <w:jc w:val="start"/>
              <w:rPr>
                <w:sz w:val="26"/>
                <w:szCs w:val="26"/>
              </w:rPr>
            </w:pPr>
            <w:r>
              <w:rPr>
                <w:sz w:val="26"/>
                <w:sz w:val="26"/>
                <w:szCs w:val="26"/>
                <w:rtl w:val="true"/>
              </w:rPr>
              <w:t>עו</w:t>
            </w:r>
            <w:r>
              <w:rPr>
                <w:sz w:val="26"/>
                <w:szCs w:val="26"/>
                <w:rtl w:val="true"/>
              </w:rPr>
              <w:t>"</w:t>
            </w:r>
            <w:r>
              <w:rPr>
                <w:sz w:val="26"/>
                <w:sz w:val="26"/>
                <w:szCs w:val="26"/>
                <w:rtl w:val="true"/>
              </w:rPr>
              <w:t>ד</w:t>
            </w:r>
            <w:r>
              <w:rPr>
                <w:rFonts w:cs="Times New Roman;Times New Roman"/>
                <w:sz w:val="26"/>
                <w:sz w:val="26"/>
                <w:szCs w:val="26"/>
                <w:rtl w:val="true"/>
              </w:rPr>
              <w:t xml:space="preserve"> </w:t>
            </w:r>
            <w:r>
              <w:rPr>
                <w:sz w:val="26"/>
                <w:sz w:val="26"/>
                <w:szCs w:val="26"/>
                <w:rtl w:val="true"/>
              </w:rPr>
              <w:t>בועז</w:t>
            </w:r>
            <w:r>
              <w:rPr>
                <w:rFonts w:cs="Times New Roman;Times New Roman"/>
                <w:sz w:val="26"/>
                <w:sz w:val="26"/>
                <w:szCs w:val="26"/>
                <w:rtl w:val="true"/>
              </w:rPr>
              <w:t xml:space="preserve"> </w:t>
            </w:r>
            <w:r>
              <w:rPr>
                <w:sz w:val="26"/>
                <w:sz w:val="26"/>
                <w:szCs w:val="26"/>
                <w:rtl w:val="true"/>
              </w:rPr>
              <w:t>קניג</w:t>
            </w:r>
          </w:p>
        </w:tc>
      </w:tr>
    </w:tbl>
    <w:p>
      <w:pPr>
        <w:pStyle w:val="Ruller31"/>
        <w:ind w:end="0"/>
        <w:jc w:val="start"/>
        <w:rPr>
          <w:sz w:val="26"/>
          <w:szCs w:val="26"/>
        </w:rPr>
      </w:pPr>
      <w:r>
        <w:rPr>
          <w:sz w:val="26"/>
          <w:szCs w:val="26"/>
          <w:rtl w:val="true"/>
        </w:rPr>
      </w:r>
    </w:p>
    <w:tbl>
      <w:tblPr>
        <w:bidiVisual w:val="true"/>
        <w:tblW w:w="8363" w:type="dxa"/>
        <w:jc w:val="start"/>
        <w:tblInd w:w="138"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sz w:val="26"/>
                <w:szCs w:val="26"/>
              </w:rPr>
            </w:pPr>
            <w:bookmarkStart w:id="4" w:name="FirstLawyer"/>
            <w:bookmarkEnd w:id="4"/>
            <w:r>
              <w:rPr>
                <w:sz w:val="26"/>
                <w:sz w:val="26"/>
                <w:szCs w:val="26"/>
                <w:rtl w:val="true"/>
              </w:rPr>
              <w:t>בשם</w:t>
            </w:r>
            <w:r>
              <w:rPr>
                <w:rFonts w:cs="Times New Roman;Times New Roman"/>
                <w:sz w:val="26"/>
                <w:sz w:val="26"/>
                <w:szCs w:val="26"/>
                <w:rtl w:val="true"/>
              </w:rPr>
              <w:t xml:space="preserve"> </w:t>
            </w:r>
            <w:r>
              <w:rPr>
                <w:sz w:val="26"/>
                <w:sz w:val="26"/>
                <w:szCs w:val="26"/>
                <w:rtl w:val="true"/>
              </w:rPr>
              <w:t>המשיב</w:t>
            </w:r>
            <w:r>
              <w:rPr>
                <w:sz w:val="26"/>
                <w:sz w:val="26"/>
                <w:szCs w:val="26"/>
                <w:rtl w:val="true"/>
              </w:rPr>
              <w:t>ות</w:t>
            </w:r>
            <w:r>
              <w:rPr>
                <w:sz w:val="26"/>
                <w:szCs w:val="26"/>
                <w:rtl w:val="true"/>
              </w:rPr>
              <w:t>:</w:t>
            </w:r>
          </w:p>
        </w:tc>
        <w:tc>
          <w:tcPr>
            <w:tcW w:w="5150" w:type="dxa"/>
            <w:tcBorders/>
          </w:tcPr>
          <w:p>
            <w:pPr>
              <w:pStyle w:val="BodyRuller1"/>
              <w:ind w:end="0"/>
              <w:jc w:val="start"/>
              <w:rPr>
                <w:sz w:val="26"/>
                <w:szCs w:val="26"/>
              </w:rPr>
            </w:pPr>
            <w:r>
              <w:rPr>
                <w:sz w:val="26"/>
                <w:sz w:val="26"/>
                <w:szCs w:val="26"/>
                <w:rtl w:val="true"/>
              </w:rPr>
              <w:t>עו</w:t>
            </w:r>
            <w:r>
              <w:rPr>
                <w:sz w:val="26"/>
                <w:szCs w:val="26"/>
                <w:rtl w:val="true"/>
              </w:rPr>
              <w:t>"</w:t>
            </w:r>
            <w:r>
              <w:rPr>
                <w:sz w:val="26"/>
                <w:sz w:val="26"/>
                <w:szCs w:val="26"/>
                <w:rtl w:val="true"/>
              </w:rPr>
              <w:t>ד</w:t>
            </w:r>
            <w:r>
              <w:rPr>
                <w:rFonts w:cs="Times New Roman;Times New Roman"/>
                <w:sz w:val="26"/>
                <w:sz w:val="26"/>
                <w:szCs w:val="26"/>
                <w:rtl w:val="true"/>
              </w:rPr>
              <w:t xml:space="preserve"> </w:t>
            </w:r>
            <w:r>
              <w:rPr>
                <w:sz w:val="26"/>
                <w:sz w:val="26"/>
                <w:szCs w:val="26"/>
                <w:rtl w:val="true"/>
              </w:rPr>
              <w:t>רוני</w:t>
            </w:r>
            <w:r>
              <w:rPr>
                <w:rFonts w:cs="Times New Roman;Times New Roman"/>
                <w:sz w:val="26"/>
                <w:sz w:val="26"/>
                <w:szCs w:val="26"/>
                <w:rtl w:val="true"/>
              </w:rPr>
              <w:t xml:space="preserve"> </w:t>
            </w:r>
            <w:r>
              <w:rPr>
                <w:sz w:val="26"/>
                <w:sz w:val="26"/>
                <w:szCs w:val="26"/>
                <w:rtl w:val="true"/>
              </w:rPr>
              <w:t>זלושינסקי</w:t>
            </w:r>
          </w:p>
        </w:tc>
      </w:tr>
      <w:tr>
        <w:trPr/>
        <w:tc>
          <w:tcPr>
            <w:tcW w:w="3213" w:type="dxa"/>
            <w:tcBorders/>
          </w:tcPr>
          <w:p>
            <w:pPr>
              <w:pStyle w:val="BodyRuller1"/>
              <w:snapToGrid w:val="false"/>
              <w:ind w:end="0"/>
              <w:jc w:val="start"/>
              <w:rPr>
                <w:sz w:val="26"/>
                <w:szCs w:val="26"/>
              </w:rPr>
            </w:pPr>
            <w:r>
              <w:rPr>
                <w:sz w:val="26"/>
                <w:szCs w:val="26"/>
                <w:rtl w:val="true"/>
              </w:rPr>
            </w:r>
          </w:p>
          <w:p>
            <w:pPr>
              <w:pStyle w:val="BodyRuller1"/>
              <w:ind w:end="0"/>
              <w:jc w:val="start"/>
              <w:rPr>
                <w:sz w:val="26"/>
                <w:szCs w:val="26"/>
              </w:rPr>
            </w:pPr>
            <w:r>
              <w:rPr>
                <w:sz w:val="26"/>
                <w:sz w:val="26"/>
                <w:szCs w:val="26"/>
                <w:rtl w:val="true"/>
              </w:rPr>
              <w:t>בשם</w:t>
            </w:r>
            <w:r>
              <w:rPr>
                <w:rFonts w:cs="Times New Roman;Times New Roman"/>
                <w:sz w:val="26"/>
                <w:sz w:val="26"/>
                <w:szCs w:val="26"/>
                <w:rtl w:val="true"/>
              </w:rPr>
              <w:t xml:space="preserve"> </w:t>
            </w:r>
            <w:r>
              <w:rPr>
                <w:sz w:val="26"/>
                <w:sz w:val="26"/>
                <w:szCs w:val="26"/>
                <w:rtl w:val="true"/>
              </w:rPr>
              <w:t>שירות</w:t>
            </w:r>
            <w:r>
              <w:rPr>
                <w:rFonts w:cs="Times New Roman;Times New Roman"/>
                <w:sz w:val="26"/>
                <w:sz w:val="26"/>
                <w:szCs w:val="26"/>
                <w:rtl w:val="true"/>
              </w:rPr>
              <w:t xml:space="preserve"> </w:t>
            </w:r>
            <w:r>
              <w:rPr>
                <w:sz w:val="26"/>
                <w:sz w:val="26"/>
                <w:szCs w:val="26"/>
                <w:rtl w:val="true"/>
              </w:rPr>
              <w:t>המבחן</w:t>
            </w:r>
            <w:r>
              <w:rPr>
                <w:rFonts w:cs="Times New Roman;Times New Roman"/>
                <w:sz w:val="26"/>
                <w:sz w:val="26"/>
                <w:szCs w:val="26"/>
                <w:rtl w:val="true"/>
              </w:rPr>
              <w:t xml:space="preserve"> </w:t>
            </w:r>
            <w:r>
              <w:rPr>
                <w:sz w:val="26"/>
                <w:sz w:val="26"/>
                <w:szCs w:val="26"/>
                <w:rtl w:val="true"/>
              </w:rPr>
              <w:t>למבוגרים</w:t>
            </w:r>
            <w:r>
              <w:rPr>
                <w:sz w:val="26"/>
                <w:szCs w:val="26"/>
                <w:rtl w:val="true"/>
              </w:rPr>
              <w:t>:</w:t>
            </w:r>
          </w:p>
        </w:tc>
        <w:tc>
          <w:tcPr>
            <w:tcW w:w="5150" w:type="dxa"/>
            <w:tcBorders/>
          </w:tcPr>
          <w:p>
            <w:pPr>
              <w:pStyle w:val="BodyRuller1"/>
              <w:snapToGrid w:val="false"/>
              <w:ind w:end="0"/>
              <w:jc w:val="start"/>
              <w:rPr>
                <w:sz w:val="26"/>
                <w:szCs w:val="26"/>
              </w:rPr>
            </w:pPr>
            <w:r>
              <w:rPr>
                <w:sz w:val="26"/>
                <w:szCs w:val="26"/>
                <w:rtl w:val="true"/>
              </w:rPr>
            </w:r>
          </w:p>
          <w:p>
            <w:pPr>
              <w:pStyle w:val="BodyRuller1"/>
              <w:ind w:end="0"/>
              <w:jc w:val="start"/>
              <w:rPr>
                <w:sz w:val="26"/>
                <w:szCs w:val="26"/>
              </w:rPr>
            </w:pPr>
            <w:r>
              <w:rPr>
                <w:sz w:val="26"/>
                <w:sz w:val="26"/>
                <w:szCs w:val="26"/>
                <w:rtl w:val="true"/>
              </w:rPr>
              <w:t>גב</w:t>
            </w:r>
            <w:r>
              <w:rPr>
                <w:sz w:val="26"/>
                <w:szCs w:val="26"/>
                <w:rtl w:val="true"/>
              </w:rPr>
              <w:t xml:space="preserve">' </w:t>
            </w:r>
            <w:r>
              <w:rPr>
                <w:sz w:val="26"/>
                <w:sz w:val="26"/>
                <w:szCs w:val="26"/>
                <w:rtl w:val="true"/>
              </w:rPr>
              <w:t>אסתר</w:t>
            </w:r>
            <w:r>
              <w:rPr>
                <w:rFonts w:cs="Times New Roman;Times New Roman"/>
                <w:sz w:val="26"/>
                <w:sz w:val="26"/>
                <w:szCs w:val="26"/>
                <w:rtl w:val="true"/>
              </w:rPr>
              <w:t xml:space="preserve"> </w:t>
            </w:r>
            <w:r>
              <w:rPr>
                <w:sz w:val="26"/>
                <w:sz w:val="26"/>
                <w:szCs w:val="26"/>
                <w:rtl w:val="true"/>
              </w:rPr>
              <w:t>גרשון</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r>
        <w:rPr>
          <w:rFonts w:cs="FrankRuehl;Times New Roman" w:ascii="FrankRuehl;Times New Roman" w:hAnsi="FrankRuehl;Times New Roman"/>
          <w:sz w:val="24"/>
          <w:rtl w:val="true"/>
        </w:rPr>
      </w:r>
      <w:bookmarkStart w:id="5" w:name="LawTable"/>
      <w:bookmarkStart w:id="6" w:name="LawTable"/>
      <w:bookmarkEnd w:id="6"/>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r>
        <w:rPr>
          <w:rFonts w:ascii="FrankRuehl;Times New Roman" w:hAnsi="FrankRuehl;Times New Roman" w:cs="FrankRuehl;Times New Roman"/>
          <w:sz w:val="24"/>
          <w:sz w:val="24"/>
          <w:rtl w:val="true"/>
        </w:rPr>
        <w:t>חקיקה שאוזכרה</w:t>
      </w:r>
      <w:r>
        <w:rPr>
          <w:rFonts w:cs="FrankRuehl;Times New Roman" w:ascii="FrankRuehl;Times New Roman" w:hAnsi="FrankRuehl;Times New Roman"/>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hyperlink r:id="rId2">
        <w:r>
          <w:rPr>
            <w:rStyle w:val="Hyperlink"/>
            <w:rFonts w:ascii="FrankRuehl;Times New Roman" w:hAnsi="FrankRuehl;Times New Roman" w:cs="FrankRuehl;Times New Roman"/>
            <w:color w:val="0000FF"/>
            <w:sz w:val="24"/>
            <w:sz w:val="24"/>
            <w:u w:val="single"/>
            <w:rtl w:val="true"/>
          </w:rPr>
          <w:t>חוק העונשין</w:t>
        </w:r>
        <w:r>
          <w:rPr>
            <w:rStyle w:val="Hyperlink"/>
            <w:rFonts w:cs="FrankRuehl;Times New Roman" w:ascii="FrankRuehl;Times New Roman" w:hAnsi="FrankRuehl;Times New Roman"/>
            <w:color w:val="0000FF"/>
            <w:sz w:val="24"/>
            <w:u w:val="single"/>
            <w:rtl w:val="true"/>
          </w:rPr>
          <w:t xml:space="preserve">, </w:t>
        </w:r>
        <w:r>
          <w:rPr>
            <w:rStyle w:val="Hyperlink"/>
            <w:rFonts w:ascii="FrankRuehl;Times New Roman" w:hAnsi="FrankRuehl;Times New Roman" w:cs="FrankRuehl;Times New Roman"/>
            <w:color w:val="0000FF"/>
            <w:sz w:val="24"/>
            <w:sz w:val="24"/>
            <w:u w:val="single"/>
            <w:rtl w:val="true"/>
          </w:rPr>
          <w:t>תשל</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ז</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1977</w:t>
        </w:r>
      </w:hyperlink>
      <w:r>
        <w:rPr>
          <w:rFonts w:cs="FrankRuehl;Times New Roman" w:ascii="FrankRuehl;Times New Roman" w:hAnsi="FrankRuehl;Times New Roman"/>
          <w:sz w:val="24"/>
          <w:rtl w:val="true"/>
        </w:rPr>
        <w:t xml:space="preserve">: </w:t>
      </w:r>
      <w:r>
        <w:rPr>
          <w:rFonts w:ascii="FrankRuehl;Times New Roman" w:hAnsi="FrankRuehl;Times New Roman" w:cs="FrankRuehl;Times New Roman"/>
          <w:sz w:val="24"/>
          <w:sz w:val="24"/>
          <w:rtl w:val="true"/>
        </w:rPr>
        <w:t>סע</w:t>
      </w:r>
      <w:r>
        <w:rPr>
          <w:rFonts w:cs="FrankRuehl;Times New Roman" w:ascii="FrankRuehl;Times New Roman" w:hAnsi="FrankRuehl;Times New Roman"/>
          <w:sz w:val="24"/>
          <w:rtl w:val="true"/>
        </w:rPr>
        <w:t xml:space="preserve">'  </w:t>
      </w:r>
      <w:hyperlink r:id="rId3">
        <w:r>
          <w:rPr>
            <w:rStyle w:val="Hyperlink"/>
            <w:rFonts w:cs="FrankRuehl;Times New Roman" w:ascii="FrankRuehl;Times New Roman" w:hAnsi="FrankRuehl;Times New Roman"/>
            <w:color w:val="0000FF"/>
            <w:sz w:val="24"/>
            <w:u w:val="single"/>
          </w:rPr>
          <w:t>345</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א</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1</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4">
        <w:r>
          <w:rPr>
            <w:rStyle w:val="Hyperlink"/>
            <w:rFonts w:cs="FrankRuehl;Times New Roman" w:ascii="FrankRuehl;Times New Roman" w:hAnsi="FrankRuehl;Times New Roman"/>
            <w:color w:val="0000FF"/>
            <w:sz w:val="24"/>
            <w:u w:val="single"/>
          </w:rPr>
          <w:t>345</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א</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3</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5">
        <w:r>
          <w:rPr>
            <w:rStyle w:val="Hyperlink"/>
            <w:rFonts w:cs="FrankRuehl;Times New Roman" w:ascii="FrankRuehl;Times New Roman" w:hAnsi="FrankRuehl;Times New Roman"/>
            <w:color w:val="0000FF"/>
            <w:sz w:val="24"/>
            <w:u w:val="single"/>
          </w:rPr>
          <w:t>345</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ב</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1</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6">
        <w:r>
          <w:rPr>
            <w:rStyle w:val="Hyperlink"/>
            <w:rFonts w:cs="FrankRuehl;Times New Roman" w:ascii="FrankRuehl;Times New Roman" w:hAnsi="FrankRuehl;Times New Roman"/>
            <w:color w:val="0000FF"/>
            <w:sz w:val="24"/>
            <w:u w:val="single"/>
          </w:rPr>
          <w:t>347</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ב</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7">
        <w:r>
          <w:rPr>
            <w:rStyle w:val="Hyperlink"/>
            <w:rFonts w:cs="FrankRuehl;Times New Roman" w:ascii="FrankRuehl;Times New Roman" w:hAnsi="FrankRuehl;Times New Roman"/>
            <w:color w:val="0000FF"/>
            <w:sz w:val="24"/>
            <w:u w:val="single"/>
          </w:rPr>
          <w:t>348</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א</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8">
        <w:r>
          <w:rPr>
            <w:rStyle w:val="Hyperlink"/>
            <w:rFonts w:cs="FrankRuehl;Times New Roman" w:ascii="FrankRuehl;Times New Roman" w:hAnsi="FrankRuehl;Times New Roman"/>
            <w:color w:val="0000FF"/>
            <w:sz w:val="24"/>
            <w:u w:val="single"/>
          </w:rPr>
          <w:t>348</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ב</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9">
        <w:r>
          <w:rPr>
            <w:rStyle w:val="Hyperlink"/>
            <w:rFonts w:cs="FrankRuehl;Times New Roman" w:ascii="FrankRuehl;Times New Roman" w:hAnsi="FrankRuehl;Times New Roman"/>
            <w:color w:val="0000FF"/>
            <w:sz w:val="24"/>
            <w:u w:val="single"/>
          </w:rPr>
          <w:t>351</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א</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10">
        <w:r>
          <w:rPr>
            <w:rStyle w:val="Hyperlink"/>
            <w:rFonts w:cs="FrankRuehl;Times New Roman" w:ascii="FrankRuehl;Times New Roman" w:hAnsi="FrankRuehl;Times New Roman"/>
            <w:color w:val="0000FF"/>
            <w:sz w:val="24"/>
            <w:u w:val="single"/>
          </w:rPr>
          <w:t>351</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ג</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1</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11">
        <w:r>
          <w:rPr>
            <w:rStyle w:val="Hyperlink"/>
            <w:rFonts w:cs="FrankRuehl;Times New Roman" w:ascii="FrankRuehl;Times New Roman" w:hAnsi="FrankRuehl;Times New Roman"/>
            <w:color w:val="0000FF"/>
            <w:sz w:val="24"/>
            <w:u w:val="single"/>
          </w:rPr>
          <w:t>351</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ג</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2</w:t>
        </w:r>
        <w:r>
          <w:rPr>
            <w:rStyle w:val="Hyperlink"/>
            <w:rFonts w:cs="FrankRuehl;Times New Roman" w:ascii="FrankRuehl;Times New Roman" w:hAnsi="FrankRuehl;Times New Roman"/>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r>
        <w:rPr>
          <w:rFonts w:cs="FrankRuehl;Times New Roman" w:ascii="FrankRuehl;Times New Roman" w:hAnsi="FrankRuehl;Times New Roman"/>
          <w:sz w:val="24"/>
          <w:rtl w:val="true"/>
        </w:rPr>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bookmarkStart w:id="7" w:name="ABSTRACT_START"/>
      <w:bookmarkStart w:id="8" w:name="LawTable_End"/>
      <w:bookmarkEnd w:id="7"/>
      <w:bookmarkEnd w:id="8"/>
      <w:r>
        <w:rPr>
          <w:rFonts w:ascii="Times New Roman;Times New Roman" w:hAnsi="Times New Roman;Times New Roman" w:cs="Times New Roman;Times New Roman"/>
          <w:spacing w:val="0"/>
          <w:szCs w:val="26"/>
          <w:rtl w:val="true"/>
        </w:rPr>
        <w:t>מיני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רציו</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דחה ערעור על גזר הדין שהושת על המערער בגין הרשעתו בביצוע עבירות מין בקטינה בת משפחה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שכלל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בין היתר</w:t>
      </w:r>
      <w:r>
        <w:rPr>
          <w:rFonts w:cs="Times New Roman;Times New Roman" w:ascii="Times New Roman;Times New Roman" w:hAnsi="Times New Roman;Times New Roman"/>
          <w:spacing w:val="0"/>
          <w:szCs w:val="26"/>
          <w:rtl w:val="true"/>
        </w:rPr>
        <w:t xml:space="preserve">, </w:t>
      </w:r>
      <w:r>
        <w:rPr>
          <w:rFonts w:cs="Times New Roman;Times New Roman" w:ascii="Times New Roman;Times New Roman" w:hAnsi="Times New Roman;Times New Roman"/>
          <w:spacing w:val="0"/>
          <w:szCs w:val="26"/>
        </w:rPr>
        <w:t>6.5</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שנות מאסר לריצוי בפועל ופיצוי למתלוננת בסך </w:t>
      </w:r>
      <w:r>
        <w:rPr>
          <w:rFonts w:cs="Times New Roman;Times New Roman" w:ascii="Times New Roman;Times New Roman" w:hAnsi="Times New Roman;Times New Roman"/>
          <w:spacing w:val="0"/>
          <w:szCs w:val="26"/>
        </w:rPr>
        <w:t>100,000</w:t>
      </w:r>
      <w:r>
        <w:rPr>
          <w:rFonts w:cs="Times New Roman;Times New Roman" w:ascii="Times New Roman;Times New Roman" w:hAnsi="Times New Roman;Times New Roman"/>
          <w:spacing w:val="0"/>
          <w:szCs w:val="26"/>
          <w:rtl w:val="true"/>
        </w:rPr>
        <w:t xml:space="preserve"> ₪. </w:t>
      </w:r>
      <w:r>
        <w:rPr>
          <w:rFonts w:ascii="Times New Roman;Times New Roman" w:hAnsi="Times New Roman;Times New Roman" w:cs="Times New Roman;Times New Roman"/>
          <w:spacing w:val="0"/>
          <w:szCs w:val="26"/>
          <w:rtl w:val="true"/>
        </w:rPr>
        <w:t>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עמד על חומרת מעשי המערער ועל הנזקים שנגרמו למתלוננת ולמשפחתה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ופסק כי העונש הולם ואינו מצדיק התערבות בענישה</w:t>
      </w:r>
      <w:r>
        <w:rPr>
          <w:rFonts w:cs="Times New Roman;Times New Roman" w:ascii="Times New Roman;Times New Roman" w:hAnsi="Times New Roman;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עבירות מין במשפחה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התערבות ערכאת ערעור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שיקולים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דרכי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פיצויים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דודהּ של משיבה </w:t>
      </w:r>
      <w:r>
        <w:rPr>
          <w:rFonts w:cs="Times New Roman;Times New Roman" w:ascii="Times New Roman;Times New Roman" w:hAnsi="Times New Roman;Times New Roman"/>
          <w:spacing w:val="0"/>
          <w:szCs w:val="26"/>
        </w:rPr>
        <w:t>2</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להלן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המתלוננת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הורשע בבימ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המחוזי בביצוע עבירות מין בקטינה בת משפחה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 המערער הושת עונש של שש וחצי שנות מאסר לריצוי בפועל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מאסר מותנה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ותשלום פיצוי למתלוננת בסך </w:t>
      </w:r>
      <w:r>
        <w:rPr>
          <w:rFonts w:cs="Times New Roman;Times New Roman" w:ascii="Times New Roman;Times New Roman" w:hAnsi="Times New Roman;Times New Roman"/>
          <w:spacing w:val="0"/>
          <w:szCs w:val="26"/>
        </w:rPr>
        <w:t>100,000</w:t>
      </w:r>
      <w:r>
        <w:rPr>
          <w:rFonts w:cs="Times New Roman;Times New Roman" w:ascii="Times New Roman;Times New Roman" w:hAnsi="Times New Roman;Times New Roman"/>
          <w:spacing w:val="0"/>
          <w:szCs w:val="26"/>
          <w:rtl w:val="true"/>
        </w:rPr>
        <w:t xml:space="preserve"> ₪. </w:t>
      </w:r>
      <w:r>
        <w:rPr>
          <w:rFonts w:ascii="Times New Roman;Times New Roman" w:hAnsi="Times New Roman;Times New Roman" w:cs="Times New Roman;Times New Roman"/>
          <w:spacing w:val="0"/>
          <w:szCs w:val="26"/>
          <w:rtl w:val="true"/>
        </w:rPr>
        <w:t>הערעור נסב על גזר הדין</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 xml:space="preserve">בית המשפט העליון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מפי השופט קרא ובהסכמת הנשיאה חיות והשופט עמית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דחה את הערעור ופסק כי</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הלכה היא כי ערכאת הערעור אינה נוטה להתערב בגזר דינה של הערכאה הדיונית אלא במקרים חריגים בהם נפלה טעות מהותית בגזר הדין או מקום בו העונש שנגזר על ידה חורג באופן קיצוני ממדיניות הענישה הנוהגת או הראויה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 אף שהעונש שנגזר על המערער אינו מן הקלים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הריהו הולם את המעשים בהם הורשע והוא אינו נמנה על אותם מקרים חריגים המצדיקים התערבות בענישה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זאת ועוד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כבר נפסק אודות החומרה הרבה של ביצוע עבירות מין בקטינים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המבוצעות דרך כלל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תוך ניצול תמימותם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הדברים נכונים ביתר שאת כאשר עבירות המין מתבצעות בתוך המשפחה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שם על פי רוב</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מידת האמון שרוחש נפגע העבירה למבצע העבירה גבוהה ומשכך</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ניצול תמימותו הוא בזוי ואכזרי אף יותר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בנוסף</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כבר נפסק אודות הצורך בנקיטת מדיניות ענישה מחמירה כלפי מי שהורשע בביצוען של עבירות מין בתוך התא המשפחתי כמו גם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 הצורך שהענישה תהלום את סלידתה של החברה מעבירות אלו והנזקים החמורים מהם סובלים נפגעי העבירה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זאת לצד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האינטרס הציבורי בהרתעת עברייני מין פוטנציאליים</w:t>
      </w:r>
      <w:r>
        <w:rPr>
          <w:rFonts w:cs="Times New Roman;Times New Roman" w:ascii="Times New Roman;Times New Roman" w:hAnsi="Times New Roman;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מעשי המערער חמורים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המעשים גרמו למתלוננת לנזקים קשים אשר ילוו אותה כל חייה ואשר עם השלכותיהם היא מתמודדת בהווה ותתמודד בעתיד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במעשיו אלו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ניצל המערער בצורה בוטה ומעוררת שאט נפש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את יחסי האמון שרחשה לו המתלוננת בהיותו בן משפחה קרוב</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לבד מהנזק הקשה שנגרם למתלוננת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אין להתעלם מהנזק ההיקפי הרב שגרם המערער במעשיו למשפחתה ובפרט</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הנזק שגרם להורי המתלוננת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בשל שיוכם החברתי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 התחשב לקולא בהיותו של המערער נעדר עבר פלילי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בכך שהודה וקיבל אחריות על מעשיו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בכך שהודייתו ייתרה את עיקר חקירתה הנגדית של המתלוננת ובעדויות האופי החיוביות לגביו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לצד שיקולים אלו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הדגיש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 את חומרת העבירות שביצע המערער כלפי המתלוננת בחמישה אירועים שונים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כמו גם את הנזקים הכבדים שנגרמו לה</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אשר לשיעור הפיצוי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ככלל ערכאת הערעור אינה נוהגת להתערב בשיקול דעת הערכאה הדיונית בקביעת הפיצוי לנפגע העבירה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אלא במקרים חריגים בהם סטתה הערכאה הדיונית באופן קיצוני משיעור הפיצוי הראוי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במקרה זה אין הצדקה להתערבות בשיעור הפיצוי שנפסק</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בין השאר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 רקע ההערכה באשר לעוצמת הפגיעה הנפשית במתלוננת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אשר מצריכה שנים של טיפול ושיקום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 כל המשאבים הכרוכים בכך</w:t>
      </w:r>
      <w:r>
        <w:rPr>
          <w:rFonts w:cs="Times New Roman;Times New Roman" w:ascii="Times New Roman;Times New Roman" w:hAnsi="Times New Roman;Times New Roman"/>
          <w:spacing w:val="0"/>
          <w:szCs w:val="26"/>
          <w:rtl w:val="true"/>
        </w:rPr>
        <w:t xml:space="preserve">.  </w:t>
      </w:r>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pacing w:val="0"/>
          <w:sz w:val="24"/>
          <w:szCs w:val="26"/>
        </w:rPr>
      </w:pPr>
      <w:r>
        <w:rPr>
          <w:rFonts w:cs="FrankRuehl;Times New Roman" w:ascii="FrankRuehl;Times New Roman" w:hAnsi="FrankRuehl;Times New Roman"/>
          <w:spacing w:val="0"/>
          <w:sz w:val="24"/>
          <w:szCs w:val="26"/>
          <w:rtl w:val="true"/>
        </w:rPr>
      </w:r>
      <w:bookmarkStart w:id="9" w:name="ABSTRACT_END"/>
      <w:bookmarkStart w:id="10" w:name="ABSTRACT_END"/>
      <w:bookmarkEnd w:id="10"/>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Fonts w:cs="Times New Roman;Times New Roman"/>
                <w:rtl w:val="true"/>
              </w:rPr>
              <w:t xml:space="preserve"> </w:t>
            </w:r>
            <w:r>
              <w:rPr>
                <w:rtl w:val="true"/>
              </w:rPr>
              <w:t>דין</w:t>
            </w:r>
          </w:p>
        </w:tc>
      </w:tr>
    </w:tbl>
    <w:p>
      <w:pPr>
        <w:pStyle w:val="BODYVERDICT"/>
        <w:ind w:end="0"/>
        <w:jc w:val="start"/>
        <w:rPr/>
      </w:pPr>
      <w:r>
        <w:rPr>
          <w:rtl w:val="true"/>
        </w:rPr>
      </w:r>
    </w:p>
    <w:p>
      <w:pPr>
        <w:pStyle w:val="BODYVERDICT"/>
        <w:ind w:end="0"/>
        <w:jc w:val="start"/>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Cs w:val="24"/>
          <w:u w:val="single"/>
          <w:rtl w:val="true"/>
        </w:rPr>
      </w:r>
    </w:p>
    <w:p>
      <w:pPr>
        <w:pStyle w:val="Ruller42"/>
        <w:numPr>
          <w:ilvl w:val="0"/>
          <w:numId w:val="0"/>
        </w:numPr>
        <w:ind w:hanging="0" w:start="0" w:end="0"/>
        <w:jc w:val="both"/>
        <w:rPr>
          <w:rFonts w:ascii="Century" w:hAnsi="Century" w:cs="Century"/>
          <w:sz w:val="22"/>
        </w:rPr>
      </w:pPr>
      <w:bookmarkStart w:id="15" w:name="Start_Write"/>
      <w:bookmarkEnd w:id="15"/>
      <w:r>
        <w:rPr>
          <w:rtl w:val="true"/>
        </w:rPr>
        <w:tab/>
      </w:r>
      <w:r>
        <w:rPr>
          <w:rtl w:val="true"/>
        </w:rPr>
        <w:t>ערעור על גזר דינו של בית המשפט המחוזי מרכז</w:t>
      </w:r>
      <w:r>
        <w:rPr>
          <w:rtl w:val="true"/>
        </w:rPr>
        <w:t>-</w:t>
      </w:r>
      <w:r>
        <w:rPr>
          <w:rtl w:val="true"/>
        </w:rPr>
        <w:t>לוד ב</w:t>
      </w:r>
      <w:r>
        <w:rPr>
          <w:rtl w:val="true"/>
        </w:rPr>
        <w:t>תפ</w:t>
      </w:r>
      <w:r>
        <w:rPr>
          <w:rtl w:val="true"/>
        </w:rPr>
        <w:t>"</w:t>
      </w:r>
      <w:r>
        <w:rPr>
          <w:rtl w:val="true"/>
        </w:rPr>
        <w:t>ח</w:t>
      </w:r>
      <w:r>
        <w:rPr>
          <w:rtl w:val="true"/>
        </w:rPr>
        <w:t xml:space="preserve"> </w:t>
      </w:r>
      <w:r>
        <w:rPr/>
        <w:t>55284-07-18</w:t>
      </w:r>
      <w:r>
        <w:rPr>
          <w:rtl w:val="true"/>
        </w:rPr>
        <w:t xml:space="preserve"> </w:t>
      </w:r>
      <w:r>
        <w:rPr>
          <w:rtl w:val="true"/>
        </w:rPr>
        <w:t xml:space="preserve">שניתן ביום </w:t>
      </w:r>
      <w:r>
        <w:rPr/>
        <w:t>28.2.2019</w:t>
      </w:r>
      <w:r>
        <w:rPr>
          <w:rtl w:val="true"/>
        </w:rPr>
        <w:t xml:space="preserve"> </w:t>
      </w:r>
      <w:r>
        <w:rPr>
          <w:rtl w:val="true"/>
        </w:rPr>
        <w:t>על ידי כב</w:t>
      </w:r>
      <w:r>
        <w:rPr>
          <w:rtl w:val="true"/>
        </w:rPr>
        <w:t xml:space="preserve">' </w:t>
      </w:r>
      <w:r>
        <w:rPr>
          <w:rtl w:val="true"/>
        </w:rPr>
        <w:t>השופטים סג</w:t>
      </w:r>
      <w:r>
        <w:rPr>
          <w:rtl w:val="true"/>
        </w:rPr>
        <w:t>"</w:t>
      </w:r>
      <w:r>
        <w:rPr>
          <w:rtl w:val="true"/>
        </w:rPr>
        <w:t xml:space="preserve">נ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פינקלשטיין</w:t>
      </w:r>
      <w:r>
        <w:rPr>
          <w:rtl w:val="true"/>
        </w:rPr>
        <w:t xml:space="preserve">, </w:t>
      </w:r>
      <w:r>
        <w:rPr>
          <w:rtl w:val="true"/>
        </w:rPr>
        <w:t>סג</w:t>
      </w:r>
      <w:r>
        <w:rPr>
          <w:rtl w:val="true"/>
        </w:rPr>
        <w:t>"</w:t>
      </w:r>
      <w:r>
        <w:rPr>
          <w:rtl w:val="true"/>
        </w:rPr>
        <w:t xml:space="preserve">נ </w:t>
      </w:r>
      <w:r>
        <w:rPr>
          <w:rFonts w:ascii="Century" w:hAnsi="Century" w:cs="Miriam"/>
          <w:b/>
          <w:b/>
          <w:spacing w:val="0"/>
          <w:sz w:val="22"/>
          <w:sz w:val="22"/>
          <w:szCs w:val="24"/>
          <w:rtl w:val="true"/>
        </w:rPr>
        <w:t>ל</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ברודי</w:t>
      </w:r>
      <w:r>
        <w:rPr>
          <w:rtl w:val="true"/>
        </w:rPr>
        <w:t xml:space="preserve"> ו</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אמיר</w:t>
      </w:r>
      <w:r>
        <w:rPr>
          <w:rFonts w:cs="Century" w:ascii="Century" w:hAnsi="Century"/>
          <w:sz w:val="22"/>
          <w:rtl w:val="true"/>
        </w:rPr>
        <w:t xml:space="preserve">, </w:t>
      </w:r>
      <w:r>
        <w:rPr>
          <w:rFonts w:ascii="Century" w:hAnsi="Century" w:cs="Century"/>
          <w:sz w:val="22"/>
          <w:sz w:val="22"/>
          <w:rtl w:val="true"/>
        </w:rPr>
        <w:t>בגדרו הושת על המערער עונש של שש וחצי שנות מאסר לריצוי בפועל</w:t>
      </w:r>
      <w:r>
        <w:rPr>
          <w:rtl w:val="true"/>
        </w:rPr>
        <w:t xml:space="preserve">; </w:t>
      </w:r>
      <w:r>
        <w:rPr>
          <w:rtl w:val="true"/>
        </w:rPr>
        <w:t>מאסר מותנה</w:t>
      </w:r>
      <w:r>
        <w:rPr>
          <w:rtl w:val="true"/>
        </w:rPr>
        <w:t xml:space="preserve">; </w:t>
      </w:r>
      <w:r>
        <w:rPr>
          <w:rtl w:val="true"/>
        </w:rPr>
        <w:t xml:space="preserve">ותשלום פיצוי למתלוננת בסך </w:t>
      </w:r>
      <w:r>
        <w:rPr/>
        <w:t>100,000</w:t>
      </w:r>
      <w:r>
        <w:rPr>
          <w:rtl w:val="true"/>
        </w:rPr>
        <w:t xml:space="preserve"> </w:t>
      </w:r>
      <w:r>
        <w:rPr>
          <w:rtl w:val="true"/>
        </w:rPr>
        <w:t>ש</w:t>
      </w:r>
      <w:r>
        <w:rPr>
          <w:rtl w:val="true"/>
        </w:rPr>
        <w:t>"</w:t>
      </w:r>
      <w:r>
        <w:rPr>
          <w:rtl w:val="true"/>
        </w:rPr>
        <w:t>ח</w:t>
      </w:r>
      <w:r>
        <w:rPr>
          <w:rtl w:val="true"/>
        </w:rPr>
        <w:t>.</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רקע</w:t>
      </w:r>
      <w:r>
        <w:rPr>
          <w:rFonts w:ascii="Century" w:hAnsi="Century" w:eastAsia="Century" w:cs="Century"/>
          <w:b/>
          <w:b/>
          <w:spacing w:val="0"/>
          <w:szCs w:val="24"/>
          <w:rtl w:val="true"/>
        </w:rPr>
        <w:t xml:space="preserve"> </w:t>
      </w:r>
      <w:r>
        <w:rPr>
          <w:rFonts w:ascii="Century" w:hAnsi="Century" w:cs="Miriam"/>
          <w:b/>
          <w:b/>
          <w:spacing w:val="0"/>
          <w:szCs w:val="24"/>
          <w:rtl w:val="true"/>
        </w:rPr>
        <w:t>ועיקרי</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המערער הורשע על פי הודאתו במסגרת הסדר טיעון</w:t>
      </w:r>
      <w:r>
        <w:rPr>
          <w:rtl w:val="true"/>
        </w:rPr>
        <w:t xml:space="preserve">, </w:t>
      </w:r>
      <w:r>
        <w:rPr>
          <w:rtl w:val="true"/>
        </w:rPr>
        <w:t>בכתב אישום מתוקן בעבירות מין בקטינה בת משפחה</w:t>
      </w:r>
      <w:r>
        <w:rPr>
          <w:rtl w:val="true"/>
        </w:rPr>
        <w:t xml:space="preserve">, </w:t>
      </w:r>
      <w:r>
        <w:rPr>
          <w:rtl w:val="true"/>
        </w:rPr>
        <w:t>והן</w:t>
      </w:r>
      <w:r>
        <w:rPr>
          <w:rtl w:val="true"/>
        </w:rPr>
        <w:t xml:space="preserve">: </w:t>
      </w:r>
      <w:r>
        <w:rPr>
          <w:rtl w:val="true"/>
        </w:rPr>
        <w:t xml:space="preserve">מעשה סדום בקטינה בת משפחה שטרם מלאו לה </w:t>
      </w:r>
      <w:r>
        <w:rPr/>
        <w:t>14</w:t>
      </w:r>
      <w:r>
        <w:rPr>
          <w:rtl w:val="true"/>
        </w:rPr>
        <w:t xml:space="preserve"> </w:t>
      </w:r>
      <w:r>
        <w:rPr>
          <w:rtl w:val="true"/>
        </w:rPr>
        <w:t>שנים</w:t>
      </w:r>
      <w:r>
        <w:rPr>
          <w:rtl w:val="true"/>
        </w:rPr>
        <w:t xml:space="preserve">, </w:t>
      </w:r>
      <w:r>
        <w:rPr>
          <w:rtl w:val="true"/>
        </w:rPr>
        <w:t xml:space="preserve">עבירה לפי </w:t>
      </w:r>
      <w:hyperlink r:id="rId12">
        <w:r>
          <w:rPr>
            <w:rStyle w:val="Hyperlink"/>
            <w:color w:val="0000FF"/>
            <w:u w:val="single"/>
            <w:rtl w:val="true"/>
          </w:rPr>
          <w:t>סעיף</w:t>
        </w:r>
        <w:r>
          <w:rPr>
            <w:rStyle w:val="Hyperlink"/>
            <w:color w:val="0000FF"/>
            <w:u w:val="single"/>
            <w:rtl w:val="true"/>
          </w:rPr>
          <w:t xml:space="preserve"> </w:t>
        </w:r>
        <w:r>
          <w:rPr>
            <w:rStyle w:val="Hyperlink"/>
            <w:color w:val="0000FF"/>
            <w:u w:val="single"/>
          </w:rPr>
          <w:t>351</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 xml:space="preserve">בנסיבות </w:t>
      </w:r>
      <w:hyperlink r:id="rId13">
        <w:r>
          <w:rPr>
            <w:rStyle w:val="Hyperlink"/>
            <w:color w:val="0000FF"/>
            <w:u w:val="single"/>
            <w:rtl w:val="true"/>
          </w:rPr>
          <w:t>סעיפים</w:t>
        </w:r>
        <w:r>
          <w:rPr>
            <w:rStyle w:val="Hyperlink"/>
            <w:color w:val="0000FF"/>
            <w:u w:val="single"/>
            <w:rtl w:val="true"/>
          </w:rPr>
          <w:t xml:space="preserve"> </w:t>
        </w:r>
        <w:r>
          <w:rPr>
            <w:rStyle w:val="Hyperlink"/>
            <w:color w:val="0000FF"/>
            <w:u w:val="single"/>
          </w:rPr>
          <w:t>347</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ו</w:t>
      </w:r>
      <w:r>
        <w:rPr>
          <w:rtl w:val="true"/>
        </w:rPr>
        <w:t>-</w:t>
      </w:r>
      <w:hyperlink r:id="rId14">
        <w:r>
          <w:rPr>
            <w:rStyle w:val="Hyperlink"/>
            <w:color w:val="0000FF"/>
            <w:u w:val="single"/>
          </w:rPr>
          <w:t>345</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w:t>
      </w:r>
      <w:hyperlink r:id="rId1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cs="Miriam" w:ascii="Century" w:hAnsi="Century"/>
          <w:b/>
          <w:spacing w:val="0"/>
          <w:sz w:val="22"/>
          <w:szCs w:val="24"/>
          <w:rtl w:val="true"/>
        </w:rPr>
        <w:t>")</w:t>
      </w:r>
      <w:r>
        <w:rPr>
          <w:rtl w:val="true"/>
        </w:rPr>
        <w:t xml:space="preserve">; </w:t>
      </w:r>
      <w:r>
        <w:rPr>
          <w:rtl w:val="true"/>
        </w:rPr>
        <w:t xml:space="preserve">ארבע עבירות של מעשה מגונה בקטינה בת משפחה שטרם מלאו לה </w:t>
      </w:r>
      <w:r>
        <w:rPr/>
        <w:t>14</w:t>
      </w:r>
      <w:r>
        <w:rPr>
          <w:rtl w:val="true"/>
        </w:rPr>
        <w:t xml:space="preserve">, </w:t>
      </w:r>
      <w:r>
        <w:rPr>
          <w:rtl w:val="true"/>
        </w:rPr>
        <w:t xml:space="preserve">לפי </w:t>
      </w:r>
      <w:hyperlink r:id="rId16">
        <w:r>
          <w:rPr>
            <w:rStyle w:val="Hyperlink"/>
            <w:color w:val="0000FF"/>
            <w:u w:val="single"/>
            <w:rtl w:val="true"/>
          </w:rPr>
          <w:t>סעיף</w:t>
        </w:r>
        <w:r>
          <w:rPr>
            <w:rStyle w:val="Hyperlink"/>
            <w:color w:val="0000FF"/>
            <w:u w:val="single"/>
            <w:rtl w:val="true"/>
          </w:rPr>
          <w:t xml:space="preserve"> </w:t>
        </w:r>
        <w:r>
          <w:rPr>
            <w:rStyle w:val="Hyperlink"/>
            <w:color w:val="0000FF"/>
            <w:u w:val="single"/>
          </w:rPr>
          <w:t>351</w:t>
        </w:r>
        <w:r>
          <w:rPr>
            <w:rStyle w:val="Hyperlink"/>
            <w:color w:val="0000FF"/>
            <w:u w:val="single"/>
            <w:rtl w:val="true"/>
          </w:rPr>
          <w:t>(</w:t>
        </w:r>
        <w:r>
          <w:rPr>
            <w:rStyle w:val="Hyperlink"/>
            <w:color w:val="0000FF"/>
            <w:u w:val="single"/>
            <w:rtl w:val="true"/>
          </w:rPr>
          <w:t>ג</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 xml:space="preserve">בנסיבות </w:t>
      </w:r>
      <w:hyperlink r:id="rId17">
        <w:r>
          <w:rPr>
            <w:rStyle w:val="Hyperlink"/>
            <w:color w:val="0000FF"/>
            <w:u w:val="single"/>
            <w:rtl w:val="true"/>
          </w:rPr>
          <w:t>סעיפים</w:t>
        </w:r>
        <w:r>
          <w:rPr>
            <w:rStyle w:val="Hyperlink"/>
            <w:color w:val="0000FF"/>
            <w:u w:val="single"/>
            <w:rtl w:val="true"/>
          </w:rPr>
          <w:t xml:space="preserve"> </w:t>
        </w:r>
        <w:r>
          <w:rPr>
            <w:rStyle w:val="Hyperlink"/>
            <w:color w:val="0000FF"/>
            <w:u w:val="single"/>
          </w:rPr>
          <w:t>348</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ו</w:t>
      </w:r>
      <w:r>
        <w:rPr>
          <w:rtl w:val="true"/>
        </w:rPr>
        <w:t>-</w:t>
      </w:r>
      <w:hyperlink r:id="rId18">
        <w:r>
          <w:rPr>
            <w:rStyle w:val="Hyperlink"/>
            <w:color w:val="0000FF"/>
            <w:u w:val="single"/>
          </w:rPr>
          <w:t>345</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לחוק העונשין</w:t>
      </w:r>
      <w:r>
        <w:rPr>
          <w:rFonts w:cs="Miriam" w:ascii="Century" w:hAnsi="Century"/>
          <w:b/>
          <w:spacing w:val="0"/>
          <w:sz w:val="22"/>
          <w:szCs w:val="24"/>
          <w:rtl w:val="true"/>
        </w:rPr>
        <w:t xml:space="preserve">; </w:t>
      </w:r>
      <w:r>
        <w:rPr>
          <w:rFonts w:ascii="Century" w:hAnsi="Century" w:cs="Century"/>
          <w:sz w:val="22"/>
          <w:sz w:val="22"/>
          <w:rtl w:val="true"/>
        </w:rPr>
        <w:t xml:space="preserve">מעשה מגונה בקטינה בת משפחה שטרם מלאו לה </w:t>
      </w:r>
      <w:r>
        <w:rPr>
          <w:rFonts w:cs="Century" w:ascii="Century" w:hAnsi="Century"/>
          <w:sz w:val="22"/>
        </w:rPr>
        <w:t>16</w:t>
      </w:r>
      <w:r>
        <w:rPr>
          <w:rFonts w:cs="Century" w:ascii="Century" w:hAnsi="Century"/>
          <w:sz w:val="22"/>
          <w:rtl w:val="true"/>
        </w:rPr>
        <w:t xml:space="preserve"> </w:t>
      </w:r>
      <w:r>
        <w:rPr>
          <w:rFonts w:ascii="Century" w:hAnsi="Century" w:cs="Century"/>
          <w:sz w:val="22"/>
          <w:sz w:val="22"/>
          <w:rtl w:val="true"/>
        </w:rPr>
        <w:t>שנים</w:t>
      </w:r>
      <w:r>
        <w:rPr>
          <w:rFonts w:cs="Century" w:ascii="Century" w:hAnsi="Century"/>
          <w:sz w:val="22"/>
          <w:rtl w:val="true"/>
        </w:rPr>
        <w:t>,</w:t>
      </w:r>
      <w:r>
        <w:rPr>
          <w:rFonts w:cs="Miriam" w:ascii="Century" w:hAnsi="Century"/>
          <w:b/>
          <w:spacing w:val="0"/>
          <w:sz w:val="22"/>
          <w:szCs w:val="24"/>
          <w:rtl w:val="true"/>
        </w:rPr>
        <w:t xml:space="preserve"> </w:t>
      </w:r>
      <w:r>
        <w:rPr>
          <w:rtl w:val="true"/>
        </w:rPr>
        <w:t xml:space="preserve">עבירה לפי סעיף </w:t>
      </w:r>
      <w:hyperlink r:id="rId19">
        <w:r>
          <w:rPr>
            <w:rStyle w:val="Hyperlink"/>
            <w:color w:val="0000FF"/>
            <w:u w:val="single"/>
          </w:rPr>
          <w:t>351</w:t>
        </w:r>
        <w:r>
          <w:rPr>
            <w:rStyle w:val="Hyperlink"/>
            <w:color w:val="0000FF"/>
            <w:u w:val="single"/>
            <w:rtl w:val="true"/>
          </w:rPr>
          <w:t>(</w:t>
        </w:r>
        <w:r>
          <w:rPr>
            <w:rStyle w:val="Hyperlink"/>
            <w:color w:val="0000FF"/>
            <w:u w:val="single"/>
            <w:rtl w:val="true"/>
          </w:rPr>
          <w:t>ג</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 xml:space="preserve">בנסיבות סעיפים </w:t>
      </w:r>
      <w:hyperlink r:id="rId20">
        <w:r>
          <w:rPr>
            <w:rStyle w:val="Hyperlink"/>
            <w:color w:val="0000FF"/>
            <w:u w:val="single"/>
          </w:rPr>
          <w:t>348</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hyperlink r:id="rId21">
        <w:r>
          <w:rPr>
            <w:rStyle w:val="Hyperlink"/>
            <w:color w:val="0000FF"/>
            <w:u w:val="single"/>
          </w:rPr>
          <w:t>345</w:t>
        </w:r>
        <w:r>
          <w:rPr>
            <w:rStyle w:val="Hyperlink"/>
            <w:color w:val="0000FF"/>
            <w:u w:val="single"/>
            <w:rtl w:val="true"/>
          </w:rPr>
          <w:t>(</w:t>
        </w:r>
        <w:r>
          <w:rPr>
            <w:rStyle w:val="Hyperlink"/>
            <w:color w:val="0000FF"/>
            <w:u w:val="single"/>
            <w:rtl w:val="true"/>
          </w:rPr>
          <w:t>ב</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ו</w:t>
      </w:r>
      <w:r>
        <w:rPr>
          <w:rtl w:val="true"/>
        </w:rPr>
        <w:t>-</w:t>
      </w:r>
      <w:hyperlink r:id="rId22">
        <w:r>
          <w:rPr>
            <w:rStyle w:val="Hyperlink"/>
            <w:color w:val="0000FF"/>
            <w:u w:val="single"/>
          </w:rPr>
          <w:t>345</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לחוק העונשין</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על פי עובדות כתב האישום המתוקן</w:t>
      </w:r>
      <w:r>
        <w:rPr>
          <w:rtl w:val="true"/>
        </w:rPr>
        <w:t xml:space="preserve">, </w:t>
      </w:r>
      <w:r>
        <w:rPr>
          <w:rtl w:val="true"/>
        </w:rPr>
        <w:t>המערער</w:t>
      </w:r>
      <w:r>
        <w:rPr>
          <w:rtl w:val="true"/>
        </w:rPr>
        <w:t xml:space="preserve">, </w:t>
      </w:r>
      <w:r>
        <w:rPr>
          <w:rtl w:val="true"/>
        </w:rPr>
        <w:t xml:space="preserve">יליד שנת </w:t>
      </w:r>
      <w:r>
        <w:rPr/>
        <w:t>1969</w:t>
      </w:r>
      <w:r>
        <w:rPr>
          <w:rtl w:val="true"/>
        </w:rPr>
        <w:t xml:space="preserve">, </w:t>
      </w:r>
      <w:r>
        <w:rPr>
          <w:rtl w:val="true"/>
        </w:rPr>
        <w:t xml:space="preserve">הוא דודהּ של המשיבה </w:t>
      </w:r>
      <w:r>
        <w:rPr/>
        <w:t>2</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המתלוננת</w:t>
      </w:r>
      <w:r>
        <w:rPr>
          <w:rFonts w:cs="Century" w:ascii="Century" w:hAnsi="Century"/>
          <w:sz w:val="22"/>
          <w:rtl w:val="true"/>
        </w:rPr>
        <w:t>)</w:t>
      </w:r>
      <w:r>
        <w:rPr>
          <w:rtl w:val="true"/>
        </w:rPr>
        <w:t xml:space="preserve">, </w:t>
      </w:r>
      <w:r>
        <w:rPr>
          <w:rtl w:val="true"/>
        </w:rPr>
        <w:t xml:space="preserve">ילידת שנת </w:t>
      </w:r>
      <w:r>
        <w:rPr/>
        <w:t>2001</w:t>
      </w:r>
      <w:r>
        <w:rPr>
          <w:rtl w:val="true"/>
        </w:rPr>
        <w:t xml:space="preserve">. </w:t>
      </w:r>
      <w:r>
        <w:rPr>
          <w:rtl w:val="true"/>
        </w:rPr>
        <w:t xml:space="preserve">בין השנים </w:t>
      </w:r>
      <w:r>
        <w:rPr/>
        <w:t>2012-2016</w:t>
      </w:r>
      <w:r>
        <w:rPr>
          <w:rtl w:val="true"/>
        </w:rPr>
        <w:t xml:space="preserve">, </w:t>
      </w:r>
      <w:r>
        <w:rPr>
          <w:rtl w:val="true"/>
        </w:rPr>
        <w:t>עת גר בסמוך לבית המתלוננת</w:t>
      </w:r>
      <w:r>
        <w:rPr>
          <w:rtl w:val="true"/>
        </w:rPr>
        <w:t xml:space="preserve">, </w:t>
      </w:r>
      <w:r>
        <w:rPr>
          <w:rtl w:val="true"/>
        </w:rPr>
        <w:t>נהג המערער לבצע בה עבירות מין בעודה קטינה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מחזיק</w:t>
      </w:r>
      <w:r>
        <w:rPr>
          <w:rFonts w:eastAsia="Arial TUR;Arial" w:cs="Arial TUR;Arial"/>
          <w:rtl w:val="true"/>
        </w:rPr>
        <w:t xml:space="preserve"> </w:t>
      </w:r>
      <w:r>
        <w:rPr>
          <w:rtl w:val="true"/>
        </w:rPr>
        <w:t>חמישה</w:t>
      </w:r>
      <w:r>
        <w:rPr>
          <w:rFonts w:eastAsia="Arial TUR;Arial" w:cs="Arial TUR;Arial"/>
          <w:rtl w:val="true"/>
        </w:rPr>
        <w:t xml:space="preserve"> </w:t>
      </w:r>
      <w:r>
        <w:rPr>
          <w:rtl w:val="true"/>
        </w:rPr>
        <w:t>אישומים</w:t>
      </w:r>
      <w:r>
        <w:rPr>
          <w:rtl w:val="true"/>
        </w:rPr>
        <w:t xml:space="preserve">. </w:t>
      </w:r>
      <w:r>
        <w:rPr>
          <w:rtl w:val="true"/>
        </w:rPr>
        <w:t>ארבעת</w:t>
      </w:r>
      <w:r>
        <w:rPr>
          <w:rFonts w:eastAsia="Arial TUR;Arial" w:cs="Arial TUR;Arial"/>
          <w:rtl w:val="true"/>
        </w:rPr>
        <w:t xml:space="preserve"> </w:t>
      </w:r>
      <w:r>
        <w:rPr>
          <w:rtl w:val="true"/>
        </w:rPr>
        <w:t>האישומים</w:t>
      </w:r>
      <w:r>
        <w:rPr>
          <w:rFonts w:eastAsia="Arial TUR;Arial" w:cs="Arial TUR;Arial"/>
          <w:rtl w:val="true"/>
        </w:rPr>
        <w:t xml:space="preserve"> </w:t>
      </w:r>
      <w:r>
        <w:rPr>
          <w:rtl w:val="true"/>
        </w:rPr>
        <w:t>הראשונים</w:t>
      </w:r>
      <w:r>
        <w:rPr>
          <w:rFonts w:eastAsia="Arial TUR;Arial" w:cs="Arial TUR;Arial"/>
          <w:rtl w:val="true"/>
        </w:rPr>
        <w:t xml:space="preserve"> </w:t>
      </w:r>
      <w:r>
        <w:rPr>
          <w:rtl w:val="true"/>
        </w:rPr>
        <w:t>בוצעו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השנים</w:t>
      </w:r>
      <w:r>
        <w:rPr>
          <w:rFonts w:eastAsia="Arial TUR;Arial" w:cs="Arial TUR;Arial"/>
          <w:rtl w:val="true"/>
        </w:rPr>
        <w:t xml:space="preserve"> </w:t>
      </w:r>
      <w:r>
        <w:rPr/>
        <w:t>2012-2013</w:t>
      </w:r>
      <w:r>
        <w:rPr>
          <w:rtl w:val="true"/>
        </w:rPr>
        <w:t xml:space="preserve">, </w:t>
      </w:r>
      <w:r>
        <w:rPr>
          <w:rtl w:val="true"/>
        </w:rPr>
        <w:t>כאשר</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כבת</w:t>
      </w:r>
      <w:r>
        <w:rPr>
          <w:rFonts w:eastAsia="Arial TUR;Arial" w:cs="Arial TUR;Arial"/>
          <w:rtl w:val="true"/>
        </w:rPr>
        <w:t xml:space="preserve"> </w:t>
      </w:r>
      <w:r>
        <w:rPr/>
        <w:t>12</w:t>
      </w:r>
      <w:r>
        <w:rPr>
          <w:rtl w:val="true"/>
        </w:rPr>
        <w:t xml:space="preserve"> </w:t>
      </w:r>
      <w:r>
        <w:rPr>
          <w:rtl w:val="true"/>
        </w:rPr>
        <w:t>והאישום</w:t>
      </w:r>
      <w:r>
        <w:rPr>
          <w:rFonts w:eastAsia="Arial TUR;Arial" w:cs="Arial TUR;Arial"/>
          <w:rtl w:val="true"/>
        </w:rPr>
        <w:t xml:space="preserve"> </w:t>
      </w:r>
      <w:r>
        <w:rPr>
          <w:rtl w:val="true"/>
        </w:rPr>
        <w:t>החמישי</w:t>
      </w:r>
      <w:r>
        <w:rPr>
          <w:rFonts w:eastAsia="Arial TUR;Arial" w:cs="Arial TUR;Arial"/>
          <w:rtl w:val="true"/>
        </w:rPr>
        <w:t xml:space="preserve"> </w:t>
      </w:r>
      <w:r>
        <w:rPr>
          <w:rtl w:val="true"/>
        </w:rPr>
        <w:t>התרחש</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השנים</w:t>
      </w:r>
      <w:r>
        <w:rPr>
          <w:rFonts w:eastAsia="Arial TUR;Arial" w:cs="Arial TUR;Arial"/>
          <w:rtl w:val="true"/>
        </w:rPr>
        <w:t xml:space="preserve"> </w:t>
      </w:r>
      <w:r>
        <w:rPr/>
        <w:t>2016-2015</w:t>
      </w:r>
      <w:r>
        <w:rPr>
          <w:rtl w:val="true"/>
        </w:rPr>
        <w:t xml:space="preserve">, </w:t>
      </w:r>
      <w:r>
        <w:rPr>
          <w:rtl w:val="true"/>
        </w:rPr>
        <w:t>בעת</w:t>
      </w:r>
      <w:r>
        <w:rPr>
          <w:rFonts w:eastAsia="Arial TUR;Arial" w:cs="Arial TUR;Arial"/>
          <w:rtl w:val="true"/>
        </w:rPr>
        <w:t xml:space="preserve"> </w:t>
      </w:r>
      <w:r>
        <w:rPr>
          <w:rtl w:val="true"/>
        </w:rPr>
        <w:t>שהיתה</w:t>
      </w:r>
      <w:r>
        <w:rPr>
          <w:rFonts w:eastAsia="Arial TUR;Arial" w:cs="Arial TUR;Arial"/>
          <w:rtl w:val="true"/>
        </w:rPr>
        <w:t xml:space="preserve"> </w:t>
      </w:r>
      <w:r>
        <w:rPr>
          <w:rtl w:val="true"/>
        </w:rPr>
        <w:t>כבת</w:t>
      </w:r>
      <w:r>
        <w:rPr>
          <w:rFonts w:eastAsia="Arial TUR;Arial" w:cs="Arial TUR;Arial"/>
          <w:rtl w:val="true"/>
        </w:rPr>
        <w:t xml:space="preserve"> </w:t>
      </w:r>
      <w:r>
        <w:rPr/>
        <w:t>15</w:t>
      </w:r>
      <w:r>
        <w:rPr>
          <w:rtl w:val="true"/>
        </w:rPr>
        <w:t>.</w:t>
      </w:r>
    </w:p>
    <w:p>
      <w:pPr>
        <w:pStyle w:val="Ruller41"/>
        <w:ind w:end="0"/>
        <w:jc w:val="both"/>
        <w:rPr/>
      </w:pPr>
      <w:r>
        <w:rPr>
          <w:rFonts w:eastAsia="Arial TUR;Arial" w:cs="Arial TUR;Arial"/>
          <w:rtl w:val="true"/>
        </w:rPr>
        <w:t xml:space="preserve">  </w:t>
      </w:r>
      <w:r>
        <w:rPr>
          <w:rtl w:val="true"/>
        </w:rPr>
        <w:tab/>
      </w:r>
    </w:p>
    <w:p>
      <w:pPr>
        <w:pStyle w:val="Ruller41"/>
        <w:ind w:end="0"/>
        <w:jc w:val="both"/>
        <w:rPr/>
      </w:pPr>
      <w:r>
        <w:rPr>
          <w:rtl w:val="true"/>
        </w:rPr>
        <w:tab/>
      </w:r>
      <w:r>
        <w:rPr>
          <w:rtl w:val="true"/>
        </w:rPr>
        <w:t>באישום</w:t>
      </w:r>
      <w:r>
        <w:rPr>
          <w:rFonts w:eastAsia="Arial TUR;Arial" w:cs="Arial TUR;Arial"/>
          <w:rtl w:val="true"/>
        </w:rPr>
        <w:t xml:space="preserve"> </w:t>
      </w:r>
      <w:r>
        <w:rPr>
          <w:rtl w:val="true"/>
        </w:rPr>
        <w:t>הראשון</w:t>
      </w:r>
      <w:r>
        <w:rPr>
          <w:rtl w:val="true"/>
        </w:rPr>
        <w:t xml:space="preserve">, </w:t>
      </w:r>
      <w:r>
        <w:rPr>
          <w:rtl w:val="true"/>
        </w:rPr>
        <w:t>המערער</w:t>
      </w:r>
      <w:r>
        <w:rPr>
          <w:rFonts w:eastAsia="Arial TUR;Arial" w:cs="Arial TUR;Arial"/>
          <w:rtl w:val="true"/>
        </w:rPr>
        <w:t xml:space="preserve"> </w:t>
      </w:r>
      <w:r>
        <w:rPr>
          <w:rtl w:val="true"/>
        </w:rPr>
        <w:t>נישק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דקות</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שהחדיר</w:t>
      </w:r>
      <w:r>
        <w:rPr>
          <w:rFonts w:eastAsia="Arial TUR;Arial" w:cs="Arial TUR;Arial"/>
          <w:rtl w:val="true"/>
        </w:rPr>
        <w:t xml:space="preserve"> </w:t>
      </w:r>
      <w:r>
        <w:rPr>
          <w:rtl w:val="true"/>
        </w:rPr>
        <w:t>לשונו</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חרף</w:t>
      </w:r>
      <w:r>
        <w:rPr>
          <w:rFonts w:eastAsia="Arial TUR;Arial" w:cs="Arial TUR;Arial"/>
          <w:rtl w:val="true"/>
        </w:rPr>
        <w:t xml:space="preserve"> </w:t>
      </w:r>
      <w:r>
        <w:rPr>
          <w:rtl w:val="true"/>
        </w:rPr>
        <w:t>התנגדותה</w:t>
      </w:r>
      <w:r>
        <w:rPr>
          <w:rFonts w:eastAsia="Arial TUR;Arial" w:cs="Arial TUR;Arial"/>
          <w:rtl w:val="true"/>
        </w:rPr>
        <w:t xml:space="preserve"> </w:t>
      </w:r>
      <w:r>
        <w:rPr>
          <w:rtl w:val="true"/>
        </w:rPr>
        <w:t>הפיזית</w:t>
      </w:r>
      <w:r>
        <w:rPr>
          <w:rFonts w:eastAsia="Arial TUR;Arial" w:cs="Arial TUR;Arial"/>
          <w:rtl w:val="true"/>
        </w:rPr>
        <w:t xml:space="preserve"> </w:t>
      </w:r>
      <w:r>
        <w:rPr>
          <w:rtl w:val="true"/>
        </w:rPr>
        <w:t>והמילולית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באישום</w:t>
      </w:r>
      <w:r>
        <w:rPr>
          <w:rFonts w:eastAsia="Arial TUR;Arial" w:cs="Arial TUR;Arial"/>
          <w:rtl w:val="true"/>
        </w:rPr>
        <w:t xml:space="preserve"> </w:t>
      </w:r>
      <w:r>
        <w:rPr>
          <w:rtl w:val="true"/>
        </w:rPr>
        <w:t>השני</w:t>
      </w:r>
      <w:r>
        <w:rPr>
          <w:rtl w:val="true"/>
        </w:rPr>
        <w:t xml:space="preserve">, </w:t>
      </w:r>
      <w:r>
        <w:rPr>
          <w:rtl w:val="true"/>
        </w:rPr>
        <w:t>נטל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והניח</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מכנסיו</w:t>
      </w:r>
      <w:r>
        <w:rPr>
          <w:rtl w:val="true"/>
        </w:rPr>
        <w:t xml:space="preserve">. </w:t>
      </w:r>
      <w:r>
        <w:rPr>
          <w:rtl w:val="true"/>
        </w:rPr>
        <w:t>בהמשך</w:t>
      </w:r>
      <w:r>
        <w:rPr>
          <w:rFonts w:eastAsia="Arial TUR;Arial" w:cs="Arial TUR;Arial"/>
          <w:rtl w:val="true"/>
        </w:rPr>
        <w:t xml:space="preserve"> </w:t>
      </w:r>
      <w:r>
        <w:rPr>
          <w:rtl w:val="true"/>
        </w:rPr>
        <w:t>חשף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והניח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ידו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ידה</w:t>
      </w:r>
      <w:r>
        <w:rPr>
          <w:rFonts w:eastAsia="Arial TUR;Arial" w:cs="Arial TUR;Arial"/>
          <w:rtl w:val="true"/>
        </w:rPr>
        <w:t xml:space="preserve"> </w:t>
      </w:r>
      <w:r>
        <w:rPr>
          <w:rtl w:val="true"/>
        </w:rPr>
        <w:t>בעודו</w:t>
      </w:r>
      <w:r>
        <w:rPr>
          <w:rFonts w:eastAsia="Arial TUR;Arial" w:cs="Arial TUR;Arial"/>
          <w:rtl w:val="true"/>
        </w:rPr>
        <w:t xml:space="preserve"> </w:t>
      </w:r>
      <w:r>
        <w:rPr>
          <w:rtl w:val="true"/>
        </w:rPr>
        <w:t>מניע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באישום</w:t>
      </w:r>
      <w:r>
        <w:rPr>
          <w:rFonts w:eastAsia="Arial TUR;Arial" w:cs="Arial TUR;Arial"/>
          <w:rtl w:val="true"/>
        </w:rPr>
        <w:t xml:space="preserve"> </w:t>
      </w:r>
      <w:r>
        <w:rPr>
          <w:rtl w:val="true"/>
        </w:rPr>
        <w:t>השלישי</w:t>
      </w:r>
      <w:r>
        <w:rPr>
          <w:rtl w:val="true"/>
        </w:rPr>
        <w:t xml:space="preserve">, </w:t>
      </w:r>
      <w:r>
        <w:rPr>
          <w:rtl w:val="true"/>
        </w:rPr>
        <w:t>נטל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והניחה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מכנסיו</w:t>
      </w:r>
      <w:r>
        <w:rPr>
          <w:rFonts w:eastAsia="Arial TUR;Arial" w:cs="Arial TUR;Arial"/>
          <w:rtl w:val="true"/>
        </w:rPr>
        <w:t xml:space="preserve"> </w:t>
      </w:r>
      <w:r>
        <w:rPr>
          <w:rtl w:val="true"/>
        </w:rPr>
        <w:t>והניע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ידה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tl w:val="true"/>
        </w:rPr>
        <w:t xml:space="preserve">, </w:t>
      </w:r>
      <w:r>
        <w:rPr>
          <w:rtl w:val="true"/>
        </w:rPr>
        <w:t>במשך</w:t>
      </w:r>
      <w:r>
        <w:rPr>
          <w:rFonts w:eastAsia="Arial TUR;Arial" w:cs="Arial TUR;Arial"/>
          <w:rtl w:val="true"/>
        </w:rPr>
        <w:t xml:space="preserve"> </w:t>
      </w:r>
      <w:r>
        <w:rPr>
          <w:rtl w:val="true"/>
        </w:rPr>
        <w:t>דקות</w:t>
      </w:r>
      <w:r>
        <w:rPr>
          <w:rFonts w:eastAsia="Arial TUR;Arial" w:cs="Arial TUR;Arial"/>
          <w:rtl w:val="true"/>
        </w:rPr>
        <w:t xml:space="preserve"> </w:t>
      </w:r>
      <w:r>
        <w:rPr>
          <w:rtl w:val="true"/>
        </w:rPr>
        <w:t>ארוכות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באישום</w:t>
      </w:r>
      <w:r>
        <w:rPr>
          <w:rFonts w:eastAsia="Arial TUR;Arial" w:cs="Arial TUR;Arial"/>
          <w:rtl w:val="true"/>
        </w:rPr>
        <w:t xml:space="preserve"> </w:t>
      </w:r>
      <w:r>
        <w:rPr>
          <w:rtl w:val="true"/>
        </w:rPr>
        <w:t>הרביעי</w:t>
      </w:r>
      <w:r>
        <w:rPr>
          <w:rtl w:val="true"/>
        </w:rPr>
        <w:t xml:space="preserve">, </w:t>
      </w:r>
      <w:r>
        <w:rPr>
          <w:rtl w:val="true"/>
        </w:rPr>
        <w:t>המערער</w:t>
      </w:r>
      <w:r>
        <w:rPr>
          <w:rFonts w:eastAsia="Arial TUR;Arial" w:cs="Arial TUR;Arial"/>
          <w:rtl w:val="true"/>
        </w:rPr>
        <w:t xml:space="preserve"> </w:t>
      </w:r>
      <w:r>
        <w:rPr>
          <w:rtl w:val="true"/>
        </w:rPr>
        <w:t>ביצע</w:t>
      </w:r>
      <w:r>
        <w:rPr>
          <w:rFonts w:eastAsia="Arial TUR;Arial" w:cs="Arial TUR;Arial"/>
          <w:rtl w:val="true"/>
        </w:rPr>
        <w:t xml:space="preserve"> </w:t>
      </w:r>
      <w:r>
        <w:rPr>
          <w:rtl w:val="true"/>
        </w:rPr>
        <w:t>במתלוננת</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מגונה</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שליקק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מינה</w:t>
      </w:r>
      <w:r>
        <w:rPr>
          <w:rFonts w:eastAsia="Arial TUR;Arial" w:cs="Arial TUR;Arial"/>
          <w:rtl w:val="true"/>
        </w:rPr>
        <w:t xml:space="preserve"> </w:t>
      </w:r>
      <w:r>
        <w:rPr>
          <w:rtl w:val="true"/>
        </w:rPr>
        <w:t>ובהמשך</w:t>
      </w:r>
      <w:r>
        <w:rPr>
          <w:rFonts w:eastAsia="Arial TUR;Arial" w:cs="Arial TUR;Arial"/>
          <w:rtl w:val="true"/>
        </w:rPr>
        <w:t xml:space="preserve"> </w:t>
      </w:r>
      <w:r>
        <w:rPr>
          <w:rtl w:val="true"/>
        </w:rPr>
        <w:t>ביצע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סדום</w:t>
      </w:r>
      <w:r>
        <w:rPr>
          <w:rFonts w:eastAsia="Arial TUR;Arial" w:cs="Arial TUR;Arial"/>
          <w:rtl w:val="true"/>
        </w:rPr>
        <w:t xml:space="preserve"> </w:t>
      </w:r>
      <w:r>
        <w:rPr>
          <w:rtl w:val="true"/>
        </w:rPr>
        <w:t>שכלל</w:t>
      </w:r>
      <w:r>
        <w:rPr>
          <w:rFonts w:eastAsia="Arial TUR;Arial" w:cs="Arial TUR;Arial"/>
          <w:rtl w:val="true"/>
        </w:rPr>
        <w:t xml:space="preserve"> </w:t>
      </w:r>
      <w:r>
        <w:rPr>
          <w:rtl w:val="true"/>
        </w:rPr>
        <w:t>החדרת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למספר</w:t>
      </w:r>
      <w:r>
        <w:rPr>
          <w:rFonts w:eastAsia="Arial TUR;Arial" w:cs="Arial TUR;Arial"/>
          <w:rtl w:val="true"/>
        </w:rPr>
        <w:t xml:space="preserve"> </w:t>
      </w:r>
      <w:r>
        <w:rPr>
          <w:rtl w:val="true"/>
        </w:rPr>
        <w:t>שניות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באישום</w:t>
      </w:r>
      <w:r>
        <w:rPr>
          <w:rFonts w:eastAsia="Arial TUR;Arial" w:cs="Arial TUR;Arial"/>
          <w:rtl w:val="true"/>
        </w:rPr>
        <w:t xml:space="preserve"> </w:t>
      </w:r>
      <w:r>
        <w:rPr>
          <w:rtl w:val="true"/>
        </w:rPr>
        <w:t>החמישי</w:t>
      </w:r>
      <w:r>
        <w:rPr>
          <w:rtl w:val="true"/>
        </w:rPr>
        <w:t xml:space="preserve">, </w:t>
      </w:r>
      <w:r>
        <w:rPr>
          <w:rtl w:val="true"/>
        </w:rPr>
        <w:t>נטל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והניח</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מכנסיו</w:t>
      </w:r>
      <w:r>
        <w:rPr>
          <w:rtl w:val="true"/>
        </w:rPr>
        <w:t xml:space="preserve">, </w:t>
      </w:r>
      <w:r>
        <w:rPr>
          <w:rtl w:val="true"/>
        </w:rPr>
        <w:t>משהזיזה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ידה</w:t>
      </w:r>
      <w:r>
        <w:rPr>
          <w:rtl w:val="true"/>
        </w:rPr>
        <w:t xml:space="preserve">, </w:t>
      </w:r>
      <w:r>
        <w:rPr>
          <w:rtl w:val="true"/>
        </w:rPr>
        <w:t>נטל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ידה</w:t>
      </w:r>
      <w:r>
        <w:rPr>
          <w:rFonts w:eastAsia="Arial TUR;Arial" w:cs="Arial TUR;Arial"/>
          <w:rtl w:val="true"/>
        </w:rPr>
        <w:t xml:space="preserve"> </w:t>
      </w:r>
      <w:r>
        <w:rPr>
          <w:rtl w:val="true"/>
        </w:rPr>
        <w:t>בשנית</w:t>
      </w:r>
      <w:r>
        <w:rPr>
          <w:rFonts w:eastAsia="Arial TUR;Arial" w:cs="Arial TUR;Arial"/>
          <w:rtl w:val="true"/>
        </w:rPr>
        <w:t xml:space="preserve"> </w:t>
      </w:r>
      <w:r>
        <w:rPr>
          <w:rtl w:val="true"/>
        </w:rPr>
        <w:t>והניחה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tl w:val="true"/>
        </w:rPr>
        <w:t xml:space="preserve">.  </w:t>
      </w:r>
    </w:p>
    <w:p>
      <w:pPr>
        <w:pStyle w:val="Ruller41"/>
        <w:ind w:end="0"/>
        <w:jc w:val="both"/>
        <w:rPr/>
      </w:pPr>
      <w:r>
        <w:rPr>
          <w:rtl w:val="true"/>
        </w:rPr>
      </w:r>
    </w:p>
    <w:p>
      <w:pPr>
        <w:pStyle w:val="ruller411"/>
        <w:ind w:end="0"/>
        <w:jc w:val="both"/>
        <w:rPr/>
      </w:pPr>
      <w:r>
        <w:rPr>
          <w:rFonts w:ascii="Miriam" w:hAnsi="Miriam" w:cs="Miriam"/>
          <w:spacing w:val="0"/>
          <w:sz w:val="24"/>
          <w:sz w:val="24"/>
          <w:szCs w:val="24"/>
          <w:rtl w:val="true"/>
        </w:rPr>
        <w:t xml:space="preserve">עיקרי גזר דינו של בית </w:t>
      </w:r>
      <w:r>
        <w:rPr>
          <w:rFonts w:ascii="Miriam" w:hAnsi="Miriam" w:cs="Miriam"/>
          <w:spacing w:val="0"/>
          <w:sz w:val="24"/>
          <w:sz w:val="24"/>
          <w:szCs w:val="24"/>
          <w:rtl w:val="true"/>
        </w:rPr>
        <w:t>ה</w:t>
      </w:r>
      <w:r>
        <w:rPr>
          <w:rFonts w:ascii="Miriam" w:hAnsi="Miriam" w:cs="Miriam"/>
          <w:spacing w:val="0"/>
          <w:sz w:val="24"/>
          <w:sz w:val="24"/>
          <w:szCs w:val="24"/>
          <w:rtl w:val="true"/>
        </w:rPr>
        <w:t xml:space="preserve">משפט </w:t>
      </w:r>
      <w:r>
        <w:rPr>
          <w:rFonts w:ascii="Miriam" w:hAnsi="Miriam" w:cs="Miriam"/>
          <w:spacing w:val="0"/>
          <w:sz w:val="24"/>
          <w:sz w:val="24"/>
          <w:szCs w:val="24"/>
          <w:rtl w:val="true"/>
        </w:rPr>
        <w:t>המחוזי</w:t>
      </w:r>
      <w:r>
        <w:rPr>
          <w:rFonts w:ascii="Miriam" w:hAnsi="Miriam" w:cs="Miriam"/>
          <w:spacing w:val="0"/>
          <w:sz w:val="24"/>
          <w:sz w:val="24"/>
          <w:szCs w:val="24"/>
          <w:rtl w:val="true"/>
        </w:rPr>
        <w:t xml:space="preserve"> </w:t>
      </w:r>
    </w:p>
    <w:p>
      <w:pPr>
        <w:pStyle w:val="ruller411"/>
        <w:ind w:end="0"/>
        <w:jc w:val="both"/>
        <w:rPr>
          <w:rFonts w:ascii="Miriam" w:hAnsi="Miriam" w:cs="Miriam"/>
          <w:spacing w:val="0"/>
          <w:sz w:val="24"/>
          <w:szCs w:val="24"/>
        </w:rPr>
      </w:pPr>
      <w:r>
        <w:rPr>
          <w:rFonts w:cs="Miriam" w:ascii="Miriam" w:hAnsi="Miriam"/>
          <w:spacing w:val="0"/>
          <w:sz w:val="24"/>
          <w:szCs w:val="24"/>
          <w:rtl w:val="true"/>
        </w:rPr>
      </w:r>
    </w:p>
    <w:p>
      <w:pPr>
        <w:pStyle w:val="Ruller42"/>
        <w:numPr>
          <w:ilvl w:val="0"/>
          <w:numId w:val="1"/>
        </w:numPr>
        <w:ind w:hanging="0" w:start="0" w:end="0"/>
        <w:jc w:val="both"/>
        <w:rPr/>
      </w:pPr>
      <w:r>
        <w:rPr>
          <w:rtl w:val="true"/>
        </w:rPr>
        <w:t>בית המשפט המחוזי עמד על חומרתן הרבה של עבירות מין המבוצעות בקטינים במסגרת המשפחה וציין כי עוצמת הפגיעה במקרים אלו מוגברת בהשוואה לפגיעה מינית אחרת</w:t>
      </w:r>
      <w:r>
        <w:rPr>
          <w:rtl w:val="true"/>
        </w:rPr>
        <w:t xml:space="preserve">. </w:t>
      </w:r>
      <w:r>
        <w:rPr>
          <w:rtl w:val="true"/>
        </w:rPr>
        <w:t>עוד הוסיף כי המעשים בהם הורשע המערער הם חמורים ומכוערים</w:t>
      </w:r>
      <w:r>
        <w:rPr>
          <w:rtl w:val="true"/>
        </w:rPr>
        <w:t xml:space="preserve">, </w:t>
      </w:r>
      <w:r>
        <w:rPr>
          <w:rtl w:val="true"/>
        </w:rPr>
        <w:t xml:space="preserve">והדגיש כי בארבעה מחמשת האישומים </w:t>
      </w:r>
      <w:r>
        <w:rPr>
          <w:rtl w:val="true"/>
        </w:rPr>
        <w:t>(</w:t>
      </w:r>
      <w:r>
        <w:rPr>
          <w:rtl w:val="true"/>
        </w:rPr>
        <w:t xml:space="preserve">אישומים </w:t>
      </w:r>
      <w:r>
        <w:rPr/>
        <w:t>4-1</w:t>
      </w:r>
      <w:r>
        <w:rPr>
          <w:rtl w:val="true"/>
        </w:rPr>
        <w:t xml:space="preserve">) </w:t>
      </w:r>
      <w:r>
        <w:rPr>
          <w:rtl w:val="true"/>
        </w:rPr>
        <w:t>עבירות המין בוצעו כלפי אחייניתו</w:t>
      </w:r>
      <w:r>
        <w:rPr>
          <w:rtl w:val="true"/>
        </w:rPr>
        <w:t xml:space="preserve">, </w:t>
      </w:r>
      <w:r>
        <w:rPr>
          <w:rtl w:val="true"/>
        </w:rPr>
        <w:t xml:space="preserve">קטינה כבת </w:t>
      </w:r>
      <w:r>
        <w:rPr/>
        <w:t>12</w:t>
      </w:r>
      <w:r>
        <w:rPr>
          <w:rtl w:val="true"/>
        </w:rPr>
        <w:t xml:space="preserve">. </w:t>
      </w:r>
      <w:r>
        <w:rPr>
          <w:rtl w:val="true"/>
        </w:rPr>
        <w:t>בית המשפט התייחס להסלמה בחומרת המעשים לאורך השנים כאשר החמור בהם הוא זה המתואר באישום הרביעי</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בית המשפט קבע כי הנזקים שנגרמו למתלוננת הם משמעותיים והעדיף את התסקיר המקצועי של נפגעת העבירה</w:t>
      </w:r>
      <w:r>
        <w:rPr>
          <w:rtl w:val="true"/>
        </w:rPr>
        <w:t xml:space="preserve">, </w:t>
      </w:r>
      <w:r>
        <w:rPr>
          <w:rtl w:val="true"/>
        </w:rPr>
        <w:t>אשר תיאר בהרחבה את ההשלכות הנפשיות</w:t>
      </w:r>
      <w:r>
        <w:rPr>
          <w:rtl w:val="true"/>
        </w:rPr>
        <w:t xml:space="preserve">, </w:t>
      </w:r>
      <w:r>
        <w:rPr>
          <w:rtl w:val="true"/>
        </w:rPr>
        <w:t>הרגשיות והתפקודיות הקשות שנגרמו למתלוננת כתוצאה ממעשיו של המערער</w:t>
      </w:r>
      <w:r>
        <w:rPr>
          <w:rtl w:val="true"/>
        </w:rPr>
        <w:t xml:space="preserve">, </w:t>
      </w:r>
      <w:r>
        <w:rPr>
          <w:rtl w:val="true"/>
        </w:rPr>
        <w:t xml:space="preserve">על פני דבריה של המתלוננת לפיהם היא נערה </w:t>
      </w:r>
      <w:r>
        <w:rPr>
          <w:rtl w:val="true"/>
        </w:rPr>
        <w:t>'</w:t>
      </w:r>
      <w:r>
        <w:rPr>
          <w:rtl w:val="true"/>
        </w:rPr>
        <w:t>שמחה ומאושרת</w:t>
      </w:r>
      <w:r>
        <w:rPr>
          <w:rtl w:val="true"/>
        </w:rPr>
        <w:t xml:space="preserve">'. </w:t>
      </w:r>
      <w:r>
        <w:rPr>
          <w:rtl w:val="true"/>
        </w:rPr>
        <w:t>זאת</w:t>
      </w:r>
      <w:r>
        <w:rPr>
          <w:rtl w:val="true"/>
        </w:rPr>
        <w:t xml:space="preserve">, </w:t>
      </w:r>
      <w:r>
        <w:rPr>
          <w:rtl w:val="true"/>
        </w:rPr>
        <w:t>לצד הנזקים המשמעותיים שנגרמו למשפחת המתלוננת כולה ובמיוחד להוריה</w:t>
      </w:r>
      <w:r>
        <w:rPr>
          <w:rtl w:val="true"/>
        </w:rPr>
        <w:t xml:space="preserve">. </w:t>
      </w:r>
    </w:p>
    <w:p>
      <w:pPr>
        <w:pStyle w:val="Ruller41"/>
        <w:ind w:end="0"/>
        <w:jc w:val="both"/>
        <w:rPr/>
      </w:pPr>
      <w:r>
        <w:rPr>
          <w:rtl w:val="true"/>
        </w:rPr>
        <w:tab/>
      </w:r>
    </w:p>
    <w:p>
      <w:pPr>
        <w:pStyle w:val="Ruller41"/>
        <w:ind w:end="0"/>
        <w:jc w:val="both"/>
        <w:rPr/>
      </w:pPr>
      <w:r>
        <w:rPr>
          <w:rtl w:val="true"/>
        </w:rPr>
        <w:tab/>
      </w:r>
      <w:r>
        <w:rPr>
          <w:rtl w:val="true"/>
        </w:rPr>
        <w:t>בהתחשב</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אלו</w:t>
      </w:r>
      <w:r>
        <w:rPr>
          <w:rtl w:val="true"/>
        </w:rPr>
        <w:t xml:space="preserve">, </w:t>
      </w:r>
      <w:r>
        <w:rPr>
          <w:rtl w:val="true"/>
        </w:rPr>
        <w:t>העמיד</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ההולם</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חמש</w:t>
      </w:r>
      <w:r>
        <w:rPr>
          <w:rFonts w:eastAsia="Arial TUR;Arial" w:cs="Arial TUR;Arial"/>
          <w:rtl w:val="true"/>
        </w:rPr>
        <w:t xml:space="preserve"> </w:t>
      </w:r>
      <w:r>
        <w:rPr>
          <w:rtl w:val="true"/>
        </w:rPr>
        <w:t>לתשע</w:t>
      </w:r>
      <w:r>
        <w:rPr>
          <w:rFonts w:eastAsia="Arial TUR;Arial" w:cs="Arial TUR;Arial"/>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בקביעת העונש בתוך המתחם</w:t>
      </w:r>
      <w:r>
        <w:rPr>
          <w:rtl w:val="true"/>
        </w:rPr>
        <w:t xml:space="preserve">, </w:t>
      </w:r>
      <w:r>
        <w:rPr>
          <w:rtl w:val="true"/>
        </w:rPr>
        <w:t>זקף בית המשפט לזכות המערער את הודייתו אשר חסכה את עיקר חקירתה הנגדית של המתלוננת</w:t>
      </w:r>
      <w:r>
        <w:rPr>
          <w:rtl w:val="true"/>
        </w:rPr>
        <w:t xml:space="preserve">, </w:t>
      </w:r>
      <w:r>
        <w:rPr>
          <w:rtl w:val="true"/>
        </w:rPr>
        <w:t>תוך שציין כי עדותה של המתלוננת לא התייתרה לחלוטין כיוון שהמערער לא הודה מיד במיוחס לו והיא נאלצה להגיע לבית המשפט ולהיחקר בחקירה ראשית ובחקירה נגדית חלקית</w:t>
      </w:r>
      <w:r>
        <w:rPr>
          <w:rtl w:val="true"/>
        </w:rPr>
        <w:t xml:space="preserve">. </w:t>
      </w:r>
      <w:r>
        <w:rPr>
          <w:rtl w:val="true"/>
        </w:rPr>
        <w:t>בית המשפט שקל לקולא את העדר העבר הפלילי ובמידה מסוימת את עדויות האופי החיוביות לגביו</w:t>
      </w:r>
      <w:r>
        <w:rPr>
          <w:rtl w:val="true"/>
        </w:rPr>
        <w:t xml:space="preserve">. </w:t>
      </w:r>
      <w:r>
        <w:rPr>
          <w:rtl w:val="true"/>
        </w:rPr>
        <w:t>בנוסף</w:t>
      </w:r>
      <w:r>
        <w:rPr>
          <w:rtl w:val="true"/>
        </w:rPr>
        <w:t xml:space="preserve">, </w:t>
      </w:r>
      <w:r>
        <w:rPr>
          <w:rtl w:val="true"/>
        </w:rPr>
        <w:t>וחרף הסתייגות המשיבה</w:t>
      </w:r>
      <w:r>
        <w:rPr>
          <w:rtl w:val="true"/>
        </w:rPr>
        <w:t xml:space="preserve">, </w:t>
      </w:r>
      <w:r>
        <w:rPr>
          <w:rtl w:val="true"/>
        </w:rPr>
        <w:t>יצא בית המשפט מתוך הנחה כי חרטת המערער היא אמיתית</w:t>
      </w:r>
      <w:r>
        <w:rPr>
          <w:rtl w:val="true"/>
        </w:rPr>
        <w:t xml:space="preserve">. </w:t>
      </w:r>
    </w:p>
    <w:p>
      <w:pPr>
        <w:pStyle w:val="Ruller42"/>
        <w:numPr>
          <w:ilvl w:val="0"/>
          <w:numId w:val="0"/>
        </w:numPr>
        <w:ind w:hanging="0" w:start="0" w:end="0"/>
        <w:jc w:val="both"/>
        <w:rPr/>
      </w:pPr>
      <w:r>
        <w:rPr>
          <w:rtl w:val="true"/>
        </w:rPr>
        <w:tab/>
      </w:r>
    </w:p>
    <w:p>
      <w:pPr>
        <w:pStyle w:val="Ruller42"/>
        <w:numPr>
          <w:ilvl w:val="0"/>
          <w:numId w:val="0"/>
        </w:numPr>
        <w:ind w:hanging="0" w:start="0" w:end="0"/>
        <w:jc w:val="both"/>
        <w:rPr/>
      </w:pPr>
      <w:r>
        <w:rPr>
          <w:rtl w:val="true"/>
        </w:rPr>
        <w:tab/>
      </w:r>
      <w:r>
        <w:rPr>
          <w:rtl w:val="true"/>
        </w:rPr>
        <w:t>לאור האמור</w:t>
      </w:r>
      <w:r>
        <w:rPr>
          <w:rtl w:val="true"/>
        </w:rPr>
        <w:t xml:space="preserve">, </w:t>
      </w:r>
      <w:r>
        <w:rPr>
          <w:rtl w:val="true"/>
        </w:rPr>
        <w:t>סבר בית המשפט כי עונש המאסר בפועל שיוטל על המערער צריך להיות בצד המקל של מתחם העונש אך קרוב לנקודת האמצע וגזר על המערער עונש כמפורט לעיל</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FrankRuehl;Times New Roman" w:hAnsi="FrankRuehl;Times New Roman" w:cs="FrankRuehl;Times New Roman"/>
          <w:sz w:val="28"/>
          <w:sz w:val="28"/>
          <w:rtl w:val="true"/>
        </w:rPr>
        <w:t xml:space="preserve">על גזר דינו של בית </w:t>
      </w:r>
      <w:r>
        <w:rPr>
          <w:rFonts w:ascii="FrankRuehl;Times New Roman" w:hAnsi="FrankRuehl;Times New Roman" w:cs="FrankRuehl;Times New Roman"/>
          <w:sz w:val="28"/>
          <w:sz w:val="28"/>
          <w:rtl w:val="true"/>
        </w:rPr>
        <w:t>ה</w:t>
      </w:r>
      <w:r>
        <w:rPr>
          <w:rFonts w:ascii="FrankRuehl;Times New Roman" w:hAnsi="FrankRuehl;Times New Roman" w:cs="FrankRuehl;Times New Roman"/>
          <w:sz w:val="28"/>
          <w:sz w:val="28"/>
          <w:rtl w:val="true"/>
        </w:rPr>
        <w:t xml:space="preserve">משפט </w:t>
      </w:r>
      <w:r>
        <w:rPr>
          <w:rFonts w:ascii="FrankRuehl;Times New Roman" w:hAnsi="FrankRuehl;Times New Roman" w:cs="FrankRuehl;Times New Roman"/>
          <w:sz w:val="28"/>
          <w:sz w:val="28"/>
          <w:rtl w:val="true"/>
        </w:rPr>
        <w:t>המחוזי</w:t>
      </w:r>
      <w:r>
        <w:rPr>
          <w:rFonts w:ascii="FrankRuehl;Times New Roman" w:hAnsi="FrankRuehl;Times New Roman" w:cs="FrankRuehl;Times New Roman"/>
          <w:sz w:val="28"/>
          <w:sz w:val="28"/>
          <w:rtl w:val="true"/>
        </w:rPr>
        <w:t xml:space="preserve"> הוגש הערעור שלפנינו</w:t>
      </w:r>
      <w:r>
        <w:rPr>
          <w:rFonts w:cs="FrankRuehl;Times New Roman" w:ascii="FrankRuehl;Times New Roman" w:hAnsi="FrankRuehl;Times New Roman"/>
          <w:sz w:val="28"/>
          <w:rtl w:val="true"/>
        </w:rPr>
        <w:t xml:space="preserve">, </w:t>
      </w:r>
      <w:r>
        <w:rPr>
          <w:rFonts w:ascii="FrankRuehl;Times New Roman" w:hAnsi="FrankRuehl;Times New Roman" w:cs="FrankRuehl;Times New Roman"/>
          <w:sz w:val="28"/>
          <w:sz w:val="28"/>
          <w:rtl w:val="true"/>
        </w:rPr>
        <w:t xml:space="preserve">המופנה נגד </w:t>
      </w:r>
      <w:r>
        <w:rPr>
          <w:rFonts w:ascii="FrankRuehl;Times New Roman" w:hAnsi="FrankRuehl;Times New Roman" w:cs="FrankRuehl;Times New Roman"/>
          <w:sz w:val="28"/>
          <w:sz w:val="28"/>
          <w:rtl w:val="true"/>
        </w:rPr>
        <w:t xml:space="preserve">חומרת </w:t>
      </w:r>
      <w:r>
        <w:rPr>
          <w:rFonts w:ascii="FrankRuehl;Times New Roman" w:hAnsi="FrankRuehl;Times New Roman" w:cs="FrankRuehl;Times New Roman"/>
          <w:sz w:val="28"/>
          <w:sz w:val="28"/>
          <w:rtl w:val="true"/>
        </w:rPr>
        <w:t>עונש המאסר שהושת על המערער</w:t>
      </w:r>
      <w:r>
        <w:rPr>
          <w:rFonts w:ascii="FrankRuehl;Times New Roman" w:hAnsi="FrankRuehl;Times New Roman" w:cs="FrankRuehl;Times New Roman"/>
          <w:sz w:val="28"/>
          <w:sz w:val="28"/>
          <w:rtl w:val="true"/>
        </w:rPr>
        <w:t xml:space="preserve"> ועל גובה הפיצוי שנפסק</w:t>
      </w:r>
      <w:r>
        <w:rPr>
          <w:rFonts w:cs="FrankRuehl;Times New Roman" w:ascii="FrankRuehl;Times New Roman" w:hAnsi="FrankRuehl;Times New Roman"/>
          <w:sz w:val="28"/>
          <w:rtl w:val="true"/>
        </w:rPr>
        <w:t xml:space="preserve">. </w:t>
      </w:r>
    </w:p>
    <w:p>
      <w:pPr>
        <w:pStyle w:val="Ruller41"/>
        <w:ind w:end="0"/>
        <w:jc w:val="both"/>
        <w:rPr/>
      </w:pPr>
      <w:r>
        <w:rPr>
          <w:rtl w:val="true"/>
        </w:rPr>
      </w:r>
    </w:p>
    <w:p>
      <w:pPr>
        <w:pStyle w:val="ruller411"/>
        <w:ind w:end="0"/>
        <w:jc w:val="both"/>
        <w:rPr>
          <w:rFonts w:ascii="Miriam" w:hAnsi="Miriam" w:cs="Miriam"/>
          <w:spacing w:val="0"/>
          <w:sz w:val="24"/>
          <w:szCs w:val="24"/>
        </w:rPr>
      </w:pPr>
      <w:r>
        <w:rPr>
          <w:rFonts w:ascii="Miriam" w:hAnsi="Miriam" w:cs="Miriam"/>
          <w:spacing w:val="0"/>
          <w:sz w:val="24"/>
          <w:sz w:val="24"/>
          <w:szCs w:val="24"/>
          <w:rtl w:val="true"/>
        </w:rPr>
        <w:t>טענות הצדדים</w:t>
      </w:r>
    </w:p>
    <w:p>
      <w:pPr>
        <w:pStyle w:val="Ruller41"/>
        <w:ind w:end="0"/>
        <w:jc w:val="both"/>
        <w:rPr/>
      </w:pPr>
      <w:r>
        <w:rPr>
          <w:rtl w:val="true"/>
        </w:rPr>
      </w:r>
    </w:p>
    <w:p>
      <w:pPr>
        <w:pStyle w:val="Ruller42"/>
        <w:numPr>
          <w:ilvl w:val="0"/>
          <w:numId w:val="1"/>
        </w:numPr>
        <w:ind w:hanging="0" w:start="0" w:end="0"/>
        <w:jc w:val="both"/>
        <w:rPr/>
      </w:pPr>
      <w:r>
        <w:rPr>
          <w:rtl w:val="true"/>
        </w:rPr>
        <w:t>המערער טען כי עונש המאסר שהושת עליו חמור יתר על המידה וחורג ממדיניות הענישה הראויה לאור שגיאתו של בית המשפט בקביעת המתחם</w:t>
      </w:r>
      <w:r>
        <w:rPr>
          <w:rtl w:val="true"/>
        </w:rPr>
        <w:t xml:space="preserve">. </w:t>
      </w:r>
      <w:r>
        <w:rPr>
          <w:rtl w:val="true"/>
        </w:rPr>
        <w:t>עוד נטען</w:t>
      </w:r>
      <w:r>
        <w:rPr>
          <w:rtl w:val="true"/>
        </w:rPr>
        <w:t xml:space="preserve">, </w:t>
      </w:r>
      <w:r>
        <w:rPr>
          <w:rtl w:val="true"/>
        </w:rPr>
        <w:t>כי בית המשפט לא נתן משקל ראוי לשיקולים לקולא ובפרט</w:t>
      </w:r>
      <w:r>
        <w:rPr>
          <w:rtl w:val="true"/>
        </w:rPr>
        <w:t xml:space="preserve">, </w:t>
      </w:r>
      <w:r>
        <w:rPr>
          <w:rtl w:val="true"/>
        </w:rPr>
        <w:t>לחיסכון בזמן שיפוטי בשל הודייתו וויתור על עיקר חקירתה הנגדית של המתלוננת</w:t>
      </w:r>
      <w:r>
        <w:rPr>
          <w:rtl w:val="true"/>
        </w:rPr>
        <w:t xml:space="preserve">; </w:t>
      </w:r>
      <w:r>
        <w:rPr>
          <w:rtl w:val="true"/>
        </w:rPr>
        <w:t>כי בית המשפט לא נתן משקל ראוי לנסיבותיו האישיות ולמצבו הכלכלי</w:t>
      </w:r>
      <w:r>
        <w:rPr>
          <w:rtl w:val="true"/>
        </w:rPr>
        <w:t xml:space="preserve">, </w:t>
      </w:r>
      <w:r>
        <w:rPr>
          <w:rtl w:val="true"/>
        </w:rPr>
        <w:t xml:space="preserve">והטיל עליו תשלום פיצויים בסכום גבוה של </w:t>
      </w:r>
      <w:r>
        <w:rPr/>
        <w:t>100,000</w:t>
      </w:r>
      <w:r>
        <w:rPr>
          <w:rtl w:val="true"/>
        </w:rPr>
        <w:t xml:space="preserve"> </w:t>
      </w:r>
      <w:r>
        <w:rPr>
          <w:rtl w:val="true"/>
        </w:rPr>
        <w:t>ש</w:t>
      </w:r>
      <w:r>
        <w:rPr>
          <w:rtl w:val="true"/>
        </w:rPr>
        <w:t>"</w:t>
      </w:r>
      <w:r>
        <w:rPr>
          <w:rtl w:val="true"/>
        </w:rPr>
        <w:t>ח אף שלשיטתו לא נגרם למתלוננת נזק</w:t>
      </w:r>
      <w:r>
        <w:rPr>
          <w:rtl w:val="true"/>
        </w:rPr>
        <w:t>.</w:t>
      </w:r>
    </w:p>
    <w:p>
      <w:pPr>
        <w:pStyle w:val="Ruller41"/>
        <w:ind w:end="0"/>
        <w:jc w:val="both"/>
        <w:rPr/>
      </w:pPr>
      <w:r>
        <w:rPr>
          <w:rtl w:val="true"/>
        </w:rPr>
      </w:r>
    </w:p>
    <w:p>
      <w:pPr>
        <w:pStyle w:val="Ruller42"/>
        <w:numPr>
          <w:ilvl w:val="0"/>
          <w:numId w:val="1"/>
        </w:numPr>
        <w:ind w:hanging="0" w:start="0" w:end="0"/>
        <w:jc w:val="both"/>
        <w:rPr/>
      </w:pPr>
      <w:r>
        <w:rPr>
          <w:rFonts w:eastAsia="Garamond"/>
          <w:rtl w:val="true"/>
        </w:rPr>
        <w:t xml:space="preserve"> </w:t>
      </w:r>
      <w:r>
        <w:rPr>
          <w:rtl w:val="true"/>
        </w:rPr>
        <w:t>המשיבה ביקשה שלא להתערב בגזר דינו של בית המשפט נוכח חומרת המעשים</w:t>
      </w:r>
      <w:r>
        <w:rPr>
          <w:rtl w:val="true"/>
        </w:rPr>
        <w:t xml:space="preserve">. </w:t>
      </w:r>
      <w:r>
        <w:rPr>
          <w:rtl w:val="true"/>
        </w:rPr>
        <w:t>המשיבה סבורה כי בית משפט נתן לנסיבותיו האישיות של המערער משקל רב וגזר עליו עונש מתון</w:t>
      </w:r>
      <w:r>
        <w:rPr>
          <w:rtl w:val="true"/>
        </w:rPr>
        <w:t xml:space="preserve">. </w:t>
      </w:r>
      <w:r>
        <w:rPr>
          <w:rtl w:val="true"/>
        </w:rPr>
        <w:t>עוד מוסיפה המשיבה כי מתסקיר שירות המבחן עולה כי המערער לא הפנים את השלכות מעשיו וממזער אותם ואף סבור כי הנזק שנגרם לו גדול מזה שנגרם למתלוננת</w:t>
      </w:r>
      <w:r>
        <w:rPr>
          <w:rtl w:val="true"/>
        </w:rPr>
        <w:t xml:space="preserve">. </w:t>
      </w:r>
      <w:r>
        <w:rPr>
          <w:rtl w:val="true"/>
        </w:rPr>
        <w:t>מהערכת המסוכנות עולה כי מהמערער נשקפת מסוכנות בינונית</w:t>
      </w:r>
      <w:r>
        <w:rPr>
          <w:rtl w:val="true"/>
        </w:rPr>
        <w:t>-</w:t>
      </w:r>
      <w:r>
        <w:rPr>
          <w:rtl w:val="true"/>
        </w:rPr>
        <w:t>נמוכה</w:t>
      </w:r>
      <w:r>
        <w:rPr>
          <w:rtl w:val="true"/>
        </w:rPr>
        <w:t xml:space="preserve">. </w:t>
      </w:r>
      <w:r>
        <w:rPr>
          <w:rtl w:val="true"/>
        </w:rPr>
        <w:t>זאת ועוד</w:t>
      </w:r>
      <w:r>
        <w:rPr>
          <w:rtl w:val="true"/>
        </w:rPr>
        <w:t xml:space="preserve">, </w:t>
      </w:r>
      <w:r>
        <w:rPr>
          <w:rtl w:val="true"/>
        </w:rPr>
        <w:t>המשיבה מציינת כי המערער טרם החל בתשלום הפיצוי על אף שבקשתו לפריסת התשלומים התקבלה וניתן ללמוד מכך כי אינו מקבל אחריות על מעשיו</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לאחר ששמענו את טענות הצדדים</w:t>
      </w:r>
      <w:r>
        <w:rPr>
          <w:rtl w:val="true"/>
        </w:rPr>
        <w:t xml:space="preserve">, </w:t>
      </w:r>
      <w:r>
        <w:rPr>
          <w:rtl w:val="true"/>
        </w:rPr>
        <w:t xml:space="preserve">עיינו בנימוקי הערעור וקראנו בעיון את גזר דינו של בית </w:t>
      </w:r>
      <w:r>
        <w:rPr>
          <w:rtl w:val="true"/>
        </w:rPr>
        <w:t>ה</w:t>
      </w:r>
      <w:r>
        <w:rPr>
          <w:rtl w:val="true"/>
        </w:rPr>
        <w:t xml:space="preserve">משפט </w:t>
      </w:r>
      <w:r>
        <w:rPr>
          <w:rtl w:val="true"/>
        </w:rPr>
        <w:t>המחוזי</w:t>
      </w:r>
      <w:r>
        <w:rPr>
          <w:rtl w:val="true"/>
        </w:rPr>
        <w:t xml:space="preserve">, </w:t>
      </w:r>
      <w:r>
        <w:rPr>
          <w:rtl w:val="true"/>
        </w:rPr>
        <w:t>וכן את חוות הדעת של המרכז להערכת מסוכנות ואת תסקיר שירות המבחן</w:t>
      </w:r>
      <w:r>
        <w:rPr>
          <w:rtl w:val="true"/>
        </w:rPr>
        <w:t>,</w:t>
      </w:r>
      <w:r>
        <w:rPr>
          <w:rtl w:val="true"/>
        </w:rPr>
        <w:t xml:space="preserve"> </w:t>
      </w:r>
      <w:r>
        <w:rPr>
          <w:rtl w:val="true"/>
        </w:rPr>
        <w:t>שהוגשו לקראת הדיון בערעור</w:t>
      </w:r>
      <w:r>
        <w:rPr>
          <w:rtl w:val="true"/>
        </w:rPr>
        <w:t xml:space="preserve">, </w:t>
      </w:r>
      <w:r>
        <w:rPr>
          <w:rtl w:val="true"/>
        </w:rPr>
        <w:t>הגענו לכלל מסקנה כי דין הערעור להידחות</w:t>
      </w:r>
      <w:r>
        <w:rPr>
          <w:rtl w:val="true"/>
        </w:rPr>
        <w:t xml:space="preserve">. </w:t>
      </w:r>
    </w:p>
    <w:p>
      <w:pPr>
        <w:pStyle w:val="Ruller41"/>
        <w:ind w:end="0"/>
        <w:jc w:val="both"/>
        <w:rPr/>
      </w:pPr>
      <w:r>
        <w:rPr>
          <w:rtl w:val="true"/>
        </w:rPr>
      </w:r>
    </w:p>
    <w:p>
      <w:pPr>
        <w:pStyle w:val="Ruller42"/>
        <w:numPr>
          <w:ilvl w:val="0"/>
          <w:numId w:val="1"/>
        </w:numPr>
        <w:ind w:hanging="0" w:start="0" w:end="0"/>
        <w:jc w:val="both"/>
        <w:rPr>
          <w:rFonts w:ascii="Century" w:hAnsi="Century" w:cs="Miriam"/>
          <w:b/>
          <w:spacing w:val="0"/>
          <w:sz w:val="22"/>
          <w:szCs w:val="24"/>
        </w:rPr>
      </w:pPr>
      <w:r>
        <w:rPr>
          <w:rtl w:val="true"/>
        </w:rPr>
        <w:t>הלכה היא</w:t>
      </w:r>
      <w:r>
        <w:rPr>
          <w:rtl w:val="true"/>
        </w:rPr>
        <w:t xml:space="preserve"> כי ערכאת הערעור אינה נוטה להתערב בגזר דינה של הערכאה הדיונית אלא במקרים חריגים בהם נפלה טעות מהותית בגזר הדין או מקום </w:t>
      </w:r>
      <w:r>
        <w:rPr>
          <w:rtl w:val="true"/>
        </w:rPr>
        <w:t xml:space="preserve">בו </w:t>
      </w:r>
      <w:r>
        <w:rPr>
          <w:rtl w:val="true"/>
        </w:rPr>
        <w:t xml:space="preserve">העונש שנגזר על ידה חורג באופן קיצוני ממדיניות הענישה הנוהגת או הראויה </w:t>
      </w:r>
      <w:r>
        <w:rPr>
          <w:rtl w:val="true"/>
        </w:rPr>
        <w:t>(</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4731/19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FrankRuehl;Times New Roman" w:ascii="FrankRuehl;Times New Roman" w:hAnsi="FrankRuehl;Times New Roman"/>
          <w:sz w:val="28"/>
          <w:rtl w:val="true"/>
        </w:rPr>
        <w:t>(‏</w:t>
      </w:r>
      <w:r>
        <w:rPr>
          <w:rFonts w:cs="FrankRuehl;Times New Roman" w:ascii="FrankRuehl;Times New Roman" w:hAnsi="FrankRuehl;Times New Roman"/>
          <w:sz w:val="28"/>
        </w:rPr>
        <w:t>3.10.2019</w:t>
      </w:r>
      <w:r>
        <w:rPr>
          <w:rFonts w:cs="FrankRuehl;Times New Roman" w:ascii="FrankRuehl;Times New Roman" w:hAnsi="FrankRuehl;Times New Roman"/>
          <w:sz w:val="28"/>
          <w:rtl w:val="true"/>
        </w:rPr>
        <w:t>)</w:t>
      </w:r>
      <w:r>
        <w:rPr>
          <w:rtl w:val="true"/>
        </w:rPr>
        <w:t xml:space="preserve"> </w:t>
      </w:r>
      <w:r>
        <w:rPr>
          <w:rtl w:val="true"/>
        </w:rPr>
        <w:t>והפסיקה המוזכרת שם</w:t>
      </w:r>
      <w:r>
        <w:rPr>
          <w:rtl w:val="true"/>
        </w:rPr>
        <w:t xml:space="preserve">). </w:t>
      </w:r>
      <w:r>
        <w:rPr>
          <w:rtl w:val="true"/>
        </w:rPr>
        <w:t xml:space="preserve">על אף שהעונש שנגזר על המערער </w:t>
      </w:r>
      <w:r>
        <w:rPr>
          <w:rtl w:val="true"/>
        </w:rPr>
        <w:t>אינו</w:t>
      </w:r>
      <w:r>
        <w:rPr>
          <w:rtl w:val="true"/>
        </w:rPr>
        <w:t xml:space="preserve"> </w:t>
      </w:r>
      <w:r>
        <w:rPr>
          <w:rtl w:val="true"/>
        </w:rPr>
        <w:t>מן</w:t>
      </w:r>
      <w:r>
        <w:rPr>
          <w:rtl w:val="true"/>
        </w:rPr>
        <w:t xml:space="preserve"> </w:t>
      </w:r>
      <w:r>
        <w:rPr>
          <w:rtl w:val="true"/>
        </w:rPr>
        <w:t>הקלים</w:t>
      </w:r>
      <w:r>
        <w:rPr>
          <w:rtl w:val="true"/>
        </w:rPr>
        <w:t>,</w:t>
      </w:r>
      <w:r>
        <w:rPr>
          <w:rtl w:val="true"/>
        </w:rPr>
        <w:t xml:space="preserve"> </w:t>
      </w:r>
      <w:r>
        <w:rPr>
          <w:rtl w:val="true"/>
        </w:rPr>
        <w:t xml:space="preserve">הריהו הולם את המעשים בהם הורשע והוא </w:t>
      </w:r>
      <w:r>
        <w:rPr>
          <w:rtl w:val="true"/>
        </w:rPr>
        <w:t>אינו נמנה על אותם מקרים חריגים</w:t>
      </w:r>
      <w:r>
        <w:rPr>
          <w:rtl w:val="true"/>
        </w:rPr>
        <w:t xml:space="preserve"> המצדיקים התערבות בענישה </w:t>
      </w:r>
      <w:r>
        <w:rPr>
          <w:rtl w:val="true"/>
        </w:rPr>
        <w:t>(</w:t>
      </w:r>
      <w:r>
        <w:rPr>
          <w:rtl w:val="true"/>
        </w:rPr>
        <w:t>ראו והשוו</w:t>
      </w:r>
      <w:r>
        <w:rPr>
          <w:rtl w:val="true"/>
        </w:rPr>
        <w:t xml:space="preserve">: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3809/15</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w:t>
      </w:r>
      <w:r>
        <w:rPr/>
        <w:t>09.08.2016</w:t>
      </w:r>
      <w:r>
        <w:rPr>
          <w:rtl w:val="true"/>
        </w:rPr>
        <w:t>)</w:t>
      </w:r>
      <w:r>
        <w:rPr>
          <w:rtl w:val="true"/>
        </w:rPr>
        <w:t xml:space="preserve">; </w:t>
      </w:r>
      <w:hyperlink r:id="rId25">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2491/19</w:t>
        </w:r>
      </w:hyperlink>
      <w:r>
        <w:rPr>
          <w:rFonts w:cs="Century" w:ascii="Century" w:hAnsi="Century"/>
          <w:sz w:val="22"/>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FrankRuehl;Times New Roman" w:ascii="FrankRuehl;Times New Roman" w:hAnsi="FrankRuehl;Times New Roman"/>
          <w:sz w:val="28"/>
          <w:rtl w:val="true"/>
        </w:rPr>
        <w:t>(‏</w:t>
      </w:r>
      <w:r>
        <w:rPr>
          <w:rFonts w:cs="FrankRuehl;Times New Roman" w:ascii="FrankRuehl;Times New Roman" w:hAnsi="FrankRuehl;Times New Roman"/>
          <w:sz w:val="28"/>
        </w:rPr>
        <w:t>23.10.2019</w:t>
      </w:r>
      <w:r>
        <w:rPr>
          <w:rFonts w:cs="FrankRuehl;Times New Roman" w:ascii="FrankRuehl;Times New Roman" w:hAnsi="FrankRuehl;Times New Roman"/>
          <w:sz w:val="28"/>
          <w:rtl w:val="true"/>
        </w:rPr>
        <w:t>)</w:t>
      </w:r>
      <w:r>
        <w:rPr>
          <w:rFonts w:cs="Century" w:ascii="Century" w:hAnsi="Century"/>
          <w:sz w:val="22"/>
          <w:rtl w:val="true"/>
        </w:rPr>
        <w:t xml:space="preserve">). </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hanging="0" w:start="0" w:end="0"/>
        <w:jc w:val="both"/>
        <w:rPr/>
      </w:pPr>
      <w:r>
        <w:rPr>
          <w:rtl w:val="true"/>
        </w:rPr>
        <w:t>זאת ועוד</w:t>
      </w:r>
      <w:r>
        <w:rPr>
          <w:rtl w:val="true"/>
        </w:rPr>
        <w:t xml:space="preserve">, </w:t>
      </w:r>
      <w:r>
        <w:rPr>
          <w:rtl w:val="true"/>
        </w:rPr>
        <w:t>בית משפט זה עמד לא אחת על החומרה הרבה של ביצוע עבירות מין בקטינים</w:t>
      </w:r>
      <w:r>
        <w:rPr>
          <w:rtl w:val="true"/>
        </w:rPr>
        <w:t xml:space="preserve">, </w:t>
      </w:r>
      <w:r>
        <w:rPr>
          <w:rtl w:val="true"/>
        </w:rPr>
        <w:t>המבוצעות דרך כלל</w:t>
      </w:r>
      <w:r>
        <w:rPr>
          <w:rtl w:val="true"/>
        </w:rPr>
        <w:t xml:space="preserve">, </w:t>
      </w:r>
      <w:r>
        <w:rPr>
          <w:rtl w:val="true"/>
        </w:rPr>
        <w:t xml:space="preserve">תוך ניצול תמימותם </w:t>
      </w:r>
      <w:r>
        <w:rPr>
          <w:rtl w:val="true"/>
        </w:rPr>
        <w:t>(</w:t>
      </w:r>
      <w:hyperlink r:id="rId26">
        <w:bookmarkStart w:id="16" w:name="Text1"/>
        <w:bookmarkEnd w:id="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5795/16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פסקה</w:t>
      </w:r>
      <w:r>
        <w:rPr>
          <w:rtl w:val="true"/>
        </w:rPr>
        <w:t xml:space="preserve"> </w:t>
      </w:r>
      <w:r>
        <w:rPr/>
        <w:t>10</w:t>
      </w:r>
      <w:r>
        <w:rPr>
          <w:rtl w:val="true"/>
        </w:rPr>
        <w:t xml:space="preserve"> (</w:t>
      </w:r>
      <w:r>
        <w:rPr/>
        <w:t>1</w:t>
      </w:r>
      <w:r>
        <w:rPr/>
        <w:t>5</w:t>
      </w:r>
      <w:r>
        <w:rPr/>
        <w:t>.1.201</w:t>
      </w:r>
      <w:r>
        <w:rPr/>
        <w:t>8</w:t>
      </w:r>
      <w:r>
        <w:rPr>
          <w:rtl w:val="true"/>
        </w:rPr>
        <w:t xml:space="preserve">); </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10626/07</w:t>
        </w:r>
      </w:hyperlink>
      <w:r>
        <w:rPr>
          <w:rtl w:val="true"/>
        </w:rPr>
        <w:t xml:space="preserve"> </w:t>
      </w:r>
      <w:r>
        <w:rPr>
          <w:rFonts w:ascii="Century" w:hAnsi="Century" w:cs="Miriam"/>
          <w:b/>
          <w:b/>
          <w:spacing w:val="0"/>
          <w:sz w:val="22"/>
          <w:sz w:val="22"/>
          <w:szCs w:val="24"/>
          <w:rtl w:val="true"/>
        </w:rPr>
        <w:t>אדרי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7</w:t>
      </w:r>
      <w:r>
        <w:rPr>
          <w:rtl w:val="true"/>
        </w:rPr>
        <w:t xml:space="preserve"> (</w:t>
      </w:r>
      <w:r>
        <w:rPr/>
        <w:t>24.1.2011</w:t>
      </w:r>
      <w:r>
        <w:rPr>
          <w:rtl w:val="true"/>
        </w:rPr>
        <w:t>)).</w:t>
      </w:r>
      <w:r>
        <w:rPr>
          <w:rtl w:val="true"/>
        </w:rPr>
        <w:t xml:space="preserve"> </w:t>
      </w:r>
      <w:r>
        <w:rPr>
          <w:rtl w:val="true"/>
        </w:rPr>
        <w:t>הדברים נכונים ביתר שאת כאשר עבירות המין מתבצעות בתוך המשפחה</w:t>
      </w:r>
      <w:r>
        <w:rPr>
          <w:rtl w:val="true"/>
        </w:rPr>
        <w:t xml:space="preserve">, </w:t>
      </w:r>
      <w:r>
        <w:rPr>
          <w:rtl w:val="true"/>
        </w:rPr>
        <w:t>שם על פי רוב</w:t>
      </w:r>
      <w:r>
        <w:rPr>
          <w:rtl w:val="true"/>
        </w:rPr>
        <w:t xml:space="preserve">, </w:t>
      </w:r>
      <w:r>
        <w:rPr>
          <w:rtl w:val="true"/>
        </w:rPr>
        <w:t>מידת האמון שרוחש נפגע העבירה למבצע העבירה גבוהה ומשכך</w:t>
      </w:r>
      <w:r>
        <w:rPr>
          <w:rtl w:val="true"/>
        </w:rPr>
        <w:t xml:space="preserve">, </w:t>
      </w:r>
      <w:r>
        <w:rPr>
          <w:rtl w:val="true"/>
        </w:rPr>
        <w:t>ניצול תמימותו הוא בזוי ואכזרי אף יותר</w:t>
      </w:r>
      <w:r>
        <w:rPr>
          <w:rtl w:val="true"/>
        </w:rPr>
        <w:t xml:space="preserve">. </w:t>
      </w:r>
      <w:r>
        <w:rPr>
          <w:rStyle w:val="Ruller5"/>
          <w:rtl w:val="true"/>
        </w:rPr>
        <w:t>עוד עמד בית משפט זה על הצורך בנקיטת מדיניות ענישה מחמירה כלפי מי שהורשע בביצוען של עבירות מין בתוך התא המשפחתי כמו גם</w:t>
      </w:r>
      <w:r>
        <w:rPr>
          <w:rStyle w:val="Ruller5"/>
          <w:rtl w:val="true"/>
        </w:rPr>
        <w:t xml:space="preserve">, </w:t>
      </w:r>
      <w:r>
        <w:rPr>
          <w:rStyle w:val="Ruller5"/>
          <w:rtl w:val="true"/>
        </w:rPr>
        <w:t>על הצורך שהענישה תהלום את סלידתה של החברה מעבירות אלו והנזקים החמורים מהם סובלים נפגעי העבירה</w:t>
      </w:r>
      <w:r>
        <w:rPr>
          <w:rStyle w:val="Ruller5"/>
          <w:rtl w:val="true"/>
        </w:rPr>
        <w:t xml:space="preserve">. </w:t>
      </w:r>
      <w:r>
        <w:rPr>
          <w:rStyle w:val="Ruller5"/>
          <w:rtl w:val="true"/>
        </w:rPr>
        <w:t>זאת לצד</w:t>
      </w:r>
      <w:r>
        <w:rPr>
          <w:rStyle w:val="Ruller5"/>
          <w:rtl w:val="true"/>
        </w:rPr>
        <w:t xml:space="preserve">, </w:t>
      </w:r>
      <w:r>
        <w:rPr>
          <w:rStyle w:val="Ruller5"/>
          <w:rtl w:val="true"/>
        </w:rPr>
        <w:t xml:space="preserve">האינטרס הציבורי בהרתעת עברייני מין פוטנציאליים </w:t>
      </w:r>
      <w:r>
        <w:rPr>
          <w:rtl w:val="true"/>
        </w:rPr>
        <w:t>(</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3848/16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פסקה</w:t>
      </w:r>
      <w:r>
        <w:rPr>
          <w:rtl w:val="true"/>
        </w:rPr>
        <w:t xml:space="preserve"> </w:t>
      </w:r>
      <w:r>
        <w:rPr/>
        <w:t>6</w:t>
      </w:r>
      <w:r>
        <w:rPr>
          <w:rtl w:val="true"/>
        </w:rPr>
        <w:t xml:space="preserve"> (</w:t>
      </w:r>
      <w:r>
        <w:rPr/>
        <w:t>21.2.2017</w:t>
      </w:r>
      <w:r>
        <w:rPr>
          <w:rtl w:val="true"/>
        </w:rPr>
        <w:t>)</w:t>
      </w:r>
      <w:r>
        <w:rPr>
          <w:rFonts w:cs="Century" w:ascii="Century" w:hAnsi="Century"/>
          <w:sz w:val="22"/>
          <w:rtl w:val="true"/>
        </w:rPr>
        <w:t xml:space="preserve">; </w:t>
      </w:r>
      <w:hyperlink r:id="rId2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4360/15</w:t>
        </w:r>
      </w:hyperlink>
      <w:r>
        <w:rPr>
          <w:rFonts w:cs="Century" w:ascii="Century" w:hAnsi="Century"/>
          <w:sz w:val="22"/>
          <w:rtl w:val="true"/>
        </w:rPr>
        <w:t xml:space="preserve"> </w:t>
      </w:r>
      <w:r>
        <w:rPr>
          <w:rFonts w:cs="Times New Roman;Times New Roman" w:ascii="Times New Roman;Times New Roman" w:hAnsi="Times New Roman;Times New Roman"/>
          <w:sz w:val="22"/>
          <w:rtl w:val="true"/>
        </w:rPr>
        <w:t>‏‏</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Style w:val="Ruller5"/>
          <w:rtl w:val="true"/>
        </w:rPr>
        <w:t xml:space="preserve">, </w:t>
      </w:r>
      <w:r>
        <w:rPr>
          <w:rStyle w:val="Ruller5"/>
          <w:rFonts w:cs="David;Times New Roman" w:ascii="Times New Roman;Times New Roman" w:hAnsi="Times New Roman;Times New Roman"/>
          <w:spacing w:val="0"/>
          <w:szCs w:val="24"/>
          <w:rtl w:val="true"/>
        </w:rPr>
        <w:t>[</w:t>
      </w:r>
      <w:r>
        <w:rPr>
          <w:rStyle w:val="Ruller5"/>
          <w:rFonts w:ascii="Times New Roman;Times New Roman" w:hAnsi="Times New Roman;Times New Roman" w:cs="David;Times New Roman"/>
          <w:spacing w:val="0"/>
          <w:szCs w:val="24"/>
          <w:rtl w:val="true"/>
        </w:rPr>
        <w:t>פורסם</w:t>
      </w:r>
      <w:r>
        <w:rPr>
          <w:rStyle w:val="Ruller5"/>
          <w:rFonts w:ascii="Times New Roman;Times New Roman" w:hAnsi="Times New Roman;Times New Roman" w:cs="Times New Roman;Times New Roman"/>
          <w:spacing w:val="0"/>
          <w:szCs w:val="24"/>
          <w:rtl w:val="true"/>
        </w:rPr>
        <w:t xml:space="preserve"> </w:t>
      </w:r>
      <w:r>
        <w:rPr>
          <w:rStyle w:val="Ruller5"/>
          <w:rFonts w:ascii="Times New Roman;Times New Roman" w:hAnsi="Times New Roman;Times New Roman" w:cs="David;Times New Roman"/>
          <w:spacing w:val="0"/>
          <w:szCs w:val="24"/>
          <w:rtl w:val="true"/>
        </w:rPr>
        <w:t>בנבו</w:t>
      </w:r>
      <w:r>
        <w:rPr>
          <w:rStyle w:val="Ruller5"/>
          <w:rFonts w:cs="David;Times New Roman" w:ascii="Times New Roman;Times New Roman" w:hAnsi="Times New Roman;Times New Roman"/>
          <w:spacing w:val="0"/>
          <w:szCs w:val="24"/>
          <w:rtl w:val="true"/>
        </w:rPr>
        <w:t xml:space="preserve">] </w:t>
      </w:r>
      <w:r>
        <w:rPr>
          <w:rStyle w:val="Ruller5"/>
          <w:rtl w:val="true"/>
        </w:rPr>
        <w:t>פסקה</w:t>
      </w:r>
      <w:r>
        <w:rPr>
          <w:rStyle w:val="Ruller5"/>
          <w:rtl w:val="true"/>
        </w:rPr>
        <w:t xml:space="preserve"> </w:t>
      </w:r>
      <w:r>
        <w:rPr>
          <w:rStyle w:val="Ruller5"/>
        </w:rPr>
        <w:t>9</w:t>
      </w:r>
      <w:r>
        <w:rPr>
          <w:rStyle w:val="Ruller5"/>
          <w:rtl w:val="true"/>
        </w:rPr>
        <w:t xml:space="preserve"> (</w:t>
      </w:r>
      <w:r>
        <w:rPr/>
        <w:t>8.3.2017</w:t>
      </w:r>
      <w:r>
        <w:rPr>
          <w:rtl w:val="true"/>
        </w:rPr>
        <w:t xml:space="preserve">); </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3809/15</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פסקה</w:t>
      </w:r>
      <w:r>
        <w:rPr>
          <w:rtl w:val="true"/>
        </w:rPr>
        <w:t xml:space="preserve"> </w:t>
      </w:r>
      <w:r>
        <w:rPr/>
        <w:t>9</w:t>
      </w:r>
      <w:r>
        <w:rPr>
          <w:rtl w:val="true"/>
        </w:rPr>
        <w:t xml:space="preserve"> (</w:t>
      </w:r>
      <w:r>
        <w:rPr/>
        <w:t>9.8.2016</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המעשים שביצע המערער במתלוננת בהיותה קטינה כבת </w:t>
      </w:r>
      <w:r>
        <w:rPr/>
        <w:t>12</w:t>
      </w:r>
      <w:r>
        <w:rPr>
          <w:rtl w:val="true"/>
        </w:rPr>
        <w:t xml:space="preserve"> </w:t>
      </w:r>
      <w:r>
        <w:rPr>
          <w:rtl w:val="true"/>
        </w:rPr>
        <w:t>שנים ובהמשך</w:t>
      </w:r>
      <w:r>
        <w:rPr>
          <w:rtl w:val="true"/>
        </w:rPr>
        <w:t xml:space="preserve">, </w:t>
      </w:r>
      <w:r>
        <w:rPr>
          <w:rtl w:val="true"/>
        </w:rPr>
        <w:t xml:space="preserve">בהיותה כבת </w:t>
      </w:r>
      <w:r>
        <w:rPr/>
        <w:t>15</w:t>
      </w:r>
      <w:r>
        <w:rPr>
          <w:rtl w:val="true"/>
        </w:rPr>
        <w:t xml:space="preserve"> </w:t>
      </w:r>
      <w:r>
        <w:rPr>
          <w:rtl w:val="true"/>
        </w:rPr>
        <w:t>שנים</w:t>
      </w:r>
      <w:r>
        <w:rPr>
          <w:rtl w:val="true"/>
        </w:rPr>
        <w:t xml:space="preserve">, </w:t>
      </w:r>
      <w:r>
        <w:rPr>
          <w:rtl w:val="true"/>
        </w:rPr>
        <w:t>הם חמורים</w:t>
      </w:r>
      <w:r>
        <w:rPr>
          <w:rtl w:val="true"/>
        </w:rPr>
        <w:t xml:space="preserve">. </w:t>
      </w:r>
      <w:r>
        <w:rPr>
          <w:rtl w:val="true"/>
        </w:rPr>
        <w:t>מעשיו של המערער גרמו למתלוננת לנזקים קשים אשר ילוו אותה כל חייה ואשר עם השלכותיהם היא מתמודדת בהווה ותתמודד בעתיד</w:t>
      </w:r>
      <w:r>
        <w:rPr>
          <w:rtl w:val="true"/>
        </w:rPr>
        <w:t xml:space="preserve">, </w:t>
      </w:r>
      <w:r>
        <w:rPr>
          <w:rtl w:val="true"/>
        </w:rPr>
        <w:t>כפי שעולה מתסקיר נפגעת העבירה</w:t>
      </w:r>
      <w:r>
        <w:rPr>
          <w:rtl w:val="true"/>
        </w:rPr>
        <w:t xml:space="preserve">. </w:t>
      </w:r>
      <w:r>
        <w:rPr>
          <w:rtl w:val="true"/>
        </w:rPr>
        <w:t>במעשיו אלו</w:t>
      </w:r>
      <w:r>
        <w:rPr>
          <w:rtl w:val="true"/>
        </w:rPr>
        <w:t xml:space="preserve">, </w:t>
      </w:r>
      <w:r>
        <w:rPr>
          <w:rtl w:val="true"/>
        </w:rPr>
        <w:t>ניצל המערער בצורה בוטה ומעוררת שאט נפש</w:t>
      </w:r>
      <w:r>
        <w:rPr>
          <w:rtl w:val="true"/>
        </w:rPr>
        <w:t xml:space="preserve">, </w:t>
      </w:r>
      <w:r>
        <w:rPr>
          <w:rtl w:val="true"/>
        </w:rPr>
        <w:t>את יחסי האמון שרחשה לו המתלוננת בהיותו בן משפחה קרוב</w:t>
      </w:r>
      <w:r>
        <w:rPr>
          <w:rtl w:val="true"/>
        </w:rPr>
        <w:t xml:space="preserve">. </w:t>
      </w:r>
      <w:r>
        <w:rPr>
          <w:rtl w:val="true"/>
        </w:rPr>
        <w:t>לבד מהנזק הקשה שנגרם למתלוננת</w:t>
      </w:r>
      <w:r>
        <w:rPr>
          <w:rtl w:val="true"/>
        </w:rPr>
        <w:t xml:space="preserve">, </w:t>
      </w:r>
      <w:r>
        <w:rPr>
          <w:rtl w:val="true"/>
        </w:rPr>
        <w:t>אין להתעלם מהנזק ההיקפי הרב שגרם המערער במעשיו למשפחתה ובפרט</w:t>
      </w:r>
      <w:r>
        <w:rPr>
          <w:rtl w:val="true"/>
        </w:rPr>
        <w:t xml:space="preserve">, </w:t>
      </w:r>
      <w:r>
        <w:rPr>
          <w:rtl w:val="true"/>
        </w:rPr>
        <w:t xml:space="preserve">הנזק שגרם להוריה של </w:t>
      </w:r>
      <w:r>
        <w:rPr>
          <w:rtl w:val="true"/>
        </w:rPr>
        <w:t>המתלוננת</w:t>
      </w:r>
      <w:r>
        <w:rPr>
          <w:rtl w:val="true"/>
        </w:rPr>
        <w:t xml:space="preserve">, </w:t>
      </w:r>
      <w:r>
        <w:rPr>
          <w:rtl w:val="true"/>
        </w:rPr>
        <w:t>בשל</w:t>
      </w:r>
      <w:r>
        <w:rPr>
          <w:rtl w:val="true"/>
        </w:rPr>
        <w:t xml:space="preserve"> </w:t>
      </w:r>
      <w:r>
        <w:rPr>
          <w:rtl w:val="true"/>
        </w:rPr>
        <w:t>שיוכם</w:t>
      </w:r>
      <w:r>
        <w:rPr>
          <w:rtl w:val="true"/>
        </w:rPr>
        <w:t xml:space="preserve"> </w:t>
      </w:r>
      <w:r>
        <w:rPr>
          <w:rtl w:val="true"/>
        </w:rPr>
        <w:t>החברתי</w:t>
      </w:r>
      <w:r>
        <w:rPr>
          <w:rtl w:val="true"/>
        </w:rPr>
        <w:t>.</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בניגוד לטענות המערער</w:t>
      </w:r>
      <w:r>
        <w:rPr>
          <w:rtl w:val="true"/>
        </w:rPr>
        <w:t xml:space="preserve">, </w:t>
      </w:r>
      <w:r>
        <w:rPr>
          <w:rtl w:val="true"/>
        </w:rPr>
        <w:t>לא התעלם בית המשפט המחוזי בגזר דינו והתחשב לקולא בהיותו של המערער נעדר עבר פלילי</w:t>
      </w:r>
      <w:r>
        <w:rPr>
          <w:rtl w:val="true"/>
        </w:rPr>
        <w:t xml:space="preserve">; </w:t>
      </w:r>
      <w:r>
        <w:rPr>
          <w:rFonts w:ascii="FrankRuehl;Times New Roman" w:hAnsi="FrankRuehl;Times New Roman" w:cs="FrankRuehl;Times New Roman"/>
          <w:sz w:val="28"/>
          <w:sz w:val="28"/>
          <w:rtl w:val="true"/>
        </w:rPr>
        <w:t>בכך ש</w:t>
      </w:r>
      <w:r>
        <w:rPr>
          <w:rFonts w:ascii="FrankRuehl;Times New Roman" w:hAnsi="FrankRuehl;Times New Roman" w:cs="FrankRuehl;Times New Roman"/>
          <w:sz w:val="28"/>
          <w:sz w:val="28"/>
          <w:rtl w:val="true"/>
        </w:rPr>
        <w:t xml:space="preserve">הודה </w:t>
      </w:r>
      <w:r>
        <w:rPr>
          <w:rFonts w:ascii="FrankRuehl;Times New Roman" w:hAnsi="FrankRuehl;Times New Roman" w:cs="FrankRuehl;Times New Roman"/>
          <w:sz w:val="28"/>
          <w:sz w:val="28"/>
          <w:rtl w:val="true"/>
        </w:rPr>
        <w:t>וקיבל אחריות על מעשיו</w:t>
      </w:r>
      <w:r>
        <w:rPr>
          <w:rFonts w:cs="FrankRuehl;Times New Roman" w:ascii="FrankRuehl;Times New Roman" w:hAnsi="FrankRuehl;Times New Roman"/>
          <w:sz w:val="28"/>
          <w:rtl w:val="true"/>
        </w:rPr>
        <w:t xml:space="preserve">; </w:t>
      </w:r>
      <w:r>
        <w:rPr>
          <w:rFonts w:ascii="FrankRuehl;Times New Roman" w:hAnsi="FrankRuehl;Times New Roman" w:cs="FrankRuehl;Times New Roman"/>
          <w:sz w:val="28"/>
          <w:sz w:val="28"/>
          <w:rtl w:val="true"/>
        </w:rPr>
        <w:t xml:space="preserve">בכך </w:t>
      </w:r>
      <w:r>
        <w:rPr>
          <w:rFonts w:ascii="FrankRuehl;Times New Roman" w:hAnsi="FrankRuehl;Times New Roman" w:cs="FrankRuehl;Times New Roman"/>
          <w:sz w:val="28"/>
          <w:sz w:val="28"/>
          <w:rtl w:val="true"/>
        </w:rPr>
        <w:t xml:space="preserve">שהודייתו ייתרה </w:t>
      </w:r>
      <w:r>
        <w:rPr>
          <w:rFonts w:ascii="FrankRuehl;Times New Roman" w:hAnsi="FrankRuehl;Times New Roman" w:cs="FrankRuehl;Times New Roman"/>
          <w:sz w:val="28"/>
          <w:sz w:val="28"/>
          <w:rtl w:val="true"/>
        </w:rPr>
        <w:t>את עיקר חקירתה הנגדית של</w:t>
      </w:r>
      <w:r>
        <w:rPr>
          <w:rFonts w:ascii="FrankRuehl;Times New Roman" w:hAnsi="FrankRuehl;Times New Roman" w:cs="FrankRuehl;Times New Roman"/>
          <w:sz w:val="28"/>
          <w:sz w:val="28"/>
          <w:rtl w:val="true"/>
        </w:rPr>
        <w:t xml:space="preserve"> המתלוננת</w:t>
      </w:r>
      <w:r>
        <w:rPr>
          <w:rFonts w:ascii="FrankRuehl;Times New Roman" w:hAnsi="FrankRuehl;Times New Roman" w:cs="FrankRuehl;Times New Roman"/>
          <w:sz w:val="28"/>
          <w:sz w:val="28"/>
          <w:rtl w:val="true"/>
        </w:rPr>
        <w:t xml:space="preserve"> ובעדויות האופי החיוביות לגביו</w:t>
      </w:r>
      <w:r>
        <w:rPr>
          <w:rFonts w:cs="FrankRuehl;Times New Roman" w:ascii="FrankRuehl;Times New Roman" w:hAnsi="FrankRuehl;Times New Roman"/>
          <w:sz w:val="28"/>
          <w:rtl w:val="true"/>
        </w:rPr>
        <w:t>.</w:t>
      </w:r>
      <w:r>
        <w:rPr>
          <w:rtl w:val="true"/>
        </w:rPr>
        <w:t xml:space="preserve"> </w:t>
      </w:r>
      <w:r>
        <w:rPr>
          <w:rtl w:val="true"/>
        </w:rPr>
        <w:t>לצד שיקולים אלו</w:t>
      </w:r>
      <w:r>
        <w:rPr>
          <w:rtl w:val="true"/>
        </w:rPr>
        <w:t xml:space="preserve">, </w:t>
      </w:r>
      <w:r>
        <w:rPr>
          <w:rtl w:val="true"/>
        </w:rPr>
        <w:t>הדגיש בית המשפט את חומרתן של העבירות שביצע המערער כלפי המתלוננת בחמישה אירועים שונים</w:t>
      </w:r>
      <w:r>
        <w:rPr>
          <w:rtl w:val="true"/>
        </w:rPr>
        <w:t xml:space="preserve">, </w:t>
      </w:r>
      <w:r>
        <w:rPr>
          <w:rtl w:val="true"/>
        </w:rPr>
        <w:t>כמו גם את הנזקים הכבדים שנגרמו למתלוננת</w:t>
      </w:r>
      <w:r>
        <w:rPr>
          <w:rtl w:val="true"/>
        </w:rPr>
        <w:t xml:space="preserve">. </w:t>
      </w:r>
      <w:r>
        <w:rPr>
          <w:rtl w:val="true"/>
        </w:rPr>
        <w:t>יוער</w:t>
      </w:r>
      <w:r>
        <w:rPr>
          <w:rtl w:val="true"/>
        </w:rPr>
        <w:t xml:space="preserve">, </w:t>
      </w:r>
      <w:r>
        <w:rPr>
          <w:rtl w:val="true"/>
        </w:rPr>
        <w:t>כי טענתו החוזרת של המערער המבקש להיסמך על דברי המתלוננת לפיהם היא נ</w:t>
      </w:r>
      <w:r>
        <w:rPr>
          <w:rtl w:val="true"/>
        </w:rPr>
        <w:t>ערה</w:t>
      </w:r>
      <w:r>
        <w:rPr>
          <w:rtl w:val="true"/>
        </w:rPr>
        <w:t xml:space="preserve"> </w:t>
      </w:r>
      <w:r>
        <w:rPr>
          <w:rtl w:val="true"/>
        </w:rPr>
        <w:t>'</w:t>
      </w:r>
      <w:r>
        <w:rPr>
          <w:rtl w:val="true"/>
        </w:rPr>
        <w:t>שמחה</w:t>
      </w:r>
      <w:r>
        <w:rPr>
          <w:rtl w:val="true"/>
        </w:rPr>
        <w:t xml:space="preserve"> </w:t>
      </w:r>
      <w:r>
        <w:rPr>
          <w:rtl w:val="true"/>
        </w:rPr>
        <w:t>ומאושרת</w:t>
      </w:r>
      <w:r>
        <w:rPr>
          <w:rtl w:val="true"/>
        </w:rPr>
        <w:t>'</w:t>
      </w:r>
      <w:r>
        <w:rPr>
          <w:rtl w:val="true"/>
        </w:rPr>
        <w:t xml:space="preserve">, </w:t>
      </w:r>
      <w:r>
        <w:rPr>
          <w:rtl w:val="true"/>
        </w:rPr>
        <w:t xml:space="preserve">היא טענה צורמת ומקוממת ובצדק </w:t>
      </w:r>
      <w:r>
        <w:rPr>
          <w:rtl w:val="true"/>
        </w:rPr>
        <w:t>נדח</w:t>
      </w:r>
      <w:r>
        <w:rPr>
          <w:rtl w:val="true"/>
        </w:rPr>
        <w:t xml:space="preserve">תה </w:t>
      </w:r>
      <w:r>
        <w:rPr>
          <w:rtl w:val="true"/>
        </w:rPr>
        <w:t>על</w:t>
      </w:r>
      <w:r>
        <w:rPr>
          <w:rtl w:val="true"/>
        </w:rPr>
        <w:t xml:space="preserve"> </w:t>
      </w:r>
      <w:r>
        <w:rPr>
          <w:rtl w:val="true"/>
        </w:rPr>
        <w:t>ידי</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המחוזי</w:t>
      </w:r>
      <w:r>
        <w:rPr>
          <w:rtl w:val="true"/>
        </w:rPr>
        <w:t xml:space="preserve"> </w:t>
      </w:r>
      <w:r>
        <w:rPr>
          <w:rtl w:val="true"/>
        </w:rPr>
        <w:t>וה</w:t>
      </w:r>
      <w:r>
        <w:rPr>
          <w:rtl w:val="true"/>
        </w:rPr>
        <w:t>יא</w:t>
      </w:r>
      <w:r>
        <w:rPr>
          <w:rtl w:val="true"/>
        </w:rPr>
        <w:t xml:space="preserve"> </w:t>
      </w:r>
      <w:r>
        <w:rPr>
          <w:rtl w:val="true"/>
        </w:rPr>
        <w:t>אף</w:t>
      </w:r>
      <w:r>
        <w:rPr>
          <w:rtl w:val="true"/>
        </w:rPr>
        <w:t xml:space="preserve"> </w:t>
      </w:r>
      <w:r>
        <w:rPr>
          <w:rtl w:val="true"/>
        </w:rPr>
        <w:t>מעל</w:t>
      </w:r>
      <w:r>
        <w:rPr>
          <w:rtl w:val="true"/>
        </w:rPr>
        <w:t>ה</w:t>
      </w:r>
      <w:r>
        <w:rPr>
          <w:rtl w:val="true"/>
        </w:rPr>
        <w:t xml:space="preserve"> </w:t>
      </w:r>
      <w:r>
        <w:rPr>
          <w:rtl w:val="true"/>
        </w:rPr>
        <w:t>תהייה</w:t>
      </w:r>
      <w:r>
        <w:rPr>
          <w:rtl w:val="true"/>
        </w:rPr>
        <w:t xml:space="preserve"> </w:t>
      </w:r>
      <w:r>
        <w:rPr>
          <w:rtl w:val="true"/>
        </w:rPr>
        <w:t>ביחס</w:t>
      </w:r>
      <w:r>
        <w:rPr>
          <w:rtl w:val="true"/>
        </w:rPr>
        <w:t xml:space="preserve"> </w:t>
      </w:r>
      <w:r>
        <w:rPr>
          <w:rtl w:val="true"/>
        </w:rPr>
        <w:t>ל</w:t>
      </w:r>
      <w:r>
        <w:rPr>
          <w:rtl w:val="true"/>
        </w:rPr>
        <w:t>כנות חרטתו ול</w:t>
      </w:r>
      <w:r>
        <w:rPr>
          <w:rtl w:val="true"/>
        </w:rPr>
        <w:t>לקיחת</w:t>
      </w:r>
      <w:r>
        <w:rPr>
          <w:rtl w:val="true"/>
        </w:rPr>
        <w:t xml:space="preserve"> </w:t>
      </w:r>
      <w:r>
        <w:rPr>
          <w:rtl w:val="true"/>
        </w:rPr>
        <w:t>אחריות</w:t>
      </w:r>
      <w:r>
        <w:rPr>
          <w:rtl w:val="true"/>
        </w:rPr>
        <w:t xml:space="preserve"> </w:t>
      </w:r>
      <w:r>
        <w:rPr>
          <w:rtl w:val="true"/>
        </w:rPr>
        <w:t>על</w:t>
      </w:r>
      <w:r>
        <w:rPr>
          <w:rtl w:val="true"/>
        </w:rPr>
        <w:t xml:space="preserve"> </w:t>
      </w:r>
      <w:r>
        <w:rPr>
          <w:rtl w:val="true"/>
        </w:rPr>
        <w:t>מעשיו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אשר ל</w:t>
      </w:r>
      <w:r>
        <w:rPr>
          <w:rtl w:val="true"/>
        </w:rPr>
        <w:t>שיעור ה</w:t>
      </w:r>
      <w:r>
        <w:rPr>
          <w:rtl w:val="true"/>
        </w:rPr>
        <w:t>פיצוי</w:t>
      </w:r>
      <w:r>
        <w:rPr>
          <w:rtl w:val="true"/>
        </w:rPr>
        <w:t xml:space="preserve"> שנפסק לטובת המתלוננת</w:t>
      </w:r>
      <w:r>
        <w:rPr>
          <w:rtl w:val="true"/>
        </w:rPr>
        <w:t xml:space="preserve">, </w:t>
      </w:r>
      <w:r>
        <w:rPr>
          <w:rtl w:val="true"/>
        </w:rPr>
        <w:t>הרי שככלל</w:t>
      </w:r>
      <w:r>
        <w:rPr>
          <w:rtl w:val="true"/>
        </w:rPr>
        <w:t xml:space="preserve"> ערכאת הערעור אינה נוהגת להתערב בשיקול דעתה של הערכאה הדיונית בקביעת הפיצוי לנפגע העבירה</w:t>
      </w:r>
      <w:r>
        <w:rPr>
          <w:rtl w:val="true"/>
        </w:rPr>
        <w:t xml:space="preserve">, </w:t>
      </w:r>
      <w:r>
        <w:rPr>
          <w:rtl w:val="true"/>
        </w:rPr>
        <w:t xml:space="preserve">אלא במקרים </w:t>
      </w:r>
      <w:r>
        <w:rPr>
          <w:rtl w:val="true"/>
        </w:rPr>
        <w:t>חריגים</w:t>
      </w:r>
      <w:r>
        <w:rPr>
          <w:rtl w:val="true"/>
        </w:rPr>
        <w:t xml:space="preserve"> בהם </w:t>
      </w:r>
      <w:r>
        <w:rPr>
          <w:rtl w:val="true"/>
        </w:rPr>
        <w:t>סטתה</w:t>
      </w:r>
      <w:r>
        <w:rPr>
          <w:rtl w:val="true"/>
        </w:rPr>
        <w:t xml:space="preserve"> הערכאה הדיונית באופן</w:t>
      </w:r>
      <w:r>
        <w:rPr>
          <w:rFonts w:ascii="Century" w:hAnsi="Century" w:cs="Century"/>
          <w:sz w:val="22"/>
          <w:sz w:val="22"/>
          <w:rtl w:val="true"/>
        </w:rPr>
        <w:t xml:space="preserve"> </w:t>
      </w:r>
      <w:r>
        <w:rPr>
          <w:rFonts w:ascii="Century" w:hAnsi="Century" w:cs="Century"/>
          <w:sz w:val="22"/>
          <w:sz w:val="22"/>
          <w:rtl w:val="true"/>
        </w:rPr>
        <w:t>קיצוני</w:t>
      </w:r>
      <w:r>
        <w:rPr>
          <w:rtl w:val="true"/>
        </w:rPr>
        <w:t xml:space="preserve"> משיעור הפיצוי הראוי </w:t>
      </w:r>
      <w:r>
        <w:rPr>
          <w:rtl w:val="true"/>
        </w:rPr>
        <w:t>(</w:t>
      </w:r>
      <w:hyperlink r:id="rId3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9399/16</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8</w:t>
      </w:r>
      <w:r>
        <w:rPr>
          <w:rtl w:val="true"/>
        </w:rPr>
        <w:t xml:space="preserve"> </w:t>
      </w:r>
      <w:r>
        <w:rPr>
          <w:rFonts w:cs="FrankRuehl;Times New Roman" w:ascii="FrankRuehl;Times New Roman" w:hAnsi="FrankRuehl;Times New Roman"/>
          <w:sz w:val="28"/>
          <w:rtl w:val="true"/>
        </w:rPr>
        <w:t>(‏</w:t>
      </w:r>
      <w:r>
        <w:rPr>
          <w:rFonts w:cs="FrankRuehl;Times New Roman" w:ascii="FrankRuehl;Times New Roman" w:hAnsi="FrankRuehl;Times New Roman"/>
          <w:sz w:val="28"/>
        </w:rPr>
        <w:t>13.7.2017</w:t>
      </w:r>
      <w:r>
        <w:rPr>
          <w:rFonts w:cs="FrankRuehl;Times New Roman" w:ascii="FrankRuehl;Times New Roman" w:hAnsi="FrankRuehl;Times New Roman"/>
          <w:sz w:val="28"/>
          <w:rtl w:val="true"/>
        </w:rPr>
        <w:t>)</w:t>
      </w:r>
      <w:r>
        <w:rPr>
          <w:rtl w:val="true"/>
        </w:rPr>
        <w:t xml:space="preserve">). </w:t>
      </w:r>
      <w:r>
        <w:rPr>
          <w:rtl w:val="true"/>
        </w:rPr>
        <w:t>שיעור הפיצוי שנפסק לטובת המתלוננת אינו מצדיק התערבות וזאת</w:t>
      </w:r>
      <w:r>
        <w:rPr>
          <w:rtl w:val="true"/>
        </w:rPr>
        <w:t xml:space="preserve">, </w:t>
      </w:r>
      <w:r>
        <w:rPr>
          <w:rtl w:val="true"/>
        </w:rPr>
        <w:t>בין ה</w:t>
      </w:r>
      <w:r>
        <w:rPr>
          <w:rtl w:val="true"/>
        </w:rPr>
        <w:t>שאר</w:t>
      </w:r>
      <w:r>
        <w:rPr>
          <w:rtl w:val="true"/>
        </w:rPr>
        <w:t xml:space="preserve">, </w:t>
      </w:r>
      <w:r>
        <w:rPr>
          <w:rtl w:val="true"/>
        </w:rPr>
        <w:t>על רקע</w:t>
      </w:r>
      <w:r>
        <w:rPr>
          <w:rtl w:val="true"/>
        </w:rPr>
        <w:t xml:space="preserve"> ההערכה בתסקיר נפגעת העבירה באשר לעוצמת הפגיעה הנפשית במתלוננת </w:t>
      </w:r>
      <w:r>
        <w:rPr>
          <w:rtl w:val="true"/>
        </w:rPr>
        <w:t>אשר מצריכה</w:t>
      </w:r>
      <w:r>
        <w:rPr>
          <w:rtl w:val="true"/>
        </w:rPr>
        <w:t xml:space="preserve"> שנים של טיפול ושיקום על כל המשאבים הפיזיים</w:t>
      </w:r>
      <w:r>
        <w:rPr>
          <w:rtl w:val="true"/>
        </w:rPr>
        <w:t xml:space="preserve">, </w:t>
      </w:r>
      <w:r>
        <w:rPr>
          <w:rtl w:val="true"/>
        </w:rPr>
        <w:t>הנפשיים והכלכליים הכרוכים בכך</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סוף דבר</w:t>
      </w:r>
      <w:r>
        <w:rPr>
          <w:rtl w:val="true"/>
        </w:rPr>
        <w:t xml:space="preserve">, </w:t>
      </w:r>
      <w:r>
        <w:rPr>
          <w:rtl w:val="true"/>
        </w:rPr>
        <w:t>הערעור נדחה</w:t>
      </w:r>
      <w:r>
        <w:rPr>
          <w:rtl w:val="true"/>
        </w:rPr>
        <w:t xml:space="preserve">. </w:t>
      </w:r>
    </w:p>
    <w:p>
      <w:pPr>
        <w:pStyle w:val="Ruller41"/>
        <w:ind w:end="0"/>
        <w:jc w:val="both"/>
        <w:rPr/>
      </w:pPr>
      <w:r>
        <w:rPr>
          <w:rtl w:val="true"/>
        </w:rPr>
      </w:r>
    </w:p>
    <w:p>
      <w:pPr>
        <w:pStyle w:val="Ruller41"/>
        <w:ind w:end="0"/>
        <w:jc w:val="both"/>
        <w:rPr/>
      </w:pPr>
      <w:bookmarkStart w:id="17"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ט</w:t>
      </w:r>
      <w:r>
        <w:rPr>
          <w:rtl w:val="true"/>
        </w:rPr>
        <w:t>"</w:t>
      </w:r>
      <w:r>
        <w:rPr>
          <w:rtl w:val="true"/>
        </w:rPr>
        <w:t>ו</w:t>
      </w:r>
      <w:r>
        <w:rPr>
          <w:rFonts w:eastAsia="Arial TUR;Arial" w:cs="Arial TUR;Arial"/>
          <w:rtl w:val="true"/>
        </w:rPr>
        <w:t xml:space="preserve"> </w:t>
      </w:r>
      <w:r>
        <w:rPr>
          <w:rtl w:val="true"/>
        </w:rPr>
        <w:t>בחשון</w:t>
      </w:r>
      <w:r>
        <w:rPr>
          <w:rFonts w:eastAsia="Arial TUR;Arial" w:cs="Arial TUR;Arial"/>
          <w:rtl w:val="true"/>
        </w:rPr>
        <w:t xml:space="preserve"> </w:t>
      </w:r>
      <w:r>
        <w:rPr>
          <w:rtl w:val="true"/>
        </w:rPr>
        <w:t>התש</w:t>
      </w:r>
      <w:r>
        <w:rPr>
          <w:rtl w:val="true"/>
        </w:rPr>
        <w:t>"</w:t>
      </w:r>
      <w:r>
        <w:rPr>
          <w:rtl w:val="true"/>
        </w:rPr>
        <w:t>ף</w:t>
      </w:r>
      <w:r>
        <w:rPr>
          <w:rFonts w:eastAsia="Arial TUR;Arial" w:cs="Arial TUR;Arial"/>
          <w:rtl w:val="true"/>
        </w:rPr>
        <w:t xml:space="preserve"> </w:t>
      </w:r>
      <w:r>
        <w:rPr>
          <w:rtl w:val="true"/>
        </w:rPr>
        <w:t>(‏</w:t>
      </w:r>
      <w:r>
        <w:rPr/>
        <w:t>13.11.2019</w:t>
      </w:r>
      <w:r>
        <w:rPr>
          <w:rtl w:val="true"/>
        </w:rPr>
        <w:t xml:space="preserve">). </w:t>
      </w:r>
      <w:bookmarkEnd w:id="17"/>
    </w:p>
    <w:p>
      <w:pPr>
        <w:pStyle w:val="Ruller41"/>
        <w:ind w:end="0"/>
        <w:jc w:val="both"/>
        <w:rPr/>
      </w:pPr>
      <w:r>
        <w:rPr>
          <w:rtl w:val="true"/>
        </w:rPr>
      </w:r>
    </w:p>
    <w:p>
      <w:pPr>
        <w:pStyle w:val="Ruller41"/>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1"/>
              <w:ind w:end="0"/>
              <w:jc w:val="both"/>
              <w:rPr/>
            </w:pPr>
            <w:r>
              <w:rPr>
                <w:color w:val="FFFFFF"/>
                <w:sz w:val="2"/>
                <w:szCs w:val="2"/>
              </w:rPr>
              <w:t>54678313</w:t>
            </w:r>
            <w:r>
              <w:rPr>
                <w:rtl w:val="true"/>
              </w:rPr>
              <w:t xml:space="preserve"> </w:t>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c>
          <w:tcPr>
            <w:tcW w:w="2788"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19025380</w:t>
      </w:r>
      <w:r>
        <w:rPr>
          <w:sz w:val="16"/>
          <w:rtl w:val="true"/>
        </w:rPr>
        <w:t>_</w:t>
      </w:r>
      <w:r>
        <w:rPr>
          <w:sz w:val="16"/>
        </w:rPr>
        <w:t>Q06.docx</w:t>
      </w:r>
      <w:r>
        <w:rPr>
          <w:sz w:val="16"/>
          <w:rtl w:val="true"/>
        </w:rPr>
        <w:t xml:space="preserve">   </w:t>
      </w:r>
      <w:r>
        <w:rPr>
          <w:sz w:val="16"/>
          <w:sz w:val="16"/>
          <w:rtl w:val="true"/>
        </w:rPr>
        <w:t>יל</w:t>
      </w:r>
      <w:r>
        <w:rPr>
          <w:rtl w:val="true"/>
        </w:rPr>
        <w:t>+</w:t>
      </w:r>
      <w:r>
        <w:rPr>
          <w:rtl w:val="true"/>
        </w:rPr>
        <w:t>סח</w:t>
      </w:r>
    </w:p>
    <w:p>
      <w:pPr>
        <w:pStyle w:val="Ruller381"/>
        <w:ind w:end="0"/>
        <w:jc w:val="start"/>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32">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י</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עמית </w:t>
      </w:r>
      <w:r>
        <w:rPr>
          <w:rFonts w:cs="David;Times New Roman" w:ascii="David;Times New Roman" w:hAnsi="David;Times New Roman"/>
          <w:color w:val="000000"/>
          <w:szCs w:val="22"/>
        </w:rPr>
        <w:t>54678313-2538/19</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3">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4"/>
      <w:footerReference w:type="default" r:id="rId35"/>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Century">
    <w:charset w:val="00" w:characterSet="windows-1252"/>
    <w:family w:val="roman"/>
    <w:pitch w:val="variable"/>
  </w:font>
  <w:font w:name="FrankRuehl">
    <w:altName w:val="Times New Roman"/>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Times New Roman" w:hAnsi="FrankRuehl;Times New Roman" w:cs="FrankRuehl;Times New Roman"/>
        <w:sz w:val="24"/>
      </w:rPr>
    </w:pPr>
    <w:r>
      <w:rPr>
        <w:rFonts w:cs="FrankRuehl;Times New Roman" w:ascii="FrankRuehl;Times New Roman" w:hAnsi="FrankRuehl;Times New Roman"/>
        <w:sz w:val="24"/>
        <w:rtl w:val="true"/>
      </w:rPr>
      <w:fldChar w:fldCharType="begin"/>
    </w:r>
    <w:r>
      <w:rPr>
        <w:rtl w:val="true"/>
        <w:sz w:val="24"/>
        <w:rFonts w:cs="FrankRuehl;Times New Roman" w:ascii="FrankRuehl;Times New Roman" w:hAnsi="FrankRuehl;Times New Roman"/>
      </w:rPr>
      <w:instrText xml:space="preserve"> PAGE </w:instrText>
    </w:r>
    <w:r>
      <w:rPr>
        <w:rtl w:val="true"/>
        <w:sz w:val="24"/>
        <w:rFonts w:cs="FrankRuehl;Times New Roman" w:ascii="FrankRuehl;Times New Roman" w:hAnsi="FrankRuehl;Times New Roman"/>
      </w:rPr>
      <w:fldChar w:fldCharType="separate"/>
    </w:r>
    <w:r>
      <w:rPr>
        <w:rtl w:val="true"/>
        <w:sz w:val="24"/>
        <w:rFonts w:cs="FrankRuehl;Times New Roman" w:ascii="FrankRuehl;Times New Roman" w:hAnsi="FrankRuehl;Times New Roman"/>
      </w:rPr>
      <w:t>8</w:t>
    </w:r>
    <w:r>
      <w:rPr>
        <w:rtl w:val="true"/>
        <w:sz w:val="24"/>
        <w:rFonts w:cs="FrankRuehl;Times New Roman" w:ascii="FrankRuehl;Times New Roman" w:hAnsi="FrankRuehl;Times New Roman"/>
      </w:rPr>
      <w:fldChar w:fldCharType="end"/>
    </w:r>
  </w:p>
  <w:p>
    <w:pPr>
      <w:pStyle w:val="Footer"/>
      <w:pBdr>
        <w:top w:val="single" w:sz="4" w:space="1" w:color="000000"/>
      </w:pBdr>
      <w:spacing w:before="0" w:after="60"/>
      <w:ind w:end="0"/>
      <w:jc w:val="center"/>
      <w:rPr>
        <w:rFonts w:ascii="FrankRuehl;Times New Roman" w:hAnsi="FrankRuehl;Times New Roman" w:cs="FrankRuehl;Times New Roman"/>
        <w:color w:val="000000"/>
        <w:sz w:val="24"/>
        <w:lang w:val="en-IL" w:eastAsia="en-IL"/>
      </w:rPr>
    </w:pPr>
    <w:r>
      <w:rPr>
        <w:rFonts w:cs="FrankRuehl;Times New Roman" w:ascii="FrankRuehl;Times New Roman" w:hAnsi="FrankRuehl;Times New Roman"/>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2538/19</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פלוני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z w:val="24"/>
        <w:szCs w:val="24"/>
        <w:rFonts w:cs="FrankRuehl;Times New Roman"/>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cs="FrankRuehl;Times New Roman"/>
      <w:sz w:val="24"/>
      <w:szCs w:val="24"/>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Times New Roman"/>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character" w:styleId="Ruller4">
    <w:name w:val="Ruller4 תו"/>
    <w:qFormat/>
    <w:rPr>
      <w:rFonts w:ascii="Arial TUR;Arial" w:hAnsi="Arial TUR;Arial" w:cs="FrankRuehl;Times New Roman"/>
      <w:spacing w:val="10"/>
      <w:sz w:val="22"/>
      <w:szCs w:val="28"/>
    </w:rPr>
  </w:style>
  <w:style w:type="character" w:styleId="Ruller5">
    <w:name w:val="Ruller5 תו"/>
    <w:qFormat/>
    <w:rPr>
      <w:rFonts w:ascii="Arial TUR;Arial" w:hAnsi="Arial TUR;Arial" w:cs="FrankRuehl;Times New Roman"/>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Times New Roman"/>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Times New Roman"/>
      <w:spacing w:val="10"/>
      <w:sz w:val="22"/>
      <w:szCs w:val="28"/>
    </w:rPr>
  </w:style>
  <w:style w:type="paragraph" w:styleId="Ruller51">
    <w:name w:val="Ruller5"/>
    <w:basedOn w:val="Normal"/>
    <w:qFormat/>
    <w:pPr>
      <w:ind w:hanging="0" w:start="1642" w:end="1282"/>
      <w:jc w:val="both"/>
    </w:pPr>
    <w:rPr>
      <w:rFonts w:ascii="Arial TUR;Arial" w:hAnsi="Arial TUR;Arial" w:cs="FrankRuehl;Times New Roman"/>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Times New Roman"/>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ruller411">
    <w:name w:val="ruller41"/>
    <w:basedOn w:val="Normal"/>
    <w:qFormat/>
    <w:pPr>
      <w:spacing w:lineRule="auto" w:line="360"/>
      <w:jc w:val="both"/>
      <w:textAlignment w:val="auto"/>
    </w:pPr>
    <w:rPr>
      <w:rFonts w:ascii="Arial TUR;Arial" w:hAnsi="Arial TUR;Arial" w:cs="Arial TUR;Arial"/>
      <w:spacing w:val="10"/>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45.a.1" TargetMode="External"/><Relationship Id="rId4" Type="http://schemas.openxmlformats.org/officeDocument/2006/relationships/hyperlink" Target="http://www.nevo.co.il/law/70301/345.a.3" TargetMode="External"/><Relationship Id="rId5" Type="http://schemas.openxmlformats.org/officeDocument/2006/relationships/hyperlink" Target="http://www.nevo.co.il/law/70301/345.b.1" TargetMode="External"/><Relationship Id="rId6" Type="http://schemas.openxmlformats.org/officeDocument/2006/relationships/hyperlink" Target="http://www.nevo.co.il/law/70301/347.b" TargetMode="External"/><Relationship Id="rId7" Type="http://schemas.openxmlformats.org/officeDocument/2006/relationships/hyperlink" Target="http://www.nevo.co.il/law/70301/348.a" TargetMode="External"/><Relationship Id="rId8" Type="http://schemas.openxmlformats.org/officeDocument/2006/relationships/hyperlink" Target="http://www.nevo.co.il/law/70301/348.b" TargetMode="External"/><Relationship Id="rId9" Type="http://schemas.openxmlformats.org/officeDocument/2006/relationships/hyperlink" Target="http://www.nevo.co.il/law/70301/351.a" TargetMode="External"/><Relationship Id="rId10" Type="http://schemas.openxmlformats.org/officeDocument/2006/relationships/hyperlink" Target="http://www.nevo.co.il/law/70301/351.c.1" TargetMode="External"/><Relationship Id="rId11" Type="http://schemas.openxmlformats.org/officeDocument/2006/relationships/hyperlink" Target="http://www.nevo.co.il/law/70301/351.c.2" TargetMode="External"/><Relationship Id="rId12" Type="http://schemas.openxmlformats.org/officeDocument/2006/relationships/hyperlink" Target="http://www.nevo.co.il/law/70301/351.a" TargetMode="External"/><Relationship Id="rId13" Type="http://schemas.openxmlformats.org/officeDocument/2006/relationships/hyperlink" Target="http://www.nevo.co.il/law/70301/347.b" TargetMode="External"/><Relationship Id="rId14" Type="http://schemas.openxmlformats.org/officeDocument/2006/relationships/hyperlink" Target="http://www.nevo.co.il/law/70301/345.a.3"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351.c.1" TargetMode="External"/><Relationship Id="rId17" Type="http://schemas.openxmlformats.org/officeDocument/2006/relationships/hyperlink" Target="http://www.nevo.co.il/law/70301/348.a" TargetMode="External"/><Relationship Id="rId18" Type="http://schemas.openxmlformats.org/officeDocument/2006/relationships/hyperlink" Target="http://www.nevo.co.il/law/70301/345.a.3" TargetMode="External"/><Relationship Id="rId19" Type="http://schemas.openxmlformats.org/officeDocument/2006/relationships/hyperlink" Target="http://www.nevo.co.il/law/70301/351.c.2" TargetMode="External"/><Relationship Id="rId20" Type="http://schemas.openxmlformats.org/officeDocument/2006/relationships/hyperlink" Target="http://www.nevo.co.il/law/70301/348.b" TargetMode="External"/><Relationship Id="rId21" Type="http://schemas.openxmlformats.org/officeDocument/2006/relationships/hyperlink" Target="http://www.nevo.co.il/law/70301/345.b.1" TargetMode="External"/><Relationship Id="rId22" Type="http://schemas.openxmlformats.org/officeDocument/2006/relationships/hyperlink" Target="http://www.nevo.co.il/law/70301/345.a.1" TargetMode="External"/><Relationship Id="rId23" Type="http://schemas.openxmlformats.org/officeDocument/2006/relationships/hyperlink" Target="http://www.nevo.co.il/case/25860716" TargetMode="External"/><Relationship Id="rId24" Type="http://schemas.openxmlformats.org/officeDocument/2006/relationships/hyperlink" Target="http://www.nevo.co.il/case/21045726" TargetMode="External"/><Relationship Id="rId25" Type="http://schemas.openxmlformats.org/officeDocument/2006/relationships/hyperlink" Target="http://www.nevo.co.il/case/25604300" TargetMode="External"/><Relationship Id="rId26" Type="http://schemas.openxmlformats.org/officeDocument/2006/relationships/hyperlink" Target="http://www.nevo.co.il/case/21478626" TargetMode="External"/><Relationship Id="rId27" Type="http://schemas.openxmlformats.org/officeDocument/2006/relationships/hyperlink" Target="http://www.nevo.co.il/case/5988374" TargetMode="External"/><Relationship Id="rId28" Type="http://schemas.openxmlformats.org/officeDocument/2006/relationships/hyperlink" Target="http://www.nevo.co.il/case/21477218" TargetMode="External"/><Relationship Id="rId29" Type="http://schemas.openxmlformats.org/officeDocument/2006/relationships/hyperlink" Target="http://www.nevo.co.il/case/20963720" TargetMode="External"/><Relationship Id="rId30" Type="http://schemas.openxmlformats.org/officeDocument/2006/relationships/hyperlink" Target="http://www.nevo.co.il/case/21045726" TargetMode="External"/><Relationship Id="rId31" Type="http://schemas.openxmlformats.org/officeDocument/2006/relationships/hyperlink" Target="http://www.nevo.co.il/case/22303106" TargetMode="External"/><Relationship Id="rId32" Type="http://schemas.openxmlformats.org/officeDocument/2006/relationships/hyperlink" Target="http://supreme.court.gov.il/" TargetMode="External"/><Relationship Id="rId33" Type="http://schemas.openxmlformats.org/officeDocument/2006/relationships/hyperlink" Target="http://www.nevo.co.il/advertisements/nevo-100.doc"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2019-11-17T10:26:00Z</dcterms:created>
  <dc:creator>h4</dc:creator>
  <dc:description/>
  <cp:keywords/>
  <dc:language>en-IL</dc:language>
  <cp:lastModifiedBy>orly</cp:lastModifiedBy>
  <cp:lastPrinted>2019-11-13T15:07:00Z</cp:lastPrinted>
  <dcterms:modified xsi:type="dcterms:W3CDTF">2019-11-17T10:26:00Z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ישראל;פלונית</vt:lpwstr>
  </property>
  <property fmtid="{D5CDD505-2E9C-101B-9397-08002B2CF9AE}" pid="6" name="APPELLEE1">
    <vt:lpwstr/>
  </property>
  <property fmtid="{D5CDD505-2E9C-101B-9397-08002B2CF9AE}" pid="7" name="APPELLEE2">
    <vt:lpwstr/>
  </property>
  <property fmtid="{D5CDD505-2E9C-101B-9397-08002B2CF9AE}" pid="8" name="CASESLISTTMP1">
    <vt:lpwstr>25860716;21045726:2;25604300;21478626;5988374;21477218;20963720;22303106</vt:lpwstr>
  </property>
  <property fmtid="{D5CDD505-2E9C-101B-9397-08002B2CF9AE}" pid="9" name="CITY">
    <vt:lpwstr/>
  </property>
  <property fmtid="{D5CDD505-2E9C-101B-9397-08002B2CF9AE}" pid="10" name="DATE">
    <vt:lpwstr>20191113</vt:lpwstr>
  </property>
  <property fmtid="{D5CDD505-2E9C-101B-9397-08002B2CF9AE}" pid="11" name="DELEMATA">
    <vt:lpwstr/>
  </property>
  <property fmtid="{D5CDD505-2E9C-101B-9397-08002B2CF9AE}" pid="12" name="ISABSTRACT">
    <vt:lpwstr>Y</vt:lpwstr>
  </property>
  <property fmtid="{D5CDD505-2E9C-101B-9397-08002B2CF9AE}" pid="13" name="JUDGE">
    <vt:lpwstr>י' עמית;ג' קרא;א' חיות</vt:lpwstr>
  </property>
  <property fmtid="{D5CDD505-2E9C-101B-9397-08002B2CF9AE}" pid="14" name="LAWLISTTMP1">
    <vt:lpwstr>70301/351.a;347.b;345.a.3:2;351.c.1;348.a;351.c.2;348.b;345.b.1;345.a.1</vt:lpwstr>
  </property>
  <property fmtid="{D5CDD505-2E9C-101B-9397-08002B2CF9AE}" pid="15" name="LAWYER">
    <vt:lpwstr>רוני זלושינסקי;בועז קניג;אסתר גרשון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פאני</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עונשין</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77;77;77;77</vt:lpwstr>
  </property>
  <property fmtid="{D5CDD505-2E9C-101B-9397-08002B2CF9AE}" pid="37" name="NOSE21">
    <vt:lpwstr>ענישה</vt:lpwstr>
  </property>
  <property fmtid="{D5CDD505-2E9C-101B-9397-08002B2CF9AE}" pid="38" name="NOSE210">
    <vt:lpwstr/>
  </property>
  <property fmtid="{D5CDD505-2E9C-101B-9397-08002B2CF9AE}" pid="39" name="NOSE22">
    <vt:lpwstr>ענישה</vt:lpwstr>
  </property>
  <property fmtid="{D5CDD505-2E9C-101B-9397-08002B2CF9AE}" pid="40" name="NOSE23">
    <vt:lpwstr>ענישה</vt:lpwstr>
  </property>
  <property fmtid="{D5CDD505-2E9C-101B-9397-08002B2CF9AE}" pid="41" name="NOSE24">
    <vt:lpwstr>ענישה</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1446;1446;1446;1446</vt:lpwstr>
  </property>
  <property fmtid="{D5CDD505-2E9C-101B-9397-08002B2CF9AE}" pid="48" name="NOSE31">
    <vt:lpwstr>מדיניות ענישה: עבירות מין במשפחה</vt:lpwstr>
  </property>
  <property fmtid="{D5CDD505-2E9C-101B-9397-08002B2CF9AE}" pid="49" name="NOSE310">
    <vt:lpwstr/>
  </property>
  <property fmtid="{D5CDD505-2E9C-101B-9397-08002B2CF9AE}" pid="50" name="NOSE32">
    <vt:lpwstr>מדיניות ענישה: התערבות ערכאת ערעור</vt:lpwstr>
  </property>
  <property fmtid="{D5CDD505-2E9C-101B-9397-08002B2CF9AE}" pid="51" name="NOSE33">
    <vt:lpwstr>מדיניות ענישה: שיקולים</vt:lpwstr>
  </property>
  <property fmtid="{D5CDD505-2E9C-101B-9397-08002B2CF9AE}" pid="52" name="NOSE34">
    <vt:lpwstr>דרכי ענישה: פיצויים</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16241;8982;8994;8968</vt:lpwstr>
  </property>
  <property fmtid="{D5CDD505-2E9C-101B-9397-08002B2CF9AE}" pid="59" name="PADIDATE">
    <vt:lpwstr>20191117</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2538</vt:lpwstr>
  </property>
  <property fmtid="{D5CDD505-2E9C-101B-9397-08002B2CF9AE}" pid="65" name="PROCYEAR">
    <vt:lpwstr>19</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410120191113</vt:lpwstr>
  </property>
  <property fmtid="{D5CDD505-2E9C-101B-9397-08002B2CF9AE}" pid="69" name="TYPE_N_DATE">
    <vt:lpwstr>41020191113</vt:lpwstr>
  </property>
  <property fmtid="{D5CDD505-2E9C-101B-9397-08002B2CF9AE}" pid="70" name="VOLUME">
    <vt:lpwstr/>
  </property>
  <property fmtid="{D5CDD505-2E9C-101B-9397-08002B2CF9AE}" pid="71" name="WORDNUMPAGES">
    <vt:lpwstr>7</vt:lpwstr>
  </property>
</Properties>
</file>