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2541/17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David"/>
          <w:sz w:val="18"/>
          <w:szCs w:val="24"/>
        </w:rPr>
      </w:pPr>
      <w:r>
        <w:rPr>
          <w:rFonts w:cs="David"/>
          <w:sz w:val="18"/>
          <w:szCs w:val="2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43643-10-15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5.2.2017</w:t>
            </w:r>
          </w:p>
        </w:tc>
      </w:tr>
    </w:tbl>
    <w:p>
      <w:pPr>
        <w:pStyle w:val="Ruller31"/>
        <w:ind w:end="0"/>
        <w:jc w:val="start"/>
        <w:rPr>
          <w:rFonts w:cs="David"/>
          <w:sz w:val="18"/>
          <w:szCs w:val="24"/>
        </w:rPr>
      </w:pPr>
      <w:r>
        <w:rPr>
          <w:rFonts w:cs="David"/>
          <w:sz w:val="18"/>
          <w:szCs w:val="24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lin Gothic Medium" w:hAnsi="Franklin Gothic Medium" w:cs="Franklin Gothic Medium"/>
        </w:rPr>
      </w:pPr>
      <w:r>
        <w:rPr>
          <w:rFonts w:cs="Franklin Gothic Medium" w:ascii="Franklin Gothic Medium" w:hAnsi="Franklin Gothic Medium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הכניסה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סדר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הדין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הפלילי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ולביטחונו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ושהייה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ולביטחונו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שהרשעותיו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lin Gothic Medium" w:hAnsi="Franklin Gothic Medium" w:cs="Franklin Gothic Medium"/>
          <w:sz w:val="24"/>
          <w:szCs w:val="26"/>
        </w:rPr>
      </w:pPr>
      <w:r>
        <w:rPr>
          <w:rFonts w:cs="Franklin Gothic Medium" w:ascii="Franklin Gothic Medium" w:hAnsi="Franklin Gothic Medium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tl w:val="true"/>
        </w:rPr>
        <w:t xml:space="preserve">)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הורשע על יסוד הודאתו שניתנה במסגרת הסדר טיעון בעבירות של סיוע להחזקת נשק שלא כדין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tl w:val="true"/>
        </w:rPr>
        <w:t xml:space="preserve">,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ושהייה בלתי חוקית בישראל לפי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הכניסה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לישראל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1952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12.10.2015</w:t>
      </w:r>
      <w:r>
        <w:rPr>
          <w:rtl w:val="true"/>
        </w:rPr>
        <w:t xml:space="preserve"> </w:t>
      </w:r>
      <w:r>
        <w:rPr>
          <w:rtl w:val="true"/>
        </w:rPr>
        <w:t xml:space="preserve">המערער ושני הנאשמים הנוספים בכתב האישום נסעו יחדיו ברכב </w:t>
      </w:r>
      <w:r>
        <w:rPr>
          <w:rtl w:val="true"/>
        </w:rPr>
        <w:t>בבאקה אל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רביה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נאשם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נהג ברכב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נאשם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ישב לצדו והמערער ישב במושב האחורי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בזמן הנסיעה החזיקו הנאשמים </w:t>
      </w:r>
      <w:r>
        <w:rPr>
          <w:rFonts w:cs="Century" w:ascii="Century" w:hAnsi="Century"/>
          <w:sz w:val="22"/>
        </w:rPr>
        <w:t>2-1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אקדח שבו מחסנית 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בהמשך נעצרו השלושה</w:t>
      </w:r>
      <w:r>
        <w:rPr>
          <w:rtl w:val="true"/>
        </w:rPr>
        <w:t xml:space="preserve">. </w:t>
      </w:r>
      <w:r>
        <w:rPr>
          <w:rtl w:val="true"/>
        </w:rPr>
        <w:t xml:space="preserve">בעת המעצר ניסה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להסתיר את האקדח</w:t>
      </w:r>
      <w:r>
        <w:rPr>
          <w:rtl w:val="true"/>
        </w:rPr>
        <w:t xml:space="preserve">, </w:t>
      </w:r>
      <w:r>
        <w:rPr>
          <w:rtl w:val="true"/>
        </w:rPr>
        <w:t xml:space="preserve">ואילו בדלת הרכב לצד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נמצא כובע גרב</w:t>
      </w:r>
      <w:r>
        <w:rPr>
          <w:rtl w:val="true"/>
        </w:rPr>
        <w:t xml:space="preserve">. </w:t>
      </w:r>
      <w:r>
        <w:rPr>
          <w:rtl w:val="true"/>
        </w:rPr>
        <w:t>במועד התרחשותם של האירועים האמורים שהה המערער בישראל ללא אישור שהייה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6.7.2016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tl w:val="true"/>
        </w:rPr>
        <w:t xml:space="preserve">) </w:t>
      </w:r>
      <w:r>
        <w:rPr>
          <w:rtl w:val="true"/>
        </w:rPr>
        <w:t>את המערער לפי הודאתו במסגרת הסדר טיעון כאמור</w:t>
      </w:r>
      <w:r>
        <w:rPr>
          <w:rtl w:val="true"/>
        </w:rPr>
        <w:t xml:space="preserve">. </w:t>
      </w:r>
      <w:r>
        <w:rPr>
          <w:rtl w:val="true"/>
        </w:rPr>
        <w:t>לפני בית המשפט הונח תסקיר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מן התסקיר עולה כי המערער בן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מתפרנס מעבודות זמניות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 שאחד מהם סובל ממחלה</w:t>
      </w:r>
      <w:r>
        <w:rPr>
          <w:rtl w:val="true"/>
        </w:rPr>
        <w:t xml:space="preserve">. </w:t>
      </w:r>
      <w:r>
        <w:rPr>
          <w:rtl w:val="true"/>
        </w:rPr>
        <w:t>המערער מתגורר בישראל ומזה שנים פועל להסדרת מעמדו בישראל</w:t>
      </w:r>
      <w:r>
        <w:rPr>
          <w:rtl w:val="true"/>
        </w:rPr>
        <w:t xml:space="preserve">. </w:t>
      </w:r>
      <w:r>
        <w:rPr>
          <w:rtl w:val="true"/>
        </w:rPr>
        <w:t>משפחת המערער מוכרת לשירותי הרווחה על רקע כלכלי</w:t>
      </w:r>
      <w:r>
        <w:rPr>
          <w:rtl w:val="true"/>
        </w:rPr>
        <w:t xml:space="preserve">. </w:t>
      </w:r>
      <w:r>
        <w:rPr>
          <w:rtl w:val="true"/>
        </w:rPr>
        <w:t>עוד עולה כי בעיה של התמכרות לסמים וכי בעבר ניהל אורח חיים עברייני לצורך מימונם של אלה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למערער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האחרונה משנת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בין היתר בעבירות סמים ובעבירות של שהייה שלא כדין</w:t>
      </w:r>
      <w:r>
        <w:rPr>
          <w:rtl w:val="true"/>
        </w:rPr>
        <w:t xml:space="preserve">, </w:t>
      </w:r>
      <w:r>
        <w:rPr>
          <w:rtl w:val="true"/>
        </w:rPr>
        <w:t>שבגינן ריצה כמה עונשי מאסר בפועל</w:t>
      </w:r>
      <w:r>
        <w:rPr>
          <w:rtl w:val="true"/>
        </w:rPr>
        <w:t xml:space="preserve">. </w:t>
      </w:r>
      <w:r>
        <w:rPr>
          <w:rtl w:val="true"/>
        </w:rPr>
        <w:t>עקב מצבו הופנה המערער על ידי שירות המבחן ליחידה לטיפול בהתמכרויות לסמים בלוד ועולה כי שיתף פעולה עם הטיפול</w:t>
      </w:r>
      <w:r>
        <w:rPr>
          <w:rtl w:val="true"/>
        </w:rPr>
        <w:t xml:space="preserve">. </w:t>
      </w:r>
      <w:r>
        <w:rPr>
          <w:rtl w:val="true"/>
        </w:rPr>
        <w:t>שירות המבחן ביקש לדחות את הדיון בעניינו של המערער בשלושה חודשים כדי למצות את ההליך הטיפולי ובית המשפט נעתר לכך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11.1.2017</w:t>
      </w:r>
      <w:r>
        <w:rPr>
          <w:rtl w:val="true"/>
        </w:rPr>
        <w:t xml:space="preserve"> </w:t>
      </w:r>
      <w:r>
        <w:rPr>
          <w:rtl w:val="true"/>
        </w:rPr>
        <w:t>תסקיר משלים שממנו עלה כי המערער מתמיד בתהליך הטיפולי ומפיק ממנו תועלת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צוין כי המערער מתקשה להתייחס לדפוסי התנהגותו העברייניים</w:t>
      </w:r>
      <w:r>
        <w:rPr>
          <w:rtl w:val="true"/>
        </w:rPr>
        <w:t xml:space="preserve">, </w:t>
      </w:r>
      <w:r>
        <w:rPr>
          <w:rtl w:val="true"/>
        </w:rPr>
        <w:t>ולמעורבותו באירועים פליליים</w:t>
      </w:r>
      <w:r>
        <w:rPr>
          <w:rtl w:val="true"/>
        </w:rPr>
        <w:t xml:space="preserve">. </w:t>
      </w:r>
      <w:r>
        <w:rPr>
          <w:rtl w:val="true"/>
        </w:rPr>
        <w:t>לפיכך המליץ שירות המבחן להטיל על המערער צו מבחן</w:t>
      </w:r>
      <w:r>
        <w:rPr>
          <w:rtl w:val="true"/>
        </w:rPr>
        <w:t xml:space="preserve">. </w:t>
      </w:r>
      <w:r>
        <w:rPr>
          <w:rtl w:val="true"/>
        </w:rPr>
        <w:t>עוד הומלץ כי אם יושת על המערער עונש מאסר</w:t>
      </w:r>
      <w:r>
        <w:rPr>
          <w:rtl w:val="true"/>
        </w:rPr>
        <w:t xml:space="preserve">, </w:t>
      </w:r>
      <w:r>
        <w:rPr>
          <w:rtl w:val="true"/>
        </w:rPr>
        <w:t>יש לאפשר לו לרצותו בדרך של עבודות שירות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5.2.2017</w:t>
      </w:r>
      <w:r>
        <w:rPr>
          <w:rtl w:val="true"/>
        </w:rPr>
        <w:t xml:space="preserve"> </w:t>
      </w:r>
      <w:r>
        <w:rPr>
          <w:rtl w:val="true"/>
        </w:rPr>
        <w:t>גזר בית המשפט את עונשו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בפתח גזר הדין נדחתה בקשת המערער לביטול הרשעתו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נקבע כי נסיבותיו האישיות של המערער אינן חריגות במידה המצדיקה את ביטול ההרשעה</w:t>
      </w:r>
      <w:r>
        <w:rPr>
          <w:rtl w:val="true"/>
        </w:rPr>
        <w:t xml:space="preserve">; </w:t>
      </w:r>
      <w:r>
        <w:rPr>
          <w:rtl w:val="true"/>
        </w:rPr>
        <w:t>וכי נוכח עברו הפלילי</w:t>
      </w:r>
      <w:r>
        <w:rPr>
          <w:rtl w:val="true"/>
        </w:rPr>
        <w:t xml:space="preserve">, </w:t>
      </w:r>
      <w:r>
        <w:rPr>
          <w:rtl w:val="true"/>
        </w:rPr>
        <w:t>ספק אם הרשעה זו היא שתמנע את הסדרת מעמד המערער בישראל</w:t>
      </w:r>
      <w:r>
        <w:rPr>
          <w:rtl w:val="true"/>
        </w:rPr>
        <w:t xml:space="preserve">. </w:t>
      </w:r>
      <w:r>
        <w:rPr>
          <w:rtl w:val="true"/>
        </w:rPr>
        <w:t>לאחר מכן פנה בית המשפט לקבוע את מתחם העונש ההולם למעשי המערער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חומרתן של עבירות הנשק שבהן הורשע העורר</w:t>
      </w:r>
      <w:r>
        <w:rPr>
          <w:rtl w:val="true"/>
        </w:rPr>
        <w:t xml:space="preserve">, </w:t>
      </w:r>
      <w:r>
        <w:rPr>
          <w:rtl w:val="true"/>
        </w:rPr>
        <w:t>אך הדגיש כי חלקו בהן היה שולי והתמצה בשהותו ברכב בעת ביצוע העבירות</w:t>
      </w:r>
      <w:r>
        <w:rPr>
          <w:rtl w:val="true"/>
        </w:rPr>
        <w:t xml:space="preserve">. </w:t>
      </w:r>
      <w:r>
        <w:rPr>
          <w:rtl w:val="true"/>
        </w:rPr>
        <w:t>בית המשפט התייחס גם לעבירת השהייה הבלתי חוקית ולחומרתה הכללית</w:t>
      </w:r>
      <w:r>
        <w:rPr>
          <w:rtl w:val="true"/>
        </w:rPr>
        <w:t xml:space="preserve">, </w:t>
      </w:r>
      <w:r>
        <w:rPr>
          <w:rtl w:val="true"/>
        </w:rPr>
        <w:t>אך גם בעניין זה ציין כי ישנן נסיבות מקלות שכן שהמערער מתגורר יחד עם משפחתו בישראל שנים רבות ועובד בה</w:t>
      </w:r>
      <w:r>
        <w:rPr>
          <w:rtl w:val="true"/>
        </w:rPr>
        <w:t xml:space="preserve">. </w:t>
      </w:r>
      <w:r>
        <w:rPr>
          <w:rtl w:val="true"/>
        </w:rPr>
        <w:t xml:space="preserve">בנתון לכך ראה בית המשפט לקבוע את מתחם העונש ההולם בעניינו של המערער בטווח שבין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בבואו לגזור את עונשו של המערער בתוך המתחם שקל בית המשפט את התסקירים החיוביים שהוגשו בעניינו ואת הפוטנציאל השיקומי העולה מהם</w:t>
      </w:r>
      <w:r>
        <w:rPr>
          <w:rtl w:val="true"/>
        </w:rPr>
        <w:t xml:space="preserve">; </w:t>
      </w:r>
      <w:r>
        <w:rPr>
          <w:rtl w:val="true"/>
        </w:rPr>
        <w:t>את הודאתו של המערער</w:t>
      </w:r>
      <w:r>
        <w:rPr>
          <w:rtl w:val="true"/>
        </w:rPr>
        <w:t xml:space="preserve">, </w:t>
      </w:r>
      <w:r>
        <w:rPr>
          <w:rtl w:val="true"/>
        </w:rPr>
        <w:t>שנעשתה סמוך לתיקון כתב האישום ואת החרטה שהביע על מעשיו</w:t>
      </w:r>
      <w:r>
        <w:rPr>
          <w:rtl w:val="true"/>
        </w:rPr>
        <w:t xml:space="preserve">. </w:t>
      </w:r>
      <w:r>
        <w:rPr>
          <w:rtl w:val="true"/>
        </w:rPr>
        <w:t>בית המשפט נתן דעתו גם לעברו הפלילי של המערער אך הדגיש כי מדובר בהרשעות מלפני שנים רבות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בנתון למכלול השיקולים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על המערער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ברף הנמוך של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בצד זאת הושתו על המערער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בהתאם לתנאים שנקבעו בגזר הדין</w:t>
      </w:r>
      <w:r>
        <w:rPr>
          <w:rtl w:val="true"/>
        </w:rPr>
        <w:t xml:space="preserve">. </w:t>
      </w:r>
      <w:r>
        <w:rPr>
          <w:rtl w:val="true"/>
        </w:rPr>
        <w:t>בית המשפט ציין כי מכיוון שהמערער אינו בעל מעמד חוקי בישראל לא ראה להורות על ריצוי עונש המאסר בפועל בדרך של עבודות שירות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מכאן הערעור שלפנינו המכוון כאמור לחומרת העונש שהושת על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יוער כי ביום </w:t>
      </w:r>
      <w:r>
        <w:rPr/>
        <w:t>22.3.2017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משפט זה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), </w:t>
      </w:r>
      <w:r>
        <w:rPr>
          <w:rtl w:val="true"/>
        </w:rPr>
        <w:t>בהסכמת המשיבה</w:t>
      </w:r>
      <w:r>
        <w:rPr>
          <w:rtl w:val="true"/>
        </w:rPr>
        <w:t xml:space="preserve">, </w:t>
      </w:r>
      <w:r>
        <w:rPr>
          <w:rtl w:val="true"/>
        </w:rPr>
        <w:t>על עיכב ביצוע עונשו של המערער עד להכרעה בערעור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נוכח חלקו השולי באירועים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המתמצה בנוכחותו ברכב ובידיעה קצרה על אודות קיומו של הנשק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שגה בית המשפט שהשית עליו עונש מאסר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נטען כי שגה בית המשפט שלא קבע כי המערער יישא בעונש המאסר בדרך של עבודות שירות מכיוון שהמערער הוא שוהה בלתי חוקי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 כי ישנם תקדימים לכך וניתן להורות כן גם בעניינו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לא ניתן משקל מספיק לנסיבותיו האישיות של המערער כפי שפורטו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ולפגיעה הצפויה באשתו ובילדיו עקב מאסרו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המדינה סומכת ידיה על פסק הדין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מנימוקיו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לדידה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להקל ראש בעבירת הנשק שיוחסה למערער המצדיקה עונש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לא אחת נשק מסוג זה משמש בסופו של דבר לביצוע עבירות פליליות או לביצוע פעילות חבלנית עוינת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עמדה המדינה על בעיית ההתמכרות של המערער לסמים ולאלכוהול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לבסוף התייחסה המשיבה לתסקיר האחרון בעניינו של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שעליו נעמוד להלן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שממנו עולה נסיגה בתהליך הטיפולי וחזרה לדפוסי התנהגותו הקודמים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עובר לדיון לפנינו הוגש ביום </w:t>
      </w:r>
      <w:r>
        <w:rPr/>
        <w:t>22.3.2018</w:t>
      </w:r>
      <w:r>
        <w:rPr>
          <w:rtl w:val="true"/>
        </w:rPr>
        <w:t xml:space="preserve"> </w:t>
      </w:r>
      <w:r>
        <w:rPr>
          <w:rtl w:val="true"/>
        </w:rPr>
        <w:t>תסקיר משלים של שירות המבחן</w:t>
      </w:r>
      <w:r>
        <w:rPr>
          <w:rtl w:val="true"/>
        </w:rPr>
        <w:t xml:space="preserve">. </w:t>
      </w:r>
      <w:r>
        <w:rPr>
          <w:rtl w:val="true"/>
        </w:rPr>
        <w:t>מהתסקיר עולה כי חלה התדרדרות במצבו של המערער עקב משבר משפחתי</w:t>
      </w:r>
      <w:r>
        <w:rPr>
          <w:rtl w:val="true"/>
        </w:rPr>
        <w:t xml:space="preserve">; </w:t>
      </w:r>
      <w:r>
        <w:rPr>
          <w:rtl w:val="true"/>
        </w:rPr>
        <w:t>כי הוא שב להשתמש בסמים והפסיק להגיע לטיפול ביחידה להתמכרויות לסמים בלוד</w:t>
      </w:r>
      <w:r>
        <w:rPr>
          <w:rtl w:val="true"/>
        </w:rPr>
        <w:t xml:space="preserve">. </w:t>
      </w:r>
      <w:r>
        <w:rPr>
          <w:rtl w:val="true"/>
        </w:rPr>
        <w:t>שירות המבחן סיכם כי בנסיבות העניין אין ביכולתו לבוא בהמלצה שיקומית בעניינו של המערער או להמליץ על הקלה 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שעיינו בערעור ובצרופותיו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שקלנו את נימוקיו והאזנו לטיעוני באי כוח הצדדים 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למסקנה כי דין הערעור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תמעט להתערב בחומרת העונש שהוטל על ידי הערכאה הדיונית ותעשה כן אך במקרים שבהם ניכרת סטייה ברורה ממדיניות הענישה הראויה או אם מתקיימות נסיבות מיוחדות המצדיקות זאת </w:t>
      </w:r>
      <w:r>
        <w:rPr>
          <w:rtl w:val="true"/>
        </w:rPr>
        <w:t>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4701/16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25.10.2017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לא שוכנענו כי המקרה דנן בא בקהלם של המקרים האמורים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עבירות הנשק מהסוג שבו הורשע המערער הן עבירות המחייבות מענה עונשי הולם נוכח הסיכון הניכר מהן לשלום הציבור ולביטחונו </w:t>
      </w:r>
      <w:r>
        <w:rPr>
          <w:sz w:val="28"/>
          <w:rtl w:val="true"/>
        </w:rPr>
        <w:t>(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6716/16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14.6.2017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בה בעת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 שהדגיש בית המשפט 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חלקו של המערער באירועים נושא כתב האישום שולי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 המשפט שקל שיקולים נוספים לקולה ובהם העובדה שהרשעותיו של המערער הן ישנות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שמן התסקירים הראשונים עלה פוטנציאל שיקומי חיובי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וכי ישנן נסיבות מקלות בקשר לעובדת שהייתו של המערער בישראל ללא היתר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 המשפט המחוזי קבע את עונשו של המערער על הרף הנמוך בנתון למכלול שיקולים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ובשים לב לתסקיר השלילי בעניינו של המערער שהוגש לעיוננו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 ראינו להתערב בעונש שקבע בית המשפט המחוזי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ind w:end="0"/>
        <w:jc w:val="both"/>
        <w:textAlignment w:val="auto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3.6.2018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17025410</w:t>
      </w:r>
      <w:r>
        <w:rPr>
          <w:sz w:val="16"/>
          <w:rtl w:val="true"/>
        </w:rPr>
        <w:t>_</w:t>
      </w:r>
      <w:r>
        <w:rPr>
          <w:sz w:val="16"/>
        </w:rPr>
        <w:t>M07.doc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צנ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54678313-2541/17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lin Gothic Medium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2541/17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שאהר זיד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503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92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90721/12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74903/192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case/21475354" TargetMode="External"/><Relationship Id="rId20" Type="http://schemas.openxmlformats.org/officeDocument/2006/relationships/hyperlink" Target="http://www.nevo.co.il/case/21478686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2018-05-03T12:54:00Z</dcterms:created>
  <dc:creator> </dc:creator>
  <dc:description/>
  <cp:keywords/>
  <dc:language>en-IL</dc:language>
  <cp:lastModifiedBy>orly</cp:lastModifiedBy>
  <cp:lastPrinted>2018-05-02T18:07:00Z</cp:lastPrinted>
  <dcterms:modified xsi:type="dcterms:W3CDTF">2018-05-06T12:46:00Z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שאהר זיד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20650347;21475354;21478686</vt:lpwstr>
  </property>
  <property fmtid="{D5CDD505-2E9C-101B-9397-08002B2CF9AE}" pid="9" name="CITY">
    <vt:lpwstr/>
  </property>
  <property fmtid="{D5CDD505-2E9C-101B-9397-08002B2CF9AE}" pid="10" name="DATE">
    <vt:lpwstr>20180503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אלרון;ח' מלצר</vt:lpwstr>
  </property>
  <property fmtid="{D5CDD505-2E9C-101B-9397-08002B2CF9AE}" pid="14" name="LAWLISTTMP1">
    <vt:lpwstr>70301/144.a;144.c;031</vt:lpwstr>
  </property>
  <property fmtid="{D5CDD505-2E9C-101B-9397-08002B2CF9AE}" pid="15" name="LAWLISTTMP2">
    <vt:lpwstr>90721/012.1</vt:lpwstr>
  </property>
  <property fmtid="{D5CDD505-2E9C-101B-9397-08002B2CF9AE}" pid="16" name="LAWLISTTMP3">
    <vt:lpwstr>74903/192a</vt:lpwstr>
  </property>
  <property fmtid="{D5CDD505-2E9C-101B-9397-08002B2CF9AE}" pid="17" name="LAWYER">
    <vt:lpwstr>מורן פולמן;אשר חן;ברכה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אי-התערבות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נשק</vt:lpwstr>
  </property>
  <property fmtid="{D5CDD505-2E9C-101B-9397-08002B2CF9AE}" pid="53" name="NOSE33">
    <vt:lpwstr>שיקולים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17039;13800;16896</vt:lpwstr>
  </property>
  <property fmtid="{D5CDD505-2E9C-101B-9397-08002B2CF9AE}" pid="61" name="PADIDATE">
    <vt:lpwstr>20180506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2541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410120180503</vt:lpwstr>
  </property>
  <property fmtid="{D5CDD505-2E9C-101B-9397-08002B2CF9AE}" pid="71" name="TYPE_N_DATE">
    <vt:lpwstr>41020180503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