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2549/19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ascii="David;Times New Roman" w:hAnsi="David;Times New Roman"/>
                <w:rtl w:val="true"/>
              </w:rPr>
              <w:t>ת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עאמר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זעאתרה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10435-02-18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14.11.2018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אשר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קולה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דני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צרפתי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ורננה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גלפז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מוקדי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4421"/>
        <w:gridCol w:w="712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4421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בתשרי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30.09.21</w:t>
            </w:r>
            <w:r>
              <w:rPr>
                <w:sz w:val="24"/>
                <w:szCs w:val="24"/>
                <w:rtl w:val="true"/>
              </w:rPr>
              <w:t>)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1.7.2019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  <w:tc>
          <w:tcPr>
            <w:tcW w:w="71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משפחת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נפגע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העבירה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בורנשטיין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ויסאם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לידאווי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אולמן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inks_Kitvei_Start"/>
      <w:bookmarkStart w:id="6" w:name="Links_Kitvei_Start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7" w:name="Links_Kitvei_Start"/>
      <w:bookmarkEnd w:id="7"/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מרים גור אריה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צורות של ביצוע עבירה פלילית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פלילים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א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29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8" w:name="Links_Kitvei_End"/>
      <w:bookmarkStart w:id="9" w:name="Links_Kitvei_End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10" w:name="Links_Start"/>
      <w:bookmarkEnd w:id="10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z w:val="24"/>
        </w:rPr>
      </w:pPr>
      <w:r>
        <w:rPr>
          <w:rFonts w:ascii="FrankRuehl" w:hAnsi="FrankRuehl" w:cs="FrankRuehl"/>
          <w:color w:val="000000"/>
          <w:sz w:val="24"/>
          <w:sz w:val="24"/>
          <w:rtl w:val="true"/>
        </w:rPr>
        <w:t>יורם רבין</w:t>
      </w:r>
      <w:r>
        <w:rPr>
          <w:rFonts w:cs="FrankRuehl" w:ascii="FrankRuehl" w:hAnsi="FrankRuehl"/>
          <w:color w:val="000000"/>
          <w:sz w:val="24"/>
          <w:rtl w:val="true"/>
        </w:rPr>
        <w:t xml:space="preserve">,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יניב ואקי   </w:t>
      </w:r>
      <w:r>
        <w:rPr>
          <w:rFonts w:ascii="FrankRuehl" w:hAnsi="FrankRuehl" w:cs="FrankRuehl"/>
          <w:b/>
          <w:b/>
          <w:bCs/>
          <w:color w:val="000000"/>
          <w:sz w:val="24"/>
          <w:sz w:val="24"/>
          <w:rtl w:val="true"/>
        </w:rPr>
        <w:t xml:space="preserve">דיני עונשין 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00"/>
          <w:sz w:val="24"/>
        </w:rPr>
      </w:pPr>
      <w:r>
        <w:rPr>
          <w:rFonts w:cs="FrankRuehl" w:ascii="FrankRuehl" w:hAnsi="FrankRuehl"/>
          <w:color w:val="000000"/>
          <w:sz w:val="24"/>
          <w:rtl w:val="true"/>
        </w:rPr>
      </w:r>
      <w:bookmarkStart w:id="11" w:name="Links_End"/>
      <w:bookmarkStart w:id="12" w:name="Links_End"/>
      <w:bookmarkEnd w:id="12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13" w:name="LawTable"/>
      <w:bookmarkEnd w:id="13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333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335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sz w:val="24"/>
            <w:u w:val="none"/>
          </w:rPr>
          <w:t>1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335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sz w:val="24"/>
            <w:u w:val="none"/>
          </w:rPr>
          <w:t>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403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162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4" w:name="LawTable_End"/>
      <w:bookmarkStart w:id="15" w:name="LawTable_End"/>
      <w:bookmarkEnd w:id="15"/>
    </w:p>
    <w:p>
      <w:pPr>
        <w:pStyle w:val="Ruller42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6" w:name="ABSTRACT_START"/>
      <w:bookmarkEnd w:id="16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פסק כי יש להרשיע את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בביצוע ניסיון שוד בצוותא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תחת עבירת הסיוע לניסיון שוד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שכן </w:t>
      </w:r>
      <w:r>
        <w:rPr>
          <w:rFonts w:ascii="Times New Roman" w:hAnsi="Times New Roman" w:cs="Times New Roman"/>
          <w:spacing w:val="0"/>
          <w:szCs w:val="26"/>
          <w:rtl w:val="true"/>
        </w:rPr>
        <w:t>חלקו של המשיב הינו כמבצע בצוותא ולא כמסייע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עוד נפסק כי </w:t>
      </w:r>
      <w:r>
        <w:rPr>
          <w:rFonts w:ascii="Times New Roman" w:hAnsi="Times New Roman" w:cs="Times New Roman"/>
          <w:spacing w:val="0"/>
          <w:szCs w:val="26"/>
          <w:rtl w:val="true"/>
        </w:rPr>
        <w:t>זיכוי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מעבירת הרצח יוותר על כנו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שכן </w:t>
      </w:r>
      <w:r>
        <w:rPr>
          <w:rFonts w:ascii="Times New Roman" w:hAnsi="Times New Roman" w:cs="Times New Roman"/>
          <w:spacing w:val="0"/>
          <w:szCs w:val="26"/>
          <w:rtl w:val="true"/>
        </w:rPr>
        <w:t>הרצח לא תוכנן מראש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 הוכח מעל לכל ספק סביר שלמשיב הייתה מודעות בפועל לאפשרות כי השוד יסתבך ויוביל לרצח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ומתעורר ספק סביר באשר לקיומה של צפיות בכוח להתרחשות של אירוע כזה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שותפים לעבירה – מבצע בצוותא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שותפים לעבירה – סיוע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שותפים לעבירה – הבחנה בין סוגי שותפים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שותפים לעבירה – עבירה שונה או נוספת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שותפים לעבירה – נוכחות בזירת ביצוע העבירה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מחשבה פלילית – שותפים לעבירה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מחשבה פלילית – מודעות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רצח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הכרעת די</w:t>
      </w:r>
      <w:r>
        <w:rPr>
          <w:rFonts w:ascii="Times New Roman" w:hAnsi="Times New Roman" w:cs="Times New Roman"/>
          <w:spacing w:val="0"/>
          <w:szCs w:val="26"/>
          <w:rtl w:val="true"/>
        </w:rPr>
        <w:t>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של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המחוזי בגדר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זוכה המשיב מעבירות רצח וניסיון שוד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והורשע בסיוע לניסיון שוד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הרקע לכך הינו קשר שקשר המשיב עם שניים נוספים לשדוד משתתפי משחק הימורים שנערך </w:t>
      </w:r>
      <w:r>
        <w:rPr>
          <w:rFonts w:ascii="Times New Roman" w:hAnsi="Times New Roman" w:cs="Times New Roman"/>
          <w:spacing w:val="0"/>
          <w:szCs w:val="26"/>
          <w:rtl w:val="true"/>
        </w:rPr>
        <w:t>בדירה ביפיע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קרא ובהסכמת השופטים סולברג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וילנר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 את הערעור בחלקו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אשר ל</w:t>
      </w:r>
      <w:r>
        <w:rPr>
          <w:rFonts w:ascii="Times New Roman" w:hAnsi="Times New Roman" w:cs="Times New Roman"/>
          <w:spacing w:val="0"/>
          <w:szCs w:val="26"/>
          <w:rtl w:val="true"/>
        </w:rPr>
        <w:t>זיכוי מעבירת ניסיון שוד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עמד על המבחנים שנקבעו בפסיקה להבחנה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בין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מבצע בצוותא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מסייע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לרבות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המבחן המשולב</w:t>
      </w:r>
      <w:r>
        <w:rPr>
          <w:rFonts w:cs="Times New Roman" w:ascii="Times New Roman" w:hAnsi="Times New Roman"/>
          <w:spacing w:val="0"/>
          <w:szCs w:val="26"/>
          <w:rtl w:val="true"/>
        </w:rPr>
        <w:t>",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ופסק כי 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קילת מכלול הראיות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מעלה כי </w:t>
      </w:r>
      <w:r>
        <w:rPr>
          <w:rFonts w:ascii="Times New Roman" w:hAnsi="Times New Roman" w:cs="Times New Roman"/>
          <w:spacing w:val="0"/>
          <w:szCs w:val="26"/>
          <w:rtl w:val="true"/>
        </w:rPr>
        <w:t>חלקו של המשיב ביחס לאירוע ניסיון השוד הינו כמבצע בצוותא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כמסייע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וכי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התיק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וחזר לבי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המחוזי לשם שמיעת טיעונים לעונש וגזירת הדין מחדש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נפסק כי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לא נתן משקל ל</w:t>
      </w:r>
      <w:r>
        <w:rPr>
          <w:rFonts w:ascii="Times New Roman" w:hAnsi="Times New Roman" w:cs="Times New Roman"/>
          <w:spacing w:val="0"/>
          <w:szCs w:val="26"/>
          <w:rtl w:val="true"/>
        </w:rPr>
        <w:t>שני ממצאים חשובים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שמחזקים את היות המשיב חלק אינהרנטי מביצוע עבירת ניסיון השוד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ההבטחה שניתנה למשיב להיות שותף לרווחים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השיח שניהל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המשיב </w:t>
      </w:r>
      <w:r>
        <w:rPr>
          <w:rFonts w:ascii="Times New Roman" w:hAnsi="Times New Roman" w:cs="Times New Roman"/>
          <w:spacing w:val="0"/>
          <w:szCs w:val="26"/>
          <w:rtl w:val="true"/>
        </w:rPr>
        <w:t>עם שותפיו באשר לאופן בו יבוצע השוד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וההבטחה שקיבל כי איש לא ייפגע בעקבותיו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 היה חלק ממשי ופנימי מגיבוש התכנית והוצאתה לפועל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קמא לא העניק די משקל לרמת שליטתו הפונקציונלית של המשיב בתוכנית העבריינית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שה</w:t>
      </w:r>
      <w:r>
        <w:rPr>
          <w:rFonts w:ascii="Times New Roman" w:hAnsi="Times New Roman" w:cs="Times New Roman"/>
          <w:spacing w:val="0"/>
          <w:szCs w:val="26"/>
          <w:rtl w:val="true"/>
        </w:rPr>
        <w:t>ייתה לו יכולת לתרום תרומה משמעותית להוצאתה לפועל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היה דרוש 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ובהתאם הייתה לו שליטה ממשית 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נפסק כי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מידת מעורבותו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של המשיב </w:t>
      </w:r>
      <w:r>
        <w:rPr>
          <w:rFonts w:ascii="Times New Roman" w:hAnsi="Times New Roman" w:cs="Times New Roman"/>
          <w:spacing w:val="0"/>
          <w:szCs w:val="26"/>
          <w:rtl w:val="true"/>
        </w:rPr>
        <w:t>בשלב התכנון וההכנה של השוד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מצדיקות את ההכרה בו כמבצע בצוותא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אם חלקו הפיזי בביצוע העבירה הוגבל להמתנה ברכב ולתפקוד כנהג מילוט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שני ראשיו של המבחן המשולב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הן היסוד הנפשי והן היסוד </w:t>
      </w:r>
      <w:r>
        <w:rPr>
          <w:rFonts w:ascii="Times New Roman" w:hAnsi="Times New Roman" w:cs="Times New Roman"/>
          <w:spacing w:val="0"/>
          <w:szCs w:val="26"/>
          <w:rtl w:val="true"/>
        </w:rPr>
        <w:t>העובדתי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מצביעים על כי יש למקם את המשיב במעגל הפנימי של 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ניתן לראות במי שהסגיר את מיקומה של דירת ההימורים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לקח חלק בתכנון השוד והכנתו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ציפה לקבלת </w:t>
      </w:r>
      <w:r>
        <w:rPr>
          <w:rFonts w:cs="Times New Roman" w:ascii="Times New Roman" w:hAnsi="Times New Roman"/>
          <w:spacing w:val="0"/>
          <w:szCs w:val="26"/>
        </w:rPr>
        <w:t>20%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משלל השוד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נהג את שותפיו לשוד לזירת השוד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המתין להם עד שייצאו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והסיעם למקום מרוחק לצורך השמדת הראיות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מסייע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בלבד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</w:t>
      </w:r>
      <w:r>
        <w:rPr>
          <w:rFonts w:ascii="Times New Roman" w:hAnsi="Times New Roman" w:cs="Times New Roman"/>
          <w:spacing w:val="0"/>
          <w:szCs w:val="26"/>
          <w:rtl w:val="true"/>
        </w:rPr>
        <w:t>זיכוי מעבירת הרצח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הדין מחייב הבחנה בין שלושה תרחישים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במצב דברים בו המבצע בצוותא היה מודע בפועל לאפשרות ביצועה של העבירה הנוספת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אם זו הייתה חלק מהתכנון המקורי ובין אם הייתה סטייה מהתכנון כאשר המבצע בצוותא היה מודע לאפשרות ביצועה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תוטל אחריות ישירה על כלל השותפים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המבצעים בצוותא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מקום בו המבצע בצוותא לא היה מודע בפועל לאפשרות ביצוע העבירה הנוספת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 ניתן היה לצפות אותה בכוח לפי מבחן האדם מן היישוב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תחול אחריות על עבירה שונה או נוספת 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סעיף </w:t>
      </w:r>
      <w:r>
        <w:rPr>
          <w:rFonts w:cs="Times New Roman" w:ascii="Times New Roman" w:hAnsi="Times New Roman"/>
          <w:spacing w:val="0"/>
          <w:szCs w:val="26"/>
        </w:rPr>
        <w:t>34</w:t>
      </w:r>
      <w:r>
        <w:rPr>
          <w:rFonts w:ascii="Times New Roman" w:hAnsi="Times New Roman" w:cs="Times New Roman"/>
          <w:spacing w:val="0"/>
          <w:szCs w:val="26"/>
          <w:rtl w:val="true"/>
        </w:rPr>
        <w:t>א 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אם הייתה העבירה הנוספת עבירת כוונה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יישא בה המבצע בצוותא כעבירה של אדישות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לעומת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העבירה הנוספת לא נצפתה בפועל על ידי יתר השותפים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ואף לא היה ניתן היה לצפותה בכוח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תחול עליהם כל אחריות לעבירה הנלווית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במקרה זה 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עלה בידי המערערת להוכיח מעל לכל ספק סביר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במשיב התגבשה צפיות בפועל או בכוח לאפשרות ביצועה של עבירת המתה במסגרת השוד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ראשית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 ההמתה בוצעה במסגרת הסתבכות של ניסיון השוד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מתוך תכנון מראש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מנת לייחס אחריות למשיב בגין עבירת הרצח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המערערת להוכיח כי המשיב היה מודע בפועל לאפשרות ביצוע עבירת ההמתה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ולחלופין כי אדם מן היישוב יכול היה להיות מודע לכך בנסיבות האירוע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 </w:t>
      </w:r>
      <w:r>
        <w:rPr>
          <w:rFonts w:ascii="Times New Roman" w:hAnsi="Times New Roman" w:cs="Times New Roman"/>
          <w:spacing w:val="0"/>
          <w:szCs w:val="26"/>
          <w:rtl w:val="true"/>
        </w:rPr>
        <w:t>הוכח מעל לכל ספק סביר כי אכן התגבשה בקרב המשיב מודעות בפועל לאפשרות ביצועה של עבירת 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לצפיות בכוח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שאלה זו נבחנת נוכח נסיבותיו הקונקרטיות של כל מקרה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התמקדות בשאלה האם יכולה הייתה להתקיים צפיות כזו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צפיות בכוח נמדדת באמת מידה של סבירות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במבחן של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אדם מן היישוב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אך הבחינה נעשית בתוך נסיבות העניין הקונקרטי והסובייקטיבי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נקודת המוצא לבחינת הצפיות בכוח מבוססת על המטען הסובייקטיבי שהיה למבצע הספציפי בנסיבות הקשורות לביצוע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המערערת 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 </w:t>
      </w:r>
      <w:r>
        <w:rPr>
          <w:rFonts w:ascii="Times New Roman" w:hAnsi="Times New Roman" w:cs="Times New Roman"/>
          <w:spacing w:val="0"/>
          <w:szCs w:val="26"/>
          <w:rtl w:val="true"/>
        </w:rPr>
        <w:t>הוכיח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מעל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Cs w:val="26"/>
          <w:rtl w:val="true"/>
        </w:rPr>
        <w:t>ספק סביר כי התקיימה אצל המשיב צפיות בכוח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אמנם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יתכן כי אדם מן היישוב בסיטואציה של תכנון שוד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יכול לצפות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אובייקטיבית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ששוד מהסוג שביקשו המשיב ושותפיו לבצע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עלול להוביל לאלימות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עלולה להוביל לביצועה של עבירת המתה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ואולם יש להתחשב בקיומו של חשד סובייקטיבי של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מנת לקבוע כי התקיימה אצלו מודעות בכוח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ניתן לקבוע ממצא כזה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הוברר כמה סכינים ראה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וייתכן כי ראה רק סכין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לא הופרכה האפשרות כי הסכין שראה שייכת לאדם שנוהג לשאת סכינים דרך קבע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מבלי להשתמש בהם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 קיבל הבטחה שבמסגרת השוד לא ייפגע איש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 סירב ליטול חלק פיזי בביצוע השוד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שילוב נסיבות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ascii="Times New Roman" w:hAnsi="Times New Roman" w:cs="Times New Roman"/>
          <w:spacing w:val="0"/>
          <w:szCs w:val="26"/>
          <w:rtl w:val="true"/>
        </w:rPr>
        <w:t>עורר ספק סביר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באשר לאפשרות לקבוע כי התקיימה אצל המשיב צפיות בכוח לגרם התוצאה הקטלנית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7" w:name="ABSTRACT_END"/>
      <w:bookmarkStart w:id="18" w:name="ABSTRACT_END"/>
      <w:bookmarkEnd w:id="18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9" w:name="PsakDin"/>
            <w:bookmarkStart w:id="20" w:name="BeginProtocol"/>
            <w:bookmarkStart w:id="21" w:name="secretary"/>
            <w:bookmarkEnd w:id="19"/>
            <w:bookmarkEnd w:id="20"/>
            <w:bookmarkEnd w:id="21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22" w:name="Writer_Name"/>
      <w:bookmarkEnd w:id="22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בנצרת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קולה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צרפתי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גלפז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מוקדי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10435-02-18</w:t>
        </w:r>
      </w:hyperlink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14.11.2018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כנגד ה</w:t>
      </w:r>
      <w:r>
        <w:rPr>
          <w:rtl w:val="true"/>
        </w:rPr>
        <w:softHyphen/>
      </w:r>
      <w:r>
        <w:rPr>
          <w:rtl w:val="true"/>
        </w:rPr>
        <w:t>משיב הוגש כתב אישום</w:t>
      </w:r>
      <w:r>
        <w:rPr>
          <w:rtl w:val="true"/>
        </w:rPr>
        <w:t xml:space="preserve">, </w:t>
      </w:r>
      <w:r>
        <w:rPr>
          <w:rtl w:val="true"/>
        </w:rPr>
        <w:t>אשר ייחס לו עבירות רצח וניסיון שוד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0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1">
        <w:r>
          <w:rPr>
            <w:rStyle w:val="Hyperlink"/>
          </w:rPr>
          <w:t>403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על פי עובדות כתב האישום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tl w:val="true"/>
        </w:rPr>
        <w:t xml:space="preserve">; </w:t>
      </w:r>
      <w:r>
        <w:rPr>
          <w:rtl w:val="true"/>
        </w:rPr>
        <w:t xml:space="preserve">אדם נוסף בשם דאהר ראדי אשר משפטו התנהל בנפרד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דאהר</w:t>
      </w:r>
      <w:r>
        <w:rPr>
          <w:rtl w:val="true"/>
        </w:rPr>
        <w:t xml:space="preserve">); </w:t>
      </w:r>
      <w:r>
        <w:rPr>
          <w:rtl w:val="true"/>
        </w:rPr>
        <w:t xml:space="preserve">וכן אדם שלישי שלא נתפס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האחר</w:t>
      </w:r>
      <w:r>
        <w:rPr>
          <w:rtl w:val="true"/>
        </w:rPr>
        <w:t xml:space="preserve">) </w:t>
      </w:r>
      <w:r>
        <w:rPr>
          <w:rtl w:val="true"/>
        </w:rPr>
        <w:t>הם תושבי יפיע</w:t>
      </w:r>
      <w:r>
        <w:rPr>
          <w:rtl w:val="true"/>
        </w:rPr>
        <w:t xml:space="preserve">, </w:t>
      </w:r>
      <w:r>
        <w:rPr>
          <w:rtl w:val="true"/>
        </w:rPr>
        <w:t>וקיימים ביניהם קשרי ידידות</w:t>
      </w:r>
      <w:r>
        <w:rPr>
          <w:rtl w:val="true"/>
        </w:rPr>
        <w:t xml:space="preserve">. </w:t>
      </w:r>
      <w:r>
        <w:rPr>
          <w:rtl w:val="true"/>
        </w:rPr>
        <w:t>המשיב ידע כי בדירה מסוימת ביפיע מתקיימים משחקי הימורים אסורים</w:t>
      </w:r>
      <w:r>
        <w:rPr>
          <w:rtl w:val="true"/>
        </w:rPr>
        <w:t xml:space="preserve">, </w:t>
      </w:r>
      <w:r>
        <w:rPr>
          <w:rtl w:val="true"/>
        </w:rPr>
        <w:t xml:space="preserve">בהם מהמרים משתתפי המשחקים על סכומי כסף המסתכמים באלפי שקלים בכל משחק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ההימורים</w:t>
      </w:r>
      <w:r>
        <w:rPr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הדירה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משחקי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השלושה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משתתפי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ההימורים</w:t>
      </w:r>
      <w:r>
        <w:rPr>
          <w:rtl w:val="true"/>
        </w:rPr>
        <w:t xml:space="preserve">. </w:t>
      </w:r>
      <w:r>
        <w:rPr>
          <w:rtl w:val="true"/>
        </w:rPr>
        <w:t>סוכם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ולמילוט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ייכנסו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וישדדו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משתתפי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5.1.2018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2:00</w:t>
      </w:r>
      <w:r>
        <w:rPr>
          <w:rtl w:val="true"/>
        </w:rPr>
        <w:t xml:space="preserve">, </w:t>
      </w:r>
      <w:r>
        <w:rPr>
          <w:rtl w:val="true"/>
        </w:rPr>
        <w:t>נערכו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דאהר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זעארתה</w:t>
      </w:r>
      <w:r>
        <w:rPr>
          <w:rtl w:val="true"/>
        </w:rPr>
        <w:t xml:space="preserve">, </w:t>
      </w:r>
      <w:r>
        <w:rPr>
          <w:rtl w:val="true"/>
        </w:rPr>
        <w:t>נימר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חאטום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נימר</w:t>
      </w:r>
      <w:r>
        <w:rPr>
          <w:rtl w:val="true"/>
        </w:rPr>
        <w:t xml:space="preserve">), </w:t>
      </w:r>
      <w:r>
        <w:rPr>
          <w:rtl w:val="true"/>
        </w:rPr>
        <w:t>יוסף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</w:t>
      </w:r>
      <w:r>
        <w:rPr>
          <w:rtl w:val="true"/>
        </w:rPr>
        <w:t xml:space="preserve">, </w:t>
      </w:r>
      <w:r>
        <w:rPr>
          <w:rtl w:val="true"/>
        </w:rPr>
        <w:t>סאמר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</w:t>
      </w:r>
      <w:r>
        <w:rPr>
          <w:rtl w:val="true"/>
        </w:rPr>
        <w:t xml:space="preserve">) </w:t>
      </w:r>
      <w:r>
        <w:rPr>
          <w:rtl w:val="true"/>
        </w:rPr>
        <w:t>ולסירוגין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זעאתרה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דאהר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והאחר</w:t>
      </w:r>
      <w:r>
        <w:rPr>
          <w:rtl w:val="true"/>
        </w:rPr>
        <w:t xml:space="preserve">, </w:t>
      </w:r>
      <w:r>
        <w:rPr>
          <w:rtl w:val="true"/>
        </w:rPr>
        <w:t>בדירתו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דאהר</w:t>
      </w:r>
      <w:r>
        <w:rPr>
          <w:rtl w:val="true"/>
        </w:rPr>
        <w:t xml:space="preserve">,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. </w:t>
      </w:r>
      <w:r>
        <w:rPr>
          <w:rtl w:val="true"/>
        </w:rPr>
        <w:t>דאהר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בכיסויי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דאהר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דאהר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, </w:t>
      </w:r>
      <w:r>
        <w:rPr>
          <w:rtl w:val="true"/>
        </w:rPr>
        <w:t>כשפניהם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בכיסויי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. </w:t>
      </w:r>
      <w:r>
        <w:rPr>
          <w:rtl w:val="true"/>
        </w:rPr>
        <w:t>דאהר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ובגז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מדמיע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ופרצו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, </w:t>
      </w:r>
      <w:r>
        <w:rPr>
          <w:rtl w:val="true"/>
        </w:rPr>
        <w:t>כשהמשיב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משתתפי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ההימורים</w:t>
      </w:r>
      <w:r>
        <w:rPr>
          <w:rtl w:val="true"/>
        </w:rPr>
        <w:t xml:space="preserve">. </w:t>
      </w:r>
      <w:r>
        <w:rPr>
          <w:rtl w:val="true"/>
        </w:rPr>
        <w:t>דאהר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לנימר</w:t>
      </w:r>
      <w:r>
        <w:rPr>
          <w:rtl w:val="true"/>
        </w:rPr>
        <w:t xml:space="preserve">, </w:t>
      </w:r>
      <w:r>
        <w:rPr>
          <w:rtl w:val="true"/>
        </w:rPr>
        <w:t>שישב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הכניסה</w:t>
      </w:r>
      <w:r>
        <w:rPr>
          <w:rtl w:val="true"/>
        </w:rPr>
        <w:t xml:space="preserve">, </w:t>
      </w:r>
      <w:r>
        <w:rPr>
          <w:rtl w:val="true"/>
        </w:rPr>
        <w:t>והצמיד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לגרונו</w:t>
      </w:r>
      <w:r>
        <w:rPr>
          <w:rtl w:val="true"/>
        </w:rPr>
        <w:t xml:space="preserve">. </w:t>
      </w:r>
      <w:r>
        <w:rPr>
          <w:rtl w:val="true"/>
        </w:rPr>
        <w:t>האחר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tl w:val="true"/>
        </w:rPr>
        <w:t xml:space="preserve">, </w:t>
      </w:r>
      <w:r>
        <w:rPr>
          <w:rtl w:val="true"/>
        </w:rPr>
        <w:t>ונעמד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. </w:t>
      </w:r>
      <w:r>
        <w:rPr>
          <w:rtl w:val="true"/>
        </w:rPr>
        <w:t>דאהר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למהמרים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ודרשו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. </w:t>
      </w:r>
      <w:r>
        <w:rPr>
          <w:rtl w:val="true"/>
        </w:rPr>
        <w:t>נימר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מגרונו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מדמיע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רגליו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, </w:t>
      </w:r>
      <w:r>
        <w:rPr>
          <w:rtl w:val="true"/>
        </w:rPr>
        <w:t>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נמלטו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מהדירה</w:t>
      </w:r>
      <w:r>
        <w:rPr>
          <w:rtl w:val="true"/>
        </w:rPr>
        <w:t xml:space="preserve">, </w:t>
      </w:r>
      <w:r>
        <w:rPr>
          <w:rtl w:val="true"/>
        </w:rPr>
        <w:t>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והשלושה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ששימשו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והעלימו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המדמיע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מימין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האנגלי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בנצרת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מותו</w:t>
      </w:r>
      <w:r>
        <w:rPr>
          <w:rtl w:val="true"/>
        </w:rPr>
        <w:t xml:space="preserve">. </w:t>
      </w:r>
      <w:r>
        <w:rPr>
          <w:rtl w:val="true"/>
        </w:rPr>
        <w:t>המוות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דימומי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ואובדן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. </w:t>
      </w:r>
      <w:r>
        <w:rPr>
          <w:rtl w:val="true"/>
        </w:rPr>
        <w:t>לנימר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חתכים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ובאצבעות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בעפולה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ואושפז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לשם השלמת התמונה</w:t>
      </w:r>
      <w:r>
        <w:rPr>
          <w:rtl w:val="true"/>
        </w:rPr>
        <w:t xml:space="preserve">, </w:t>
      </w:r>
      <w:r>
        <w:rPr>
          <w:rtl w:val="true"/>
        </w:rPr>
        <w:t>יובהר כי האחר לא נתפס ולא הועמד לדין</w:t>
      </w:r>
      <w:r>
        <w:rPr>
          <w:rtl w:val="true"/>
        </w:rPr>
        <w:t xml:space="preserve">. </w:t>
      </w:r>
      <w:r>
        <w:rPr>
          <w:rtl w:val="true"/>
        </w:rPr>
        <w:t xml:space="preserve">דאהר עמד לדין במשפט נפרד </w:t>
      </w:r>
      <w:r>
        <w:rPr>
          <w:rtl w:val="true"/>
        </w:rPr>
        <w:t>(</w:t>
      </w:r>
      <w:hyperlink r:id="rId23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נצ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10445-02-18</w:t>
        </w:r>
      </w:hyperlink>
      <w:r>
        <w:rPr>
          <w:rtl w:val="true"/>
        </w:rPr>
        <w:t xml:space="preserve">)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והורשע ביום </w:t>
      </w:r>
      <w:r>
        <w:rPr/>
        <w:t>9.5.2021</w:t>
      </w:r>
      <w:r>
        <w:rPr>
          <w:rtl w:val="true"/>
        </w:rPr>
        <w:t xml:space="preserve"> </w:t>
      </w:r>
      <w:r>
        <w:rPr>
          <w:rtl w:val="true"/>
        </w:rPr>
        <w:t xml:space="preserve">בעבירות רצח </w:t>
      </w:r>
      <w:r>
        <w:rPr>
          <w:rtl w:val="true"/>
        </w:rPr>
        <w:t>(</w:t>
      </w:r>
      <w:r>
        <w:rPr>
          <w:rtl w:val="true"/>
        </w:rPr>
        <w:t xml:space="preserve">לפי הדין שקדם לתיקון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), </w:t>
      </w:r>
      <w:r>
        <w:rPr>
          <w:rtl w:val="true"/>
        </w:rPr>
        <w:t>ניסיון שוד בנסיבות מחמירות וכן בחבלה חמורה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5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26">
        <w:r>
          <w:rPr>
            <w:rStyle w:val="Hyperlink"/>
          </w:rPr>
          <w:t>403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tl w:val="true"/>
        </w:rPr>
        <w:t xml:space="preserve">, </w:t>
      </w:r>
      <w:hyperlink r:id="rId27">
        <w:r>
          <w:rPr>
            <w:rStyle w:val="Hyperlink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8"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)-(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המשיב הורשע ביום </w:t>
      </w:r>
      <w:r>
        <w:rPr/>
        <w:t>14.11.2018</w:t>
      </w:r>
      <w:r>
        <w:rPr>
          <w:rtl w:val="true"/>
        </w:rPr>
        <w:t xml:space="preserve"> </w:t>
      </w:r>
      <w:r>
        <w:rPr>
          <w:rtl w:val="true"/>
        </w:rPr>
        <w:t>בעבירת סיוע לניסיון שוד בנסיבות מחמירות</w:t>
      </w:r>
      <w:r>
        <w:rPr>
          <w:rtl w:val="true"/>
        </w:rPr>
        <w:t xml:space="preserve">, </w:t>
      </w:r>
      <w:r>
        <w:rPr>
          <w:rtl w:val="true"/>
        </w:rPr>
        <w:t>וזוכה מעבירת ניסיון השוד ומעבירת הרצח שיוחסו לו בכתב האישום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בפסק הדין</w:t>
      </w:r>
      <w:r>
        <w:rPr>
          <w:rtl w:val="true"/>
        </w:rPr>
        <w:t xml:space="preserve">, </w:t>
      </w:r>
      <w:r>
        <w:rPr>
          <w:rtl w:val="true"/>
        </w:rPr>
        <w:t>מצא בית המשפט כי יש לייחס משקל רב להודעותיו השלישית והחמישית של המשיב במשטרה</w:t>
      </w:r>
      <w:r>
        <w:rPr>
          <w:rtl w:val="true"/>
        </w:rPr>
        <w:t xml:space="preserve">, </w:t>
      </w:r>
      <w:r>
        <w:rPr>
          <w:rtl w:val="true"/>
        </w:rPr>
        <w:t xml:space="preserve">שניתנו בימים </w:t>
      </w:r>
      <w:r>
        <w:rPr/>
        <w:t>9.1.2018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30.1.2018</w:t>
      </w:r>
      <w:r>
        <w:rPr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 xml:space="preserve">. </w:t>
      </w:r>
      <w:r>
        <w:rPr>
          <w:rtl w:val="true"/>
        </w:rPr>
        <w:t>בית משפט קמא מצא כי להודעות אלה חשיבות רבה</w:t>
      </w:r>
      <w:r>
        <w:rPr>
          <w:rtl w:val="true"/>
        </w:rPr>
        <w:t xml:space="preserve">, </w:t>
      </w:r>
      <w:r>
        <w:rPr>
          <w:rtl w:val="true"/>
        </w:rPr>
        <w:t>והן מהוות מקור לחלק ניכר מממצאי העובדה שנקבעו בבית משפט קמא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בית משפט קמא מצא כי הודעותיו של המשיב היו רצופות בפרטים מוכמנים</w:t>
      </w:r>
      <w:r>
        <w:rPr>
          <w:rtl w:val="true"/>
        </w:rPr>
        <w:t xml:space="preserve">, </w:t>
      </w:r>
      <w:r>
        <w:rPr>
          <w:rtl w:val="true"/>
        </w:rPr>
        <w:t>המלמדים על כך שהודאתו היא הודאת אמת</w:t>
      </w:r>
      <w:r>
        <w:rPr>
          <w:rtl w:val="true"/>
        </w:rPr>
        <w:t xml:space="preserve">, </w:t>
      </w:r>
      <w:r>
        <w:rPr>
          <w:rtl w:val="true"/>
        </w:rPr>
        <w:t>ויש ליתן לה את מלוא המשקל</w:t>
      </w:r>
      <w:r>
        <w:rPr>
          <w:rtl w:val="true"/>
        </w:rPr>
        <w:t xml:space="preserve">; </w:t>
      </w:r>
      <w:r>
        <w:rPr>
          <w:rtl w:val="true"/>
        </w:rPr>
        <w:t>כי הודעותיו של המשיב מהוות גרסה קוהרנטית ומשכנעת</w:t>
      </w:r>
      <w:r>
        <w:rPr>
          <w:rtl w:val="true"/>
        </w:rPr>
        <w:t xml:space="preserve">, </w:t>
      </w:r>
      <w:r>
        <w:rPr>
          <w:rtl w:val="true"/>
        </w:rPr>
        <w:t>המשקפת את חלקו באירוע</w:t>
      </w:r>
      <w:r>
        <w:rPr>
          <w:rtl w:val="true"/>
        </w:rPr>
        <w:t xml:space="preserve">; </w:t>
      </w:r>
      <w:r>
        <w:rPr>
          <w:rtl w:val="true"/>
        </w:rPr>
        <w:t>וכי בחירתו של המשיב שלא להעיד במשפטו</w:t>
      </w:r>
      <w:r>
        <w:rPr>
          <w:rtl w:val="true"/>
        </w:rPr>
        <w:t xml:space="preserve">, </w:t>
      </w:r>
      <w:r>
        <w:rPr>
          <w:rtl w:val="true"/>
        </w:rPr>
        <w:t xml:space="preserve">עולה כדי </w:t>
      </w:r>
      <w:r>
        <w:rPr>
          <w:rtl w:val="true"/>
        </w:rPr>
        <w:t>"</w:t>
      </w:r>
      <w:r>
        <w:rPr>
          <w:rtl w:val="true"/>
        </w:rPr>
        <w:t>דבר מה נוסף</w:t>
      </w:r>
      <w:r>
        <w:rPr>
          <w:rtl w:val="true"/>
        </w:rPr>
        <w:t xml:space="preserve">", </w:t>
      </w:r>
      <w:r>
        <w:rPr>
          <w:rtl w:val="true"/>
        </w:rPr>
        <w:t xml:space="preserve">לפי הוראת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162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על רקע האמור הוסיף בית המשפט וקבע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tl w:val="true"/>
        </w:rPr>
        <w:t>מאחר ואנו חיים רק מפי הודעותיו של הנאשם</w:t>
      </w:r>
      <w:r>
        <w:rPr>
          <w:rtl w:val="true"/>
        </w:rPr>
        <w:t xml:space="preserve">, </w:t>
      </w:r>
      <w:r>
        <w:rPr>
          <w:rtl w:val="true"/>
        </w:rPr>
        <w:t>יש להתייחס לכך בזהירות המתבקשת בבואנו להרשיע רק על פי דבריו</w:t>
      </w:r>
      <w:r>
        <w:rPr>
          <w:rtl w:val="true"/>
        </w:rPr>
        <w:t>" (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76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), </w:t>
      </w:r>
      <w:r>
        <w:rPr>
          <w:rtl w:val="true"/>
        </w:rPr>
        <w:t xml:space="preserve">כאשר בשל הימנעותו מעדות המשיב </w:t>
      </w:r>
      <w:r>
        <w:rPr>
          <w:rtl w:val="true"/>
        </w:rPr>
        <w:t>"</w:t>
      </w:r>
      <w:r>
        <w:rPr>
          <w:rtl w:val="true"/>
        </w:rPr>
        <w:t xml:space="preserve">אינו יכול להסתמך על אימרותיו </w:t>
      </w:r>
      <w:r>
        <w:rPr>
          <w:rtl w:val="true"/>
        </w:rPr>
        <w:t>'</w:t>
      </w:r>
      <w:r>
        <w:rPr>
          <w:rtl w:val="true"/>
        </w:rPr>
        <w:t>המזכות</w:t>
      </w:r>
      <w:r>
        <w:rPr>
          <w:rtl w:val="true"/>
        </w:rPr>
        <w:t xml:space="preserve">' </w:t>
      </w:r>
      <w:r>
        <w:rPr>
          <w:rtl w:val="true"/>
        </w:rPr>
        <w:t>בהודעותיו במשטרה ואינו יכול עתה ליתן פרשנות לאימרותיו המפלילות</w:t>
      </w:r>
      <w:r>
        <w:rPr>
          <w:rtl w:val="true"/>
        </w:rPr>
        <w:t>" (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77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>
          <w:b/>
          <w:bCs/>
          <w:u w:val="single"/>
        </w:rPr>
      </w:pPr>
      <w:r>
        <w:rPr>
          <w:rtl w:val="true"/>
        </w:rPr>
        <w:t>לאחר כל זאת פירט בית המשפט</w:t>
      </w:r>
      <w:r>
        <w:rPr>
          <w:rtl w:val="true"/>
        </w:rPr>
        <w:t xml:space="preserve">, </w:t>
      </w:r>
      <w:r>
        <w:rPr>
          <w:rtl w:val="true"/>
        </w:rPr>
        <w:t>בהתבסס על הודעותיו הנ</w:t>
      </w:r>
      <w:r>
        <w:rPr>
          <w:rtl w:val="true"/>
        </w:rPr>
        <w:t>"</w:t>
      </w:r>
      <w:r>
        <w:rPr>
          <w:rtl w:val="true"/>
        </w:rPr>
        <w:t>ל של המשיב</w:t>
      </w:r>
      <w:r>
        <w:rPr>
          <w:rtl w:val="true"/>
        </w:rPr>
        <w:t xml:space="preserve">, </w:t>
      </w:r>
      <w:r>
        <w:rPr>
          <w:rtl w:val="true"/>
        </w:rPr>
        <w:t xml:space="preserve">את מסכת </w:t>
      </w:r>
      <w:r>
        <w:rPr>
          <w:rtl w:val="true"/>
        </w:rPr>
        <w:t>"</w:t>
      </w:r>
      <w:r>
        <w:rPr>
          <w:rtl w:val="true"/>
        </w:rPr>
        <w:t>העובדות הברורות</w:t>
      </w:r>
      <w:r>
        <w:rPr>
          <w:rtl w:val="true"/>
        </w:rPr>
        <w:t xml:space="preserve">" </w:t>
      </w:r>
      <w:r>
        <w:rPr>
          <w:rtl w:val="true"/>
        </w:rPr>
        <w:t>כלשונו</w:t>
      </w:r>
      <w:r>
        <w:rPr>
          <w:rtl w:val="true"/>
        </w:rPr>
        <w:t xml:space="preserve">, </w:t>
      </w:r>
      <w:r>
        <w:rPr>
          <w:rtl w:val="true"/>
        </w:rPr>
        <w:t>העומדות לחובתו של המשיב מהן תיגזר אחריותו הפלילית</w:t>
      </w:r>
      <w:r>
        <w:rPr>
          <w:rtl w:val="true"/>
        </w:rPr>
        <w:t xml:space="preserve">, </w:t>
      </w:r>
      <w:r>
        <w:rPr>
          <w:rtl w:val="true"/>
        </w:rPr>
        <w:t>וכך הובאו הדברים בפס</w:t>
      </w:r>
      <w:r>
        <w:rPr>
          <w:rtl w:val="true"/>
        </w:rPr>
        <w:t xml:space="preserve">' </w:t>
      </w:r>
      <w:r>
        <w:rPr/>
        <w:t>78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>:</w:t>
      </w:r>
    </w:p>
    <w:p>
      <w:pPr>
        <w:pStyle w:val="Ruller5"/>
        <w:ind w:end="1282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והסיעם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הובלתם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לוחיות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הרישוי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הבגדים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חלפו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'</w:t>
      </w:r>
      <w:r>
        <w:rPr>
          <w:rtl w:val="true"/>
        </w:rPr>
        <w:t>סיור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מכין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מהגדרה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ח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>".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בית </w:t>
      </w:r>
      <w:r>
        <w:rPr>
          <w:rtl w:val="true"/>
        </w:rPr>
        <w:t>משפט קמא</w:t>
      </w:r>
      <w:r>
        <w:rPr>
          <w:rtl w:val="true"/>
        </w:rPr>
        <w:t xml:space="preserve"> קבע כי אין בעובדות כפי שהוכחו כדי להוביל להרשעת המשיב בעבירת ניסיון השוד כמבצע בצוותא</w:t>
      </w:r>
      <w:r>
        <w:rPr>
          <w:rtl w:val="true"/>
        </w:rPr>
        <w:t xml:space="preserve">. </w:t>
      </w:r>
      <w:r>
        <w:rPr>
          <w:rtl w:val="true"/>
        </w:rPr>
        <w:t>בית המשפט עמד בהרחבה על המבחנים שהותוו בפסיקה לעניין זיהויו של מבצע בצוותא ולעניין ההבחנה בין המבצע בצוותא לבין המסייע</w:t>
      </w:r>
      <w:r>
        <w:rPr>
          <w:rtl w:val="true"/>
        </w:rPr>
        <w:t xml:space="preserve">. </w:t>
      </w:r>
      <w:r>
        <w:rPr>
          <w:rtl w:val="true"/>
        </w:rPr>
        <w:t>על סמך העובדות שהוכחו בפניו</w:t>
      </w:r>
      <w:r>
        <w:rPr>
          <w:rtl w:val="true"/>
        </w:rPr>
        <w:t xml:space="preserve">, </w:t>
      </w:r>
      <w:r>
        <w:rPr>
          <w:rtl w:val="true"/>
        </w:rPr>
        <w:t>סבר בית משפט קמא כי חלקו של המשיב באירוע השוד היה מינורי</w:t>
      </w:r>
      <w:r>
        <w:rPr>
          <w:rtl w:val="true"/>
        </w:rPr>
        <w:t xml:space="preserve">, </w:t>
      </w:r>
      <w:r>
        <w:rPr>
          <w:rtl w:val="true"/>
        </w:rPr>
        <w:t>כאשר הסכים רק לשמש נהג כך ש</w:t>
      </w:r>
      <w:r>
        <w:rPr>
          <w:rtl w:val="true"/>
        </w:rPr>
        <w:t>"</w:t>
      </w:r>
      <w:r>
        <w:rPr>
          <w:rtl w:val="true"/>
        </w:rPr>
        <w:t>ברור הוא שהנאשם נגרר</w:t>
      </w:r>
      <w:r>
        <w:rPr>
          <w:rtl w:val="true"/>
        </w:rPr>
        <w:t xml:space="preserve">, </w:t>
      </w:r>
      <w:r>
        <w:rPr>
          <w:rtl w:val="true"/>
        </w:rPr>
        <w:t>לא יזם ולא לקח חלק פעיל בתכנון הכולל או בסדרת המעשים האפקטיביים לביצוע השוד</w:t>
      </w:r>
      <w:r>
        <w:rPr>
          <w:rtl w:val="true"/>
        </w:rPr>
        <w:t>" (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81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הרשיע בית המשפט קמא את המשיב בעבירת ניסיון השוד כמסייע בלבד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משזוכה המשיב מביצוע עבירת ניסיון השוד כמבצע בצוותא</w:t>
      </w:r>
      <w:r>
        <w:rPr>
          <w:rtl w:val="true"/>
        </w:rPr>
        <w:t xml:space="preserve">, </w:t>
      </w:r>
      <w:r>
        <w:rPr>
          <w:rtl w:val="true"/>
        </w:rPr>
        <w:t>מצא בית המשפט כי אין אישומו בעבירת הרצח כמבצע בצוותא יכול לעמוד לפי דיני השותפות</w:t>
      </w:r>
      <w:r>
        <w:rPr>
          <w:rtl w:val="true"/>
        </w:rPr>
        <w:t>, "</w:t>
      </w:r>
      <w:r>
        <w:rPr>
          <w:rtl w:val="true"/>
        </w:rPr>
        <w:t xml:space="preserve">שהרי גם בעבירת השוד לא נקבע שהוא מבצע בצוותא ובוודאי שלא לפי 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, </w:t>
      </w:r>
      <w:r>
        <w:rPr>
          <w:rtl w:val="true"/>
        </w:rPr>
        <w:t>שכן תנאי בלתו אין</w:t>
      </w:r>
      <w:r>
        <w:rPr>
          <w:rtl w:val="true"/>
        </w:rPr>
        <w:t xml:space="preserve">, </w:t>
      </w:r>
      <w:r>
        <w:rPr>
          <w:rtl w:val="true"/>
        </w:rPr>
        <w:t>לצורך תחולת הסעיף</w:t>
      </w:r>
      <w:r>
        <w:rPr>
          <w:rtl w:val="true"/>
        </w:rPr>
        <w:t xml:space="preserve">, </w:t>
      </w:r>
      <w:r>
        <w:rPr>
          <w:rtl w:val="true"/>
        </w:rPr>
        <w:t>שהנאשם יוגדר כמבצע בצוותא</w:t>
      </w:r>
      <w:r>
        <w:rPr>
          <w:rtl w:val="true"/>
        </w:rPr>
        <w:t>" (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85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חרף האמור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דן בחלקו של המערער בעבירת הרצח </w:t>
      </w:r>
      <w:r>
        <w:rPr>
          <w:rtl w:val="true"/>
        </w:rPr>
        <w:t>"</w:t>
      </w:r>
      <w:r>
        <w:rPr>
          <w:rtl w:val="true"/>
        </w:rPr>
        <w:t xml:space="preserve">גם בהנחה </w:t>
      </w:r>
      <w:r>
        <w:rPr>
          <w:rtl w:val="true"/>
        </w:rPr>
        <w:t>(</w:t>
      </w:r>
      <w:r>
        <w:rPr>
          <w:rtl w:val="true"/>
        </w:rPr>
        <w:t>נסתרת לטעמי</w:t>
      </w:r>
      <w:r>
        <w:rPr>
          <w:rtl w:val="true"/>
        </w:rPr>
        <w:t xml:space="preserve">) </w:t>
      </w:r>
      <w:r>
        <w:rPr>
          <w:rtl w:val="true"/>
        </w:rPr>
        <w:t>שלעניין השוד</w:t>
      </w:r>
      <w:r>
        <w:rPr>
          <w:rtl w:val="true"/>
        </w:rPr>
        <w:t xml:space="preserve">, </w:t>
      </w:r>
      <w:r>
        <w:rPr>
          <w:rtl w:val="true"/>
        </w:rPr>
        <w:t>יוגדר הוא כמבצע בצוותא</w:t>
      </w:r>
      <w:r>
        <w:rPr>
          <w:rtl w:val="true"/>
        </w:rPr>
        <w:t>" (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87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), </w:t>
      </w:r>
      <w:r>
        <w:rPr>
          <w:rtl w:val="true"/>
        </w:rPr>
        <w:t>והגיע למסקנה כי למשיב לא הייתה מודעות בפועל לכך שעבירת הרצח עומדת להתבצע או יכולת לצפות בכוח את התרחשותה</w:t>
      </w:r>
      <w:r>
        <w:rPr>
          <w:rtl w:val="true"/>
        </w:rPr>
        <w:t xml:space="preserve">, </w:t>
      </w:r>
      <w:r>
        <w:rPr>
          <w:rtl w:val="true"/>
        </w:rPr>
        <w:t>באופן המבסס את אחריות המשיב כמבצע עבירת הרצח כעבירה נגררת</w:t>
      </w:r>
      <w:r>
        <w:rPr>
          <w:rtl w:val="true"/>
        </w:rPr>
        <w:t xml:space="preserve">. </w:t>
      </w:r>
      <w:r>
        <w:rPr>
          <w:rtl w:val="true"/>
        </w:rPr>
        <w:t>נוכח כל זאת</w:t>
      </w:r>
      <w:r>
        <w:rPr>
          <w:rtl w:val="true"/>
        </w:rPr>
        <w:t xml:space="preserve">, </w:t>
      </w:r>
      <w:r>
        <w:rPr>
          <w:rtl w:val="true"/>
        </w:rPr>
        <w:t>זוכה המשיב גם מעבירת הרצח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25.2.2019</w:t>
      </w:r>
      <w:r>
        <w:rPr>
          <w:rtl w:val="true"/>
        </w:rPr>
        <w:t xml:space="preserve"> </w:t>
      </w:r>
      <w:r>
        <w:rPr>
          <w:rtl w:val="true"/>
        </w:rPr>
        <w:t>גזר בית המשפט את דינו של המבקש 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מאסרים מותנים</w:t>
      </w:r>
      <w:r>
        <w:rPr>
          <w:rtl w:val="true"/>
        </w:rPr>
        <w:t xml:space="preserve">, </w:t>
      </w:r>
      <w:r>
        <w:rPr>
          <w:rtl w:val="true"/>
        </w:rPr>
        <w:t xml:space="preserve">קנס בסך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, </w:t>
      </w:r>
      <w:r>
        <w:rPr>
          <w:rtl w:val="true"/>
        </w:rPr>
        <w:t xml:space="preserve">פסילה מלהחזיק רישיון נהיגה למשך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 וכן פסילה מותנית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למען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שוחרר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המערערת לא השלימה עם פסק דין זה</w:t>
      </w:r>
      <w:r>
        <w:rPr>
          <w:rtl w:val="true"/>
        </w:rPr>
        <w:t xml:space="preserve">. </w:t>
      </w:r>
      <w:r>
        <w:rPr>
          <w:rtl w:val="true"/>
        </w:rPr>
        <w:t>מכאן הערעור שלפנינו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לשיטת המערערת</w:t>
      </w:r>
      <w:r>
        <w:rPr>
          <w:rtl w:val="true"/>
        </w:rPr>
        <w:t xml:space="preserve">, </w:t>
      </w:r>
      <w:r>
        <w:rPr>
          <w:rtl w:val="true"/>
        </w:rPr>
        <w:t>לא היה מקום לסווג את המשיב כמסייע בלבד לניסיון השוד</w:t>
      </w:r>
      <w:r>
        <w:rPr>
          <w:rtl w:val="true"/>
        </w:rPr>
        <w:t xml:space="preserve">, </w:t>
      </w:r>
      <w:r>
        <w:rPr>
          <w:rtl w:val="true"/>
        </w:rPr>
        <w:t>ונדרש היה להרשיעו בביצוע עבירת ניסיון השוד כמבצע בצוותא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נטען כי נתקיימו התנאים הדרושים לשם ביסוס הרשעתו של המשיב אף בעבירת הרצח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אשר לביצוע ניסיון השוד בצוותא</w:t>
      </w:r>
      <w:r>
        <w:rPr>
          <w:rtl w:val="true"/>
        </w:rPr>
        <w:t xml:space="preserve">, </w:t>
      </w:r>
      <w:r>
        <w:rPr>
          <w:rtl w:val="true"/>
        </w:rPr>
        <w:t>סבורה המערערת כי מממצאי העובדה שנקבעו בבית משפט קמא</w:t>
      </w:r>
      <w:r>
        <w:rPr>
          <w:rtl w:val="true"/>
        </w:rPr>
        <w:t xml:space="preserve">, </w:t>
      </w:r>
      <w:r>
        <w:rPr>
          <w:rtl w:val="true"/>
        </w:rPr>
        <w:t>עולה המסקנה המשפטית כי המשיב היה חלק מהמעגל הפנימי של מבצעי עבירת השוד</w:t>
      </w:r>
      <w:r>
        <w:rPr>
          <w:rtl w:val="true"/>
        </w:rPr>
        <w:t xml:space="preserve">, </w:t>
      </w:r>
      <w:r>
        <w:rPr>
          <w:rtl w:val="true"/>
        </w:rPr>
        <w:t>וכי תרומתו ניכרת ועולה כדי ביצוע בצוותא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נטען כי גם אם המשיב </w:t>
      </w:r>
      <w:r>
        <w:rPr>
          <w:rtl w:val="true"/>
        </w:rPr>
        <w:t>"</w:t>
      </w:r>
      <w:r>
        <w:rPr>
          <w:rtl w:val="true"/>
        </w:rPr>
        <w:t>נגרר</w:t>
      </w:r>
      <w:r>
        <w:rPr>
          <w:rtl w:val="true"/>
        </w:rPr>
        <w:t xml:space="preserve">" </w:t>
      </w:r>
      <w:r>
        <w:rPr>
          <w:rtl w:val="true"/>
        </w:rPr>
        <w:t>לביצוע ניסיון השוד</w:t>
      </w:r>
      <w:r>
        <w:rPr>
          <w:rtl w:val="true"/>
        </w:rPr>
        <w:t xml:space="preserve">, </w:t>
      </w:r>
      <w:r>
        <w:rPr>
          <w:rtl w:val="true"/>
        </w:rPr>
        <w:t>אין בכך כדי להצדיק את הרשעתו כמסייע בלבד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אשר לעבירת הרצח</w:t>
      </w:r>
      <w:r>
        <w:rPr>
          <w:rtl w:val="true"/>
        </w:rPr>
        <w:t xml:space="preserve">, </w:t>
      </w:r>
      <w:r>
        <w:rPr>
          <w:rtl w:val="true"/>
        </w:rPr>
        <w:t>נטען כי המשיב</w:t>
      </w:r>
      <w:r>
        <w:rPr>
          <w:rtl w:val="true"/>
        </w:rPr>
        <w:t xml:space="preserve">, </w:t>
      </w:r>
      <w:r>
        <w:rPr>
          <w:rtl w:val="true"/>
        </w:rPr>
        <w:t>מכוח מעמדו כמבצע בצוותא</w:t>
      </w:r>
      <w:r>
        <w:rPr>
          <w:rtl w:val="true"/>
        </w:rPr>
        <w:t xml:space="preserve">, </w:t>
      </w:r>
      <w:r>
        <w:rPr>
          <w:rtl w:val="true"/>
        </w:rPr>
        <w:t xml:space="preserve">צפה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בפועל</w:t>
      </w:r>
      <w:r>
        <w:rPr>
          <w:rtl w:val="true"/>
        </w:rPr>
        <w:t xml:space="preserve"> את האפשרות שבמהלך ביצוע השוד תתבצע עבירת הריגה</w:t>
      </w:r>
      <w:r>
        <w:rPr>
          <w:rtl w:val="true"/>
        </w:rPr>
        <w:t xml:space="preserve">, </w:t>
      </w:r>
      <w:r>
        <w:rPr>
          <w:rtl w:val="true"/>
        </w:rPr>
        <w:t xml:space="preserve">ולחילופין </w:t>
      </w:r>
      <w:r>
        <w:rPr>
          <w:rtl w:val="true"/>
        </w:rPr>
        <w:t>–</w:t>
      </w:r>
      <w:r>
        <w:rPr>
          <w:rtl w:val="true"/>
        </w:rPr>
        <w:t xml:space="preserve">  די בצפיות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בכוח</w:t>
      </w:r>
      <w:r>
        <w:rPr>
          <w:rtl w:val="true"/>
        </w:rPr>
        <w:t xml:space="preserve"> של עבירה זו על מנת להצדיק את הרשעתו בעבירת המתה</w:t>
      </w:r>
      <w:r>
        <w:rPr>
          <w:rtl w:val="true"/>
        </w:rPr>
        <w:t xml:space="preserve">. </w:t>
      </w:r>
      <w:r>
        <w:rPr>
          <w:rtl w:val="true"/>
        </w:rPr>
        <w:t>נטען כי בפני בית משפט קמא עמדה תשתית ראייתית מוצקה לכך שהמנוח מצא את מותו במהלך השוד כתוצאה מדקירה בגבו על ידי אחד משותפיו של המשיב</w:t>
      </w:r>
      <w:r>
        <w:rPr>
          <w:rtl w:val="true"/>
        </w:rPr>
        <w:t xml:space="preserve">, </w:t>
      </w:r>
      <w:r>
        <w:rPr>
          <w:rtl w:val="true"/>
        </w:rPr>
        <w:t>וכי אין כל ספק שבוצעה על ידי האחר עבירה שהיא לכל הפחות עבירת הריגה</w:t>
      </w:r>
      <w:r>
        <w:rPr>
          <w:rtl w:val="true"/>
        </w:rPr>
        <w:t xml:space="preserve">. </w:t>
      </w:r>
      <w:r>
        <w:rPr>
          <w:rtl w:val="true"/>
        </w:rPr>
        <w:t>המערערת מדגישה כי המשיב ידע ששותפיו לתכנית מצוידים בנשק קר</w:t>
      </w:r>
      <w:r>
        <w:rPr>
          <w:rtl w:val="true"/>
        </w:rPr>
        <w:t xml:space="preserve">, </w:t>
      </w:r>
      <w:r>
        <w:rPr>
          <w:rtl w:val="true"/>
        </w:rPr>
        <w:t xml:space="preserve">וצפה </w:t>
      </w:r>
      <w:r>
        <w:rPr>
          <w:rtl w:val="true"/>
        </w:rPr>
        <w:t>–</w:t>
      </w:r>
      <w:r>
        <w:rPr>
          <w:rtl w:val="true"/>
        </w:rPr>
        <w:t xml:space="preserve"> או למצער יכול היה לצפות </w:t>
      </w:r>
      <w:r>
        <w:rPr>
          <w:rtl w:val="true"/>
        </w:rPr>
        <w:t>–</w:t>
      </w:r>
      <w:r>
        <w:rPr>
          <w:rtl w:val="true"/>
        </w:rPr>
        <w:t xml:space="preserve"> שייעשה בנשק זה שימוש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סומך ידו על פסק דינו של בית משפט קמא</w:t>
      </w:r>
      <w:r>
        <w:rPr>
          <w:rtl w:val="true"/>
        </w:rPr>
        <w:t xml:space="preserve">. </w:t>
      </w:r>
      <w:r>
        <w:rPr>
          <w:rtl w:val="true"/>
        </w:rPr>
        <w:t>נטען כי אין לראות בהתנהלות המשיב ככזו המצדיקה הרשעתו בביצוע בצוותא של עבירת השוד</w:t>
      </w:r>
      <w:r>
        <w:rPr>
          <w:rtl w:val="true"/>
        </w:rPr>
        <w:t xml:space="preserve">, </w:t>
      </w:r>
      <w:r>
        <w:rPr>
          <w:rtl w:val="true"/>
        </w:rPr>
        <w:t>ולבטח לא היה בסיס להרשיעו בעבירת רצח</w:t>
      </w:r>
      <w:r>
        <w:rPr>
          <w:rtl w:val="true"/>
        </w:rPr>
        <w:t xml:space="preserve">, </w:t>
      </w:r>
      <w:r>
        <w:rPr>
          <w:rtl w:val="true"/>
        </w:rPr>
        <w:t xml:space="preserve">משתרומתו לניסיון השוד הייתה לכל היותר </w:t>
      </w:r>
      <w:r>
        <w:rPr>
          <w:rtl w:val="true"/>
        </w:rPr>
        <w:t>"</w:t>
      </w:r>
      <w:r>
        <w:rPr>
          <w:rtl w:val="true"/>
        </w:rPr>
        <w:t>חיצונית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1.7.2019</w:t>
      </w:r>
      <w:r>
        <w:rPr>
          <w:rtl w:val="true"/>
        </w:rPr>
        <w:t xml:space="preserve"> </w:t>
      </w:r>
      <w:r>
        <w:rPr>
          <w:rtl w:val="true"/>
        </w:rPr>
        <w:t>נערך דיון ראשון בערעור</w:t>
      </w:r>
      <w:r>
        <w:rPr>
          <w:rtl w:val="true"/>
        </w:rPr>
        <w:t xml:space="preserve">, </w:t>
      </w:r>
      <w:r>
        <w:rPr>
          <w:rtl w:val="true"/>
        </w:rPr>
        <w:t>בסופו הוחלט לדחות את שמיעתו עד למתן הכרעת הדין בעניינו של דאהר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9.5.2021</w:t>
      </w:r>
      <w:r>
        <w:rPr>
          <w:rtl w:val="true"/>
        </w:rPr>
        <w:t xml:space="preserve"> </w:t>
      </w:r>
      <w:r>
        <w:rPr>
          <w:rtl w:val="true"/>
        </w:rPr>
        <w:t>ניתנה הכרעת הדין</w:t>
      </w:r>
      <w:r>
        <w:rPr>
          <w:rtl w:val="true"/>
        </w:rPr>
        <w:t xml:space="preserve">, </w:t>
      </w:r>
      <w:r>
        <w:rPr>
          <w:rtl w:val="true"/>
        </w:rPr>
        <w:t>בגדרה הורשע דאהר בעבירות רצח</w:t>
      </w:r>
      <w:r>
        <w:rPr>
          <w:rtl w:val="true"/>
        </w:rPr>
        <w:t xml:space="preserve">, </w:t>
      </w:r>
      <w:r>
        <w:rPr>
          <w:rtl w:val="true"/>
        </w:rPr>
        <w:t>ניסיון שוד בנסיבות מחמירות וחבלה חמורה בנסיבות מחמירות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30.9.2021</w:t>
      </w:r>
      <w:r>
        <w:rPr>
          <w:rtl w:val="true"/>
        </w:rPr>
        <w:t xml:space="preserve"> </w:t>
      </w:r>
      <w:r>
        <w:rPr>
          <w:rtl w:val="true"/>
        </w:rPr>
        <w:t>נערך דיון שני בערעור</w:t>
      </w:r>
      <w:r>
        <w:rPr>
          <w:rtl w:val="true"/>
        </w:rPr>
        <w:t xml:space="preserve">, </w:t>
      </w:r>
      <w:r>
        <w:rPr>
          <w:rtl w:val="true"/>
        </w:rPr>
        <w:t>בו חזרו הצדדים על טיעוניהם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לאחר עיון בערעור על נספחיו</w:t>
      </w:r>
      <w:r>
        <w:rPr>
          <w:rtl w:val="true"/>
        </w:rPr>
        <w:t xml:space="preserve">, </w:t>
      </w:r>
      <w:r>
        <w:rPr>
          <w:rtl w:val="true"/>
        </w:rPr>
        <w:t>ולאחר שמיעת טענות הצדדים</w:t>
      </w:r>
      <w:r>
        <w:rPr>
          <w:rtl w:val="true"/>
        </w:rPr>
        <w:t xml:space="preserve">, </w:t>
      </w:r>
      <w:r>
        <w:rPr>
          <w:rtl w:val="true"/>
        </w:rPr>
        <w:t>באתי לכלל מסקנה כי דין הערעור להתקבל בחלקו</w:t>
      </w:r>
      <w:r>
        <w:rPr>
          <w:rtl w:val="true"/>
        </w:rPr>
        <w:t xml:space="preserve">, </w:t>
      </w:r>
      <w:r>
        <w:rPr>
          <w:rtl w:val="true"/>
        </w:rPr>
        <w:t>במובן זה שהמשיב יורשע בביצוע ניסיון השוד בצוותא</w:t>
      </w:r>
      <w:r>
        <w:rPr>
          <w:rtl w:val="true"/>
        </w:rPr>
        <w:t xml:space="preserve">. </w:t>
      </w:r>
      <w:r>
        <w:rPr>
          <w:rtl w:val="true"/>
        </w:rPr>
        <w:t>אשר לעבירת הרצח</w:t>
      </w:r>
      <w:r>
        <w:rPr>
          <w:rtl w:val="true"/>
        </w:rPr>
        <w:t xml:space="preserve">, </w:t>
      </w:r>
      <w:r>
        <w:rPr>
          <w:rtl w:val="true"/>
        </w:rPr>
        <w:t>יוותר הזיכוי על כנו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highlight w:val="cyan"/>
        </w:rPr>
      </w:pPr>
      <w:r>
        <w:rPr>
          <w:highlight w:val="cyan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הזיכוי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ניסיון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השוד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בעקבות עיון בטענות המערערת והמשיב</w:t>
      </w:r>
      <w:r>
        <w:rPr>
          <w:rtl w:val="true"/>
        </w:rPr>
        <w:t xml:space="preserve">, </w:t>
      </w:r>
      <w:r>
        <w:rPr>
          <w:rtl w:val="true"/>
        </w:rPr>
        <w:t>בהכרעת הדין של בית משפט קמא ובהודעותיו של המשיב במשטרה</w:t>
      </w:r>
      <w:r>
        <w:rPr>
          <w:rtl w:val="true"/>
        </w:rPr>
        <w:t xml:space="preserve">, </w:t>
      </w:r>
      <w:r>
        <w:rPr>
          <w:rtl w:val="true"/>
        </w:rPr>
        <w:t>מצאתי כי דין הערעור להתקבל בחלקו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tabs>
          <w:tab w:val="clear" w:pos="720"/>
          <w:tab w:val="left" w:pos="907" w:leader="none"/>
        </w:tabs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מסקנתי</w:t>
      </w:r>
      <w:r>
        <w:rPr>
          <w:rtl w:val="true"/>
        </w:rPr>
        <w:t xml:space="preserve">, </w:t>
      </w:r>
      <w:r>
        <w:rPr>
          <w:rtl w:val="true"/>
        </w:rPr>
        <w:t>לאחר בחינת הדברים</w:t>
      </w:r>
      <w:r>
        <w:rPr>
          <w:rtl w:val="true"/>
        </w:rPr>
        <w:t xml:space="preserve">, </w:t>
      </w:r>
      <w:r>
        <w:rPr>
          <w:rtl w:val="true"/>
        </w:rPr>
        <w:t>היא שממצאי העובדה שבית המשפט קמא זיקק מתוך מכלול הודעות המשיב</w:t>
      </w:r>
      <w:r>
        <w:rPr>
          <w:rtl w:val="true"/>
        </w:rPr>
        <w:t xml:space="preserve">, </w:t>
      </w:r>
      <w:r>
        <w:rPr>
          <w:rtl w:val="true"/>
        </w:rPr>
        <w:t>מובילים למסקנה המשפטית כי המשיב הינו מבצע בצוותא של עבירת ניסיון השוד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אשר מגדיר ביצוע בצוותא מהו</w:t>
      </w:r>
      <w:r>
        <w:rPr>
          <w:rtl w:val="true"/>
        </w:rPr>
        <w:t xml:space="preserve">, </w:t>
      </w:r>
      <w:r>
        <w:rPr>
          <w:rtl w:val="true"/>
        </w:rPr>
        <w:t>קובע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המשתתפים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לביצועה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ביחד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ומקצתם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".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עשייתה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הביצוע</w:t>
      </w:r>
      <w:r>
        <w:rPr>
          <w:rtl w:val="true"/>
        </w:rPr>
        <w:t xml:space="preserve">,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תפיסת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המבצע</w:t>
      </w:r>
      <w:r>
        <w:rPr>
          <w:rtl w:val="true"/>
        </w:rPr>
        <w:t xml:space="preserve">, </w:t>
      </w:r>
      <w:r>
        <w:rPr>
          <w:rtl w:val="true"/>
        </w:rPr>
        <w:t>גילוי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שללה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ליצירת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מסייע</w:t>
      </w:r>
      <w:r>
        <w:rPr>
          <w:rtl w:val="true"/>
        </w:rPr>
        <w:t>"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המסייע</w:t>
      </w:r>
      <w:r>
        <w:rPr>
          <w:rtl w:val="true"/>
        </w:rPr>
        <w:t xml:space="preserve">" </w:t>
      </w:r>
      <w:r>
        <w:rPr>
          <w:rtl w:val="true"/>
        </w:rPr>
        <w:t>כונתה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בספרות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ההשתתפות</w:t>
      </w:r>
      <w:r>
        <w:rPr>
          <w:rtl w:val="true"/>
        </w:rPr>
        <w:t xml:space="preserve">".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שנועדו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לאבטחה</w:t>
      </w:r>
      <w:r>
        <w:rPr>
          <w:rtl w:val="true"/>
        </w:rPr>
        <w:t xml:space="preserve">. </w:t>
      </w:r>
      <w:r>
        <w:rPr>
          <w:rtl w:val="true"/>
        </w:rPr>
        <w:t>בהיות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ההשתתפות</w:t>
      </w:r>
      <w:r>
        <w:rPr>
          <w:rtl w:val="true"/>
        </w:rPr>
        <w:t xml:space="preserve">"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כשלעצמו</w:t>
      </w:r>
      <w:r>
        <w:rPr>
          <w:rtl w:val="true"/>
        </w:rPr>
        <w:t xml:space="preserve">, </w:t>
      </w:r>
      <w:r>
        <w:rPr>
          <w:rtl w:val="true"/>
        </w:rPr>
        <w:t>התוותה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r>
        <w:rPr>
          <w:rtl w:val="true"/>
        </w:rPr>
        <w:t>יורם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ואקי</w:t>
      </w:r>
      <w:r>
        <w:rPr>
          <w:rFonts w:eastAsia="Arial TUR;Arial" w:cs="Arial TUR;Arial"/>
          <w:rtl w:val="true"/>
        </w:rPr>
        <w:t xml:space="preserve"> </w:t>
      </w:r>
      <w:hyperlink r:id="rId36">
        <w:r>
          <w:rPr>
            <w:rStyle w:val="Hyperlink"/>
            <w:rFonts w:ascii="Century" w:hAnsi="Century" w:cs="Miriam"/>
            <w:b/>
            <w:b/>
            <w:color w:val="000000"/>
            <w:spacing w:val="0"/>
            <w:szCs w:val="24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00"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00"/>
            <w:spacing w:val="0"/>
            <w:szCs w:val="24"/>
            <w:rtl w:val="true"/>
          </w:rPr>
          <w:t>עונשין</w:t>
        </w:r>
      </w:hyperlink>
      <w:r>
        <w:rPr>
          <w:rtl w:val="true"/>
        </w:rPr>
        <w:t xml:space="preserve">, </w:t>
      </w:r>
      <w:r>
        <w:rPr>
          <w:rtl w:val="true"/>
        </w:rPr>
        <w:t>כרך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/>
        <w:t>641-640</w:t>
      </w:r>
      <w:r>
        <w:rPr>
          <w:rtl w:val="true"/>
        </w:rPr>
        <w:t xml:space="preserve"> (</w:t>
      </w:r>
      <w:r>
        <w:rPr>
          <w:rtl w:val="true"/>
        </w:rPr>
        <w:t>מהדורה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/>
        <w:t>2014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ואקי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עשתה הפסיקה שימוש במבחן העזר של שליטה פונקציונלית</w:t>
      </w:r>
      <w:r>
        <w:rPr>
          <w:rtl w:val="true"/>
        </w:rPr>
        <w:t>-</w:t>
      </w:r>
      <w:r>
        <w:rPr>
          <w:rtl w:val="true"/>
        </w:rPr>
        <w:t>מהותית על האירוע</w:t>
      </w:r>
      <w:r>
        <w:rPr>
          <w:rtl w:val="true"/>
        </w:rPr>
        <w:t xml:space="preserve">, </w:t>
      </w:r>
      <w:r>
        <w:rPr>
          <w:rtl w:val="true"/>
        </w:rPr>
        <w:t xml:space="preserve">על מנת להבחין בין המבצע בצוותא והמסייע </w:t>
      </w:r>
      <w:r>
        <w:rPr>
          <w:rtl w:val="true"/>
        </w:rPr>
        <w:t>(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8573/96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מרקדו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87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גולדברג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18.12.1997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מרקדו</w:t>
      </w:r>
      <w:r>
        <w:rPr>
          <w:rtl w:val="true"/>
        </w:rPr>
        <w:t xml:space="preserve">)).  </w:t>
      </w:r>
      <w:r>
        <w:rPr>
          <w:rtl w:val="true"/>
        </w:rPr>
        <w:t>את מבחן העזר של שליטה פונקציונלית</w:t>
      </w:r>
      <w:r>
        <w:rPr>
          <w:rtl w:val="true"/>
        </w:rPr>
        <w:t xml:space="preserve">, </w:t>
      </w:r>
      <w:r>
        <w:rPr>
          <w:rtl w:val="true"/>
        </w:rPr>
        <w:t>יש לשלב וליישם לצד מבחנים אחרים</w:t>
      </w:r>
      <w:r>
        <w:rPr>
          <w:rtl w:val="true"/>
        </w:rPr>
        <w:t xml:space="preserve">, </w:t>
      </w:r>
      <w:r>
        <w:rPr>
          <w:rtl w:val="true"/>
        </w:rPr>
        <w:t xml:space="preserve">על מנת לעמוד על מרכיבי ההבחנה בין המבצע בצוותא לבין המסייע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2111/99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פס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10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לפסק דינו של השופט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כתוארו אז</w:t>
      </w:r>
      <w:r>
        <w:rPr>
          <w:rFonts w:cs="Century" w:ascii="Century" w:hAnsi="Century"/>
          <w:rtl w:val="true"/>
        </w:rPr>
        <w:t>)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ובראן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26.11.2003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חיירו</w:t>
      </w:r>
      <w:r>
        <w:rPr>
          <w:rtl w:val="true"/>
        </w:rPr>
        <w:t>)).</w:t>
      </w:r>
    </w:p>
    <w:p>
      <w:pPr>
        <w:pStyle w:val="Ruller42"/>
        <w:tabs>
          <w:tab w:val="clear" w:pos="720"/>
          <w:tab w:val="left" w:pos="907" w:leader="none"/>
        </w:tabs>
        <w:ind w:end="0"/>
        <w:jc w:val="both"/>
        <w:rPr/>
      </w:pPr>
      <w:r>
        <w:rPr>
          <w:rtl w:val="true"/>
        </w:rPr>
      </w:r>
    </w:p>
    <w:p>
      <w:pPr>
        <w:pStyle w:val="Ruller42"/>
        <w:tabs>
          <w:tab w:val="clear" w:pos="720"/>
          <w:tab w:val="left" w:pos="907" w:leader="none"/>
        </w:tabs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מבחן עזר נוסף מבקש להתחקות אחר השתייכותו של אדם ל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מעגל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הפנימי</w:t>
      </w:r>
      <w:r>
        <w:rPr>
          <w:rtl w:val="true"/>
        </w:rPr>
        <w:t xml:space="preserve">" </w:t>
      </w:r>
      <w:r>
        <w:rPr>
          <w:rtl w:val="true"/>
        </w:rPr>
        <w:t xml:space="preserve">של ביצוע העבירה </w:t>
      </w:r>
      <w:r>
        <w:rPr>
          <w:rtl w:val="true"/>
        </w:rPr>
        <w:t>–</w:t>
      </w:r>
      <w:r>
        <w:rPr>
          <w:rtl w:val="true"/>
        </w:rPr>
        <w:t xml:space="preserve"> המאפיין את המבצעים בצוותא </w:t>
      </w:r>
      <w:r>
        <w:rPr>
          <w:rtl w:val="true"/>
        </w:rPr>
        <w:t>–</w:t>
      </w:r>
      <w:r>
        <w:rPr>
          <w:rtl w:val="true"/>
        </w:rPr>
        <w:t xml:space="preserve"> לעומת המסייעים אשר מצויים במעגל חיצוני יותר של התכנית עבריינית</w:t>
      </w:r>
      <w:r>
        <w:rPr>
          <w:rtl w:val="true"/>
        </w:rPr>
        <w:t xml:space="preserve">. </w:t>
      </w:r>
      <w:r>
        <w:rPr>
          <w:rtl w:val="true"/>
        </w:rPr>
        <w:t>מי שנטל חלק בהחלטה משותפת לביצוע שוד</w:t>
      </w:r>
      <w:r>
        <w:rPr>
          <w:rtl w:val="true"/>
        </w:rPr>
        <w:t xml:space="preserve">, </w:t>
      </w:r>
      <w:r>
        <w:rPr>
          <w:rtl w:val="true"/>
        </w:rPr>
        <w:t>ואף היה צד לביצועה</w:t>
      </w:r>
      <w:r>
        <w:rPr>
          <w:rtl w:val="true"/>
        </w:rPr>
        <w:t xml:space="preserve">, </w:t>
      </w:r>
      <w:r>
        <w:rPr>
          <w:rtl w:val="true"/>
        </w:rPr>
        <w:t>משתייך למעגל הפנימי האמור</w:t>
      </w:r>
      <w:r>
        <w:rPr>
          <w:rtl w:val="true"/>
        </w:rPr>
        <w:t xml:space="preserve">, </w:t>
      </w:r>
      <w:r>
        <w:rPr>
          <w:rtl w:val="true"/>
        </w:rPr>
        <w:t xml:space="preserve">ונושא באחריות כמבצע בצוותא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3390/98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28.12.1999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רוש</w:t>
      </w:r>
      <w:r>
        <w:rPr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חיירו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tl w:val="true"/>
        </w:rPr>
        <w:t>(</w:t>
      </w:r>
      <w:r>
        <w:rPr>
          <w:rtl w:val="true"/>
        </w:rPr>
        <w:t>כתוארו 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ובראן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בפסיקה השתרשה ההבנה</w:t>
      </w:r>
      <w:r>
        <w:rPr>
          <w:rtl w:val="true"/>
        </w:rPr>
        <w:t xml:space="preserve">, </w:t>
      </w:r>
      <w:r>
        <w:rPr>
          <w:rtl w:val="true"/>
        </w:rPr>
        <w:t>כי החלתו של מבחן עזר יחיד לעניין הבחנה בין מבצע בצוותא למסייע</w:t>
      </w:r>
      <w:r>
        <w:rPr>
          <w:rtl w:val="true"/>
        </w:rPr>
        <w:t xml:space="preserve">, </w:t>
      </w:r>
      <w:r>
        <w:rPr>
          <w:rtl w:val="true"/>
        </w:rPr>
        <w:t xml:space="preserve">עשויה לעורר קושי </w:t>
      </w:r>
      <w:r>
        <w:rPr>
          <w:rtl w:val="true"/>
        </w:rPr>
        <w:t>(</w:t>
      </w:r>
      <w:r>
        <w:rPr>
          <w:rtl w:val="true"/>
        </w:rPr>
        <w:t>ראו לעניין זה מרים גור</w:t>
      </w:r>
      <w:r>
        <w:rPr>
          <w:rtl w:val="true"/>
        </w:rPr>
        <w:t>-</w:t>
      </w:r>
      <w:hyperlink r:id="rId40">
        <w:r>
          <w:rPr>
            <w:rStyle w:val="Hyperlink"/>
            <w:color w:val="0000FF"/>
            <w:u w:val="single"/>
            <w:rtl w:val="true"/>
          </w:rPr>
          <w:t>אריה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צורות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ביצוע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עבירה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פלילית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פלילים</w:t>
      </w:r>
      <w:r>
        <w:rPr>
          <w:rtl w:val="true"/>
        </w:rPr>
        <w:t xml:space="preserve"> א </w:t>
      </w:r>
      <w:r>
        <w:rPr/>
        <w:t>29</w:t>
      </w:r>
      <w:r>
        <w:rPr>
          <w:rtl w:val="true"/>
        </w:rPr>
        <w:t xml:space="preserve"> (</w:t>
      </w:r>
      <w:r>
        <w:rPr/>
        <w:t>1990</w:t>
      </w:r>
      <w:r>
        <w:rPr>
          <w:rtl w:val="true"/>
        </w:rPr>
        <w:t xml:space="preserve">)).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נהוג בבית משפט זה </w:t>
      </w:r>
      <w:r>
        <w:rPr>
          <w:rtl w:val="true"/>
        </w:rPr>
        <w:t>"</w:t>
      </w:r>
      <w:r>
        <w:rPr>
          <w:rtl w:val="true"/>
        </w:rPr>
        <w:t>המבחן המשולב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ואקי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644-643</w:t>
      </w:r>
      <w:r>
        <w:rPr>
          <w:rtl w:val="true"/>
        </w:rPr>
        <w:t xml:space="preserve">). </w:t>
      </w:r>
      <w:r>
        <w:rPr>
          <w:rtl w:val="true"/>
        </w:rPr>
        <w:t>בגדר המבחן המשולב</w:t>
      </w:r>
      <w:r>
        <w:rPr>
          <w:rtl w:val="true"/>
        </w:rPr>
        <w:t xml:space="preserve">, </w:t>
      </w:r>
      <w:r>
        <w:rPr>
          <w:rtl w:val="true"/>
        </w:rPr>
        <w:t>יש לבחון הן את איכות התרומה הפיזית של המבצע בצוותא</w:t>
      </w:r>
      <w:r>
        <w:rPr>
          <w:rtl w:val="true"/>
        </w:rPr>
        <w:t xml:space="preserve">, </w:t>
      </w:r>
      <w:r>
        <w:rPr>
          <w:rtl w:val="true"/>
        </w:rPr>
        <w:t xml:space="preserve">והן את היסוד הנפשי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מרקדו</w:t>
      </w:r>
      <w:r>
        <w:rPr>
          <w:rtl w:val="true"/>
        </w:rPr>
        <w:t xml:space="preserve">, </w:t>
      </w:r>
      <w:r>
        <w:rPr>
          <w:rtl w:val="true"/>
        </w:rPr>
        <w:t>בפס</w:t>
      </w:r>
      <w:r>
        <w:rPr>
          <w:rtl w:val="true"/>
        </w:rPr>
        <w:t xml:space="preserve">' </w:t>
      </w:r>
      <w:r>
        <w:rPr/>
        <w:t>88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גולדברג</w:t>
      </w:r>
      <w:r>
        <w:rPr>
          <w:rtl w:val="true"/>
        </w:rPr>
        <w:t xml:space="preserve">). </w:t>
      </w:r>
      <w:r>
        <w:rPr>
          <w:rtl w:val="true"/>
        </w:rPr>
        <w:t xml:space="preserve">המבחן המשולב תואר כמקבילית כוחות </w:t>
      </w:r>
      <w:r>
        <w:rPr>
          <w:rtl w:val="true"/>
        </w:rPr>
        <w:t>–</w:t>
      </w:r>
      <w:r>
        <w:rPr>
          <w:rtl w:val="true"/>
        </w:rPr>
        <w:t xml:space="preserve"> ככל שהיסוד הנפשי של עושה העבירה גבוה יותר</w:t>
      </w:r>
      <w:r>
        <w:rPr>
          <w:rtl w:val="true"/>
        </w:rPr>
        <w:t xml:space="preserve">, </w:t>
      </w:r>
      <w:r>
        <w:rPr>
          <w:rtl w:val="true"/>
        </w:rPr>
        <w:t>כך ניתן להסתפק בדרגה נמוכה יותר בכל הנוגע ליסוד העובדתי</w:t>
      </w:r>
      <w:r>
        <w:rPr>
          <w:rtl w:val="true"/>
        </w:rPr>
        <w:t xml:space="preserve">. </w:t>
      </w:r>
      <w:r>
        <w:rPr>
          <w:rtl w:val="true"/>
        </w:rPr>
        <w:t>הלכה למעשה</w:t>
      </w:r>
      <w:r>
        <w:rPr>
          <w:rtl w:val="true"/>
        </w:rPr>
        <w:t xml:space="preserve">, </w:t>
      </w:r>
      <w:r>
        <w:rPr>
          <w:rtl w:val="true"/>
        </w:rPr>
        <w:t>באים מבחני העזר של שליטה פונקציונלית ושל חברות במעגל הפנימי של ביצוע העבירה כשיקולים</w:t>
      </w:r>
      <w:r>
        <w:rPr>
          <w:rtl w:val="true"/>
        </w:rPr>
        <w:t xml:space="preserve">, </w:t>
      </w:r>
      <w:r>
        <w:rPr>
          <w:rtl w:val="true"/>
        </w:rPr>
        <w:t>בגדרי בחינת המבחן המשולב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המבחן המשולב</w:t>
      </w:r>
      <w:r>
        <w:rPr>
          <w:rtl w:val="true"/>
        </w:rPr>
        <w:t xml:space="preserve">,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הוא מבחן רחב</w:t>
      </w:r>
      <w:r>
        <w:rPr>
          <w:rtl w:val="true"/>
        </w:rPr>
        <w:t xml:space="preserve">, </w:t>
      </w:r>
      <w:r>
        <w:rPr>
          <w:rtl w:val="true"/>
        </w:rPr>
        <w:t>המתמקד הן ביסוד העובדתי והן ביסוד הנפשי של התנהגותו הפלילית של אדם</w:t>
      </w:r>
      <w:r>
        <w:rPr>
          <w:rtl w:val="true"/>
        </w:rPr>
        <w:t xml:space="preserve">. </w:t>
      </w:r>
      <w:r>
        <w:rPr>
          <w:rtl w:val="true"/>
        </w:rPr>
        <w:t>הוא בוחן את מעשיו ואת כוונתו</w:t>
      </w:r>
      <w:r>
        <w:rPr>
          <w:rtl w:val="true"/>
        </w:rPr>
        <w:t xml:space="preserve">, </w:t>
      </w:r>
      <w:r>
        <w:rPr>
          <w:rtl w:val="true"/>
        </w:rPr>
        <w:t>וכולל בחובו גם בחינה של שליטתו באירוע הפלילי</w:t>
      </w:r>
      <w:r>
        <w:rPr>
          <w:rtl w:val="true"/>
        </w:rPr>
        <w:t xml:space="preserve">, </w:t>
      </w:r>
      <w:r>
        <w:rPr>
          <w:rtl w:val="true"/>
        </w:rPr>
        <w:t>רמת מעורבותו במעגל המצומצם והפנימי של המשתתפים בו ובתכניתם המשותפת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כי הפסיקה נתנה דעתה על חשיבות שמירת ההפרדה בין המבצע בצוותא לבין המסייע</w:t>
      </w:r>
      <w:r>
        <w:rPr>
          <w:rtl w:val="true"/>
        </w:rPr>
        <w:t xml:space="preserve">, </w:t>
      </w:r>
      <w:r>
        <w:rPr>
          <w:rtl w:val="true"/>
        </w:rPr>
        <w:t>והזהירה מפני הרחבה של מושג המבצע בצוותא יתר על המידה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הוצע להתמקד בשאלה האם בוצע תכנון מוקדם</w:t>
      </w:r>
      <w:r>
        <w:rPr>
          <w:rtl w:val="true"/>
        </w:rPr>
        <w:t xml:space="preserve">, </w:t>
      </w:r>
      <w:r>
        <w:rPr>
          <w:rtl w:val="true"/>
        </w:rPr>
        <w:t xml:space="preserve">והאם הנאשם נטל חלק בביצוע הפיזי של העבירה </w:t>
      </w:r>
      <w:r>
        <w:rPr>
          <w:rtl w:val="true"/>
        </w:rPr>
        <w:t>–</w:t>
      </w:r>
      <w:r>
        <w:rPr>
          <w:rtl w:val="true"/>
        </w:rPr>
        <w:t xml:space="preserve"> כאשר ככל שמידת המעורבות בתכנון גדולה יותר</w:t>
      </w:r>
      <w:r>
        <w:rPr>
          <w:rtl w:val="true"/>
        </w:rPr>
        <w:t xml:space="preserve">, </w:t>
      </w:r>
      <w:r>
        <w:rPr>
          <w:rtl w:val="true"/>
        </w:rPr>
        <w:t xml:space="preserve">יוכל בית המשפט להסתפק במעורבות מצומצמת יותר בביצוע הפיזי של העבירה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2638/10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tl w:val="true"/>
        </w:rPr>
        <w:t>(</w:t>
      </w:r>
      <w:r>
        <w:rPr>
          <w:rtl w:val="true"/>
        </w:rPr>
        <w:t>כתוארו 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גרוניס</w:t>
      </w:r>
      <w:r>
        <w:rPr>
          <w:rtl w:val="true"/>
        </w:rPr>
        <w:t xml:space="preserve">)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24.3.2011</w:t>
      </w:r>
      <w:r>
        <w:rPr>
          <w:rtl w:val="true"/>
        </w:rPr>
        <w:t>)).</w:t>
      </w:r>
    </w:p>
    <w:p>
      <w:pPr>
        <w:pStyle w:val="Ruller42"/>
        <w:ind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 </w:t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 בפסיקה הוזכר מבחן דומה בטיבו למבחן המשולב</w:t>
      </w:r>
      <w:r>
        <w:rPr>
          <w:rtl w:val="true"/>
        </w:rPr>
        <w:t xml:space="preserve">, </w:t>
      </w:r>
      <w:r>
        <w:rPr>
          <w:rtl w:val="true"/>
        </w:rPr>
        <w:t xml:space="preserve">לפיו על בית המשפט להתחקות אחר </w:t>
      </w:r>
      <w:r>
        <w:rPr>
          <w:rtl w:val="true"/>
        </w:rPr>
        <w:t>"</w:t>
      </w:r>
      <w:r>
        <w:rPr>
          <w:rtl w:val="true"/>
        </w:rPr>
        <w:t>ארבעה מושגי מפתח</w:t>
      </w:r>
      <w:r>
        <w:rPr>
          <w:rtl w:val="true"/>
        </w:rPr>
        <w:t xml:space="preserve">" </w:t>
      </w:r>
      <w:r>
        <w:rPr>
          <w:rtl w:val="true"/>
        </w:rPr>
        <w:t>המאפיינים את התנהלותו של המבצע בצוותא</w:t>
      </w:r>
      <w:r>
        <w:rPr>
          <w:rtl w:val="true"/>
        </w:rPr>
        <w:t xml:space="preserve">: </w:t>
      </w:r>
      <w:r>
        <w:rPr>
          <w:rtl w:val="true"/>
        </w:rPr>
        <w:t>תכנית משותפת</w:t>
      </w:r>
      <w:r>
        <w:rPr>
          <w:rtl w:val="true"/>
        </w:rPr>
        <w:t xml:space="preserve">; </w:t>
      </w:r>
      <w:r>
        <w:rPr>
          <w:rtl w:val="true"/>
        </w:rPr>
        <w:t>מעגל פנימי</w:t>
      </w:r>
      <w:r>
        <w:rPr>
          <w:rtl w:val="true"/>
        </w:rPr>
        <w:t xml:space="preserve">; </w:t>
      </w:r>
      <w:r>
        <w:rPr>
          <w:rtl w:val="true"/>
        </w:rPr>
        <w:t>שליטה פונקציונאלית</w:t>
      </w:r>
      <w:r>
        <w:rPr>
          <w:rtl w:val="true"/>
        </w:rPr>
        <w:t xml:space="preserve">; </w:t>
      </w:r>
      <w:r>
        <w:rPr>
          <w:rtl w:val="true"/>
        </w:rPr>
        <w:t xml:space="preserve">וגוף אחד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8704/09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tl w:val="true"/>
        </w:rPr>
        <w:t>(</w:t>
      </w:r>
      <w:r>
        <w:rPr>
          <w:rtl w:val="true"/>
        </w:rPr>
        <w:t>כתוארו 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11.11.2012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באשה</w:t>
      </w:r>
      <w:r>
        <w:rPr>
          <w:rtl w:val="true"/>
        </w:rPr>
        <w:t xml:space="preserve">); </w:t>
      </w:r>
      <w:hyperlink r:id="rId4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8382/17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28.7.2019</w:t>
      </w:r>
      <w:r>
        <w:rPr>
          <w:rtl w:val="true"/>
        </w:rPr>
        <w:t xml:space="preserve">)).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ומן הכלל אל הפרט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קיבל בית משפט קמא את הודעותיו של המשיב בחקירותיו במשטרה</w:t>
      </w:r>
      <w:r>
        <w:rPr>
          <w:rtl w:val="true"/>
        </w:rPr>
        <w:t xml:space="preserve">, </w:t>
      </w:r>
      <w:r>
        <w:rPr>
          <w:rtl w:val="true"/>
        </w:rPr>
        <w:t>ובפרט הודעותיו השלישית והחמישית</w:t>
      </w:r>
      <w:r>
        <w:rPr>
          <w:rtl w:val="true"/>
        </w:rPr>
        <w:t xml:space="preserve">. </w:t>
      </w:r>
      <w:r>
        <w:rPr>
          <w:rtl w:val="true"/>
        </w:rPr>
        <w:t>בית המשפט מצא כי יש לייחס לגרסאות שהציג המשיב בהודעות אלה את מלוא המשקל</w:t>
      </w:r>
      <w:r>
        <w:rPr>
          <w:rtl w:val="true"/>
        </w:rPr>
        <w:t xml:space="preserve">; </w:t>
      </w:r>
      <w:r>
        <w:rPr>
          <w:rtl w:val="true"/>
        </w:rPr>
        <w:t>כי הן אמינות</w:t>
      </w:r>
      <w:r>
        <w:rPr>
          <w:rtl w:val="true"/>
        </w:rPr>
        <w:t xml:space="preserve">; </w:t>
      </w:r>
      <w:r>
        <w:rPr>
          <w:rtl w:val="true"/>
        </w:rPr>
        <w:t>רצופות בפרטים מוכמנים</w:t>
      </w:r>
      <w:r>
        <w:rPr>
          <w:rtl w:val="true"/>
        </w:rPr>
        <w:t xml:space="preserve">; </w:t>
      </w:r>
      <w:r>
        <w:rPr>
          <w:rtl w:val="true"/>
        </w:rPr>
        <w:t>מפורטות</w:t>
      </w:r>
      <w:r>
        <w:rPr>
          <w:rtl w:val="true"/>
        </w:rPr>
        <w:t xml:space="preserve">; </w:t>
      </w:r>
      <w:r>
        <w:rPr>
          <w:rtl w:val="true"/>
        </w:rPr>
        <w:t>ניתנו מרצונו הטוב והחופשי של המשיב</w:t>
      </w:r>
      <w:r>
        <w:rPr>
          <w:rtl w:val="true"/>
        </w:rPr>
        <w:t xml:space="preserve">; </w:t>
      </w:r>
      <w:r>
        <w:rPr>
          <w:rtl w:val="true"/>
        </w:rPr>
        <w:t>וכי מדובר בגרסת אמת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tabs>
          <w:tab w:val="clear" w:pos="720"/>
          <w:tab w:val="left" w:pos="907" w:leader="none"/>
        </w:tabs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בהודעותיו השלישית והחמישית</w:t>
      </w:r>
      <w:r>
        <w:rPr>
          <w:rtl w:val="true"/>
        </w:rPr>
        <w:t xml:space="preserve">, </w:t>
      </w:r>
      <w:r>
        <w:rPr>
          <w:rtl w:val="true"/>
        </w:rPr>
        <w:t>הודה הלכה למעשה המשיב בהיותו שותף פעיל בכל אחד ואחד משלבי הוצאתה של המזימה העבריינית לפועל</w:t>
      </w:r>
      <w:r>
        <w:rPr>
          <w:rtl w:val="true"/>
        </w:rPr>
        <w:t xml:space="preserve">. </w:t>
      </w:r>
      <w:r>
        <w:rPr>
          <w:rtl w:val="true"/>
        </w:rPr>
        <w:t>כאן המקום להעיר במאמר מוסגר כי על אף הזהירות המתבקשת בקביעת מסקנה מרשיעה רק בהתבסס על מוצא פיו של המשיב</w:t>
      </w:r>
      <w:r>
        <w:rPr>
          <w:rtl w:val="true"/>
        </w:rPr>
        <w:t xml:space="preserve">, </w:t>
      </w:r>
      <w:r>
        <w:rPr>
          <w:rtl w:val="true"/>
        </w:rPr>
        <w:t>יש לזכור שלפנינו נמצאים לא רק דבריו של המשיב בהודאתו אלא גם התנהגותו בפועל בזמן אמת כפי שהוכחה מהודאתו ומראיות אובייקטיביות נוספות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בית </w:t>
      </w:r>
      <w:r>
        <w:rPr>
          <w:rtl w:val="true"/>
        </w:rPr>
        <w:t>משפט קמא</w:t>
      </w:r>
      <w:r>
        <w:rPr>
          <w:rtl w:val="true"/>
        </w:rPr>
        <w:t xml:space="preserve"> לא ראה במשיב מבצע בצוותא</w:t>
      </w:r>
      <w:r>
        <w:rPr>
          <w:rtl w:val="true"/>
        </w:rPr>
        <w:t xml:space="preserve">, </w:t>
      </w:r>
      <w:r>
        <w:rPr>
          <w:rtl w:val="true"/>
        </w:rPr>
        <w:t>משלטעמו אין די בהסעת האחרים לדירה</w:t>
      </w:r>
      <w:r>
        <w:rPr>
          <w:rtl w:val="true"/>
        </w:rPr>
        <w:t xml:space="preserve">, </w:t>
      </w:r>
      <w:r>
        <w:rPr>
          <w:rtl w:val="true"/>
        </w:rPr>
        <w:t>כאשר כל שאר הפעילות</w:t>
      </w:r>
      <w:r>
        <w:rPr>
          <w:rtl w:val="true"/>
        </w:rPr>
        <w:t xml:space="preserve">, </w:t>
      </w:r>
      <w:r>
        <w:rPr>
          <w:rtl w:val="true"/>
        </w:rPr>
        <w:t>כמו פירוק לוחית הרישוי</w:t>
      </w:r>
      <w:r>
        <w:rPr>
          <w:rtl w:val="true"/>
        </w:rPr>
        <w:t xml:space="preserve">, </w:t>
      </w:r>
      <w:r>
        <w:rPr>
          <w:rtl w:val="true"/>
        </w:rPr>
        <w:t>כיסוי פניו ו</w:t>
      </w:r>
      <w:r>
        <w:rPr>
          <w:rtl w:val="true"/>
        </w:rPr>
        <w:t>"</w:t>
      </w:r>
      <w:r>
        <w:rPr>
          <w:rtl w:val="true"/>
        </w:rPr>
        <w:t>הסיור המכין</w:t>
      </w:r>
      <w:r>
        <w:rPr>
          <w:rtl w:val="true"/>
        </w:rPr>
        <w:t xml:space="preserve">" </w:t>
      </w:r>
      <w:r>
        <w:rPr>
          <w:rtl w:val="true"/>
        </w:rPr>
        <w:t>בשטח נכללות בפעולה העיקרית של הסעת האחרים</w:t>
      </w:r>
      <w:r>
        <w:rPr>
          <w:rtl w:val="true"/>
        </w:rPr>
        <w:t xml:space="preserve">. </w:t>
      </w:r>
      <w:r>
        <w:rPr>
          <w:rtl w:val="true"/>
        </w:rPr>
        <w:t>עוד נקבע</w:t>
      </w:r>
      <w:r>
        <w:rPr>
          <w:rtl w:val="true"/>
        </w:rPr>
        <w:t xml:space="preserve">: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'</w:t>
      </w:r>
      <w:r>
        <w:rPr>
          <w:rtl w:val="true"/>
        </w:rPr>
        <w:t>הסכים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איתם</w:t>
      </w:r>
      <w:r>
        <w:rPr>
          <w:rtl w:val="true"/>
        </w:rPr>
        <w:t xml:space="preserve">'.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הסכמתי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איתם</w:t>
      </w:r>
      <w:r>
        <w:rPr>
          <w:rtl w:val="true"/>
        </w:rPr>
        <w:t xml:space="preserve">' </w:t>
      </w:r>
      <w:r>
        <w:rPr>
          <w:rtl w:val="true"/>
        </w:rPr>
        <w:t>נושאות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פירושים</w:t>
      </w:r>
      <w:r>
        <w:rPr>
          <w:rtl w:val="true"/>
        </w:rPr>
        <w:t xml:space="preserve">. </w:t>
      </w:r>
      <w:r>
        <w:rPr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הסכמתי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ואזי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'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', </w:t>
      </w:r>
      <w:r>
        <w:rPr>
          <w:rtl w:val="true"/>
        </w:rPr>
        <w:t>והשני</w:t>
      </w:r>
      <w:r>
        <w:rPr>
          <w:rtl w:val="true"/>
        </w:rPr>
        <w:t xml:space="preserve">, </w:t>
      </w:r>
      <w:r>
        <w:rPr>
          <w:rtl w:val="true"/>
        </w:rPr>
        <w:t>הסכמתי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כנהג</w:t>
      </w:r>
      <w:r>
        <w:rPr>
          <w:rtl w:val="true"/>
        </w:rPr>
        <w:t xml:space="preserve">. </w:t>
      </w:r>
      <w:r>
        <w:rPr>
          <w:rtl w:val="true"/>
        </w:rPr>
        <w:t>דומני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בוודאי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הוכיחה</w:t>
      </w:r>
      <w:r>
        <w:rPr>
          <w:rtl w:val="true"/>
        </w:rPr>
        <w:t xml:space="preserve">,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" (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81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ושותפיו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סיור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מכין</w:t>
      </w:r>
      <w:r>
        <w:rPr>
          <w:rtl w:val="true"/>
        </w:rPr>
        <w:t xml:space="preserve">", </w:t>
      </w:r>
      <w:r>
        <w:rPr>
          <w:rtl w:val="true"/>
        </w:rPr>
        <w:t>ומכל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נבלע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בתפקידו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כנהג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מסייע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? </w:t>
      </w:r>
      <w:r>
        <w:rPr>
          <w:rtl w:val="true"/>
        </w:rPr>
        <w:t>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הסעות</w:t>
      </w:r>
      <w:r>
        <w:rPr>
          <w:rtl w:val="true"/>
        </w:rPr>
        <w:t>?" (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81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)).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ופירוק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הרישוי</w:t>
      </w:r>
      <w:r>
        <w:rPr>
          <w:rtl w:val="true"/>
        </w:rPr>
        <w:t xml:space="preserve">, </w:t>
      </w:r>
      <w:r>
        <w:rPr>
          <w:rtl w:val="true"/>
        </w:rPr>
        <w:t>והצבעתו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ההימורים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דעתי שונה</w:t>
      </w:r>
      <w:r>
        <w:rPr>
          <w:rtl w:val="true"/>
        </w:rPr>
        <w:t xml:space="preserve">. </w:t>
      </w:r>
      <w:r>
        <w:rPr>
          <w:rtl w:val="true"/>
        </w:rPr>
        <w:t>שקילת מכלול הראיות שהיו מונחות לפני בית משפט קמא הייתה צריכה להוביל את בית משפט קמא למסקנה המתבקשת</w:t>
      </w:r>
      <w:r>
        <w:rPr>
          <w:rtl w:val="true"/>
        </w:rPr>
        <w:t xml:space="preserve">, </w:t>
      </w:r>
      <w:r>
        <w:rPr>
          <w:rtl w:val="true"/>
        </w:rPr>
        <w:t>כי חלקו של המשיב בהתייחס לאירוע ניסיון השוד הינו כמבצע בצוותא</w:t>
      </w:r>
      <w:r>
        <w:rPr>
          <w:rtl w:val="true"/>
        </w:rPr>
        <w:t xml:space="preserve">, </w:t>
      </w:r>
      <w:r>
        <w:rPr>
          <w:rtl w:val="true"/>
        </w:rPr>
        <w:t>ולא כמסייע</w:t>
      </w:r>
      <w:r>
        <w:rPr>
          <w:rtl w:val="true"/>
        </w:rPr>
        <w:t xml:space="preserve">, </w:t>
      </w:r>
      <w:r>
        <w:rPr>
          <w:rtl w:val="true"/>
        </w:rPr>
        <w:t>כפי שיפורט להלן</w:t>
      </w:r>
      <w:r>
        <w:rPr>
          <w:rtl w:val="true"/>
        </w:rPr>
        <w:t xml:space="preserve">: </w:t>
      </w:r>
    </w:p>
    <w:p>
      <w:pPr>
        <w:pStyle w:val="Ruller42"/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 xml:space="preserve">באשר לשלב המקדים לשוד </w:t>
      </w:r>
      <w:r>
        <w:rPr>
          <w:rtl w:val="true"/>
        </w:rPr>
        <w:t>–</w:t>
      </w:r>
      <w:r>
        <w:rPr>
          <w:rtl w:val="true"/>
        </w:rPr>
        <w:t xml:space="preserve"> הודה המשיב בכך שסיפר לדאהר ולאחר על דירת ההימורים </w:t>
      </w:r>
      <w:r>
        <w:rPr>
          <w:rtl w:val="true"/>
        </w:rPr>
        <w:t>("</w:t>
      </w:r>
      <w:r>
        <w:rPr>
          <w:rtl w:val="true"/>
        </w:rPr>
        <w:t>התחלתי לספר להם על המשחק</w:t>
      </w:r>
      <w:r>
        <w:rPr>
          <w:rtl w:val="true"/>
        </w:rPr>
        <w:t xml:space="preserve">, </w:t>
      </w:r>
      <w:r>
        <w:rPr>
          <w:rtl w:val="true"/>
        </w:rPr>
        <w:t>הם התחילו לומר לי בוא נלך לעשות עליהם שוד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59</w:t>
      </w:r>
      <w:r>
        <w:rPr>
          <w:rtl w:val="true"/>
        </w:rPr>
        <w:t xml:space="preserve"> </w:t>
      </w:r>
      <w:r>
        <w:rPr>
          <w:rtl w:val="true"/>
        </w:rPr>
        <w:t>לתמלול ההודעה השלישית</w:t>
      </w:r>
      <w:r>
        <w:rPr>
          <w:rtl w:val="true"/>
        </w:rPr>
        <w:t xml:space="preserve">)). </w:t>
      </w:r>
      <w:r>
        <w:rPr>
          <w:rtl w:val="true"/>
        </w:rPr>
        <w:t xml:space="preserve">המשיב טען כי תחילה התנגד </w:t>
      </w:r>
      <w:r>
        <w:rPr>
          <w:rtl w:val="true"/>
        </w:rPr>
        <w:t>("</w:t>
      </w:r>
      <w:r>
        <w:rPr>
          <w:rtl w:val="true"/>
        </w:rPr>
        <w:t xml:space="preserve">הכניסה אין לה יציאה </w:t>
      </w:r>
      <w:r>
        <w:rPr>
          <w:rtl w:val="true"/>
        </w:rPr>
        <w:t xml:space="preserve">[...] </w:t>
      </w:r>
      <w:r>
        <w:rPr>
          <w:rtl w:val="true"/>
        </w:rPr>
        <w:t xml:space="preserve">יעני מסוכן </w:t>
      </w:r>
      <w:r>
        <w:rPr>
          <w:rtl w:val="true"/>
        </w:rPr>
        <w:t xml:space="preserve">[...] </w:t>
      </w:r>
      <w:r>
        <w:rPr>
          <w:rtl w:val="true"/>
        </w:rPr>
        <w:t>אמרתי להם עזבו אותכם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)), </w:t>
      </w:r>
      <w:r>
        <w:rPr>
          <w:rtl w:val="true"/>
        </w:rPr>
        <w:t xml:space="preserve">אך לבסוף השתכנע לקחת חלק פעיל בהוצאתו של המיזם העברייני לפועל </w:t>
      </w:r>
      <w:r>
        <w:rPr>
          <w:rtl w:val="true"/>
        </w:rPr>
        <w:t>("[</w:t>
      </w:r>
      <w:r>
        <w:rPr>
          <w:rtl w:val="true"/>
        </w:rPr>
        <w:t>דאהר</w:t>
      </w:r>
      <w:r>
        <w:rPr>
          <w:rtl w:val="true"/>
        </w:rPr>
        <w:t xml:space="preserve">] </w:t>
      </w:r>
      <w:r>
        <w:rPr>
          <w:rtl w:val="true"/>
        </w:rPr>
        <w:t>התחיל לומר לי בוא כנס פנימה ואתה לא קשור בכלום</w:t>
      </w:r>
      <w:r>
        <w:rPr>
          <w:rtl w:val="true"/>
        </w:rPr>
        <w:t xml:space="preserve">, </w:t>
      </w:r>
      <w:r>
        <w:rPr>
          <w:rtl w:val="true"/>
        </w:rPr>
        <w:t xml:space="preserve">אתה רק תהיה נהג </w:t>
      </w:r>
      <w:r>
        <w:rPr>
          <w:rtl w:val="true"/>
        </w:rPr>
        <w:t xml:space="preserve">[...] </w:t>
      </w:r>
      <w:r>
        <w:rPr>
          <w:rtl w:val="true"/>
        </w:rPr>
        <w:t>הוא המשיך ללחוץ עלי עד שהסכמתי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61-60</w:t>
      </w:r>
      <w:r>
        <w:rPr>
          <w:rtl w:val="true"/>
        </w:rPr>
        <w:t xml:space="preserve"> </w:t>
      </w:r>
      <w:r>
        <w:rPr>
          <w:rtl w:val="true"/>
        </w:rPr>
        <w:t>לתמלול ההודעה השלישית</w:t>
      </w:r>
      <w:r>
        <w:rPr>
          <w:rtl w:val="true"/>
        </w:rPr>
        <w:t xml:space="preserve">)). </w:t>
      </w:r>
      <w:r>
        <w:rPr>
          <w:rtl w:val="true"/>
        </w:rPr>
        <w:t>המשיב סיפר כי אמר לשותפיו</w:t>
      </w:r>
      <w:r>
        <w:rPr>
          <w:rtl w:val="true"/>
        </w:rPr>
        <w:t>: "</w:t>
      </w:r>
      <w:r>
        <w:rPr>
          <w:rtl w:val="true"/>
        </w:rPr>
        <w:t>אני לא רוצה ששום בנאדם יפגע כי כל מישהו יש בפנים</w:t>
      </w:r>
      <w:r>
        <w:rPr>
          <w:rtl w:val="true"/>
        </w:rPr>
        <w:t xml:space="preserve">, </w:t>
      </w:r>
      <w:r>
        <w:rPr>
          <w:rtl w:val="true"/>
        </w:rPr>
        <w:t>מהמשפחה הם קרובי משפחה שלי</w:t>
      </w:r>
      <w:r>
        <w:rPr>
          <w:rtl w:val="true"/>
        </w:rPr>
        <w:t xml:space="preserve">, </w:t>
      </w:r>
      <w:r>
        <w:rPr>
          <w:rtl w:val="true"/>
        </w:rPr>
        <w:t>ואני לא רוצה שמישהו יפגע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115</w:t>
      </w:r>
      <w:r>
        <w:rPr>
          <w:rtl w:val="true"/>
        </w:rPr>
        <w:t xml:space="preserve"> </w:t>
      </w:r>
      <w:r>
        <w:rPr>
          <w:rtl w:val="true"/>
        </w:rPr>
        <w:t>לתמלול ההודעה החמישית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יצטרך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יקבל</w:t>
      </w:r>
      <w:r>
        <w:rPr>
          <w:rFonts w:eastAsia="Arial TUR;Arial" w:cs="Arial TUR;Arial"/>
          <w:rtl w:val="true"/>
        </w:rPr>
        <w:t xml:space="preserve"> </w:t>
      </w:r>
      <w:r>
        <w:rPr/>
        <w:t>20%</w:t>
      </w:r>
      <w:r>
        <w:rPr>
          <w:rtl w:val="true"/>
        </w:rPr>
        <w:t xml:space="preserve"> </w:t>
      </w:r>
      <w:r>
        <w:rPr>
          <w:rtl w:val="true"/>
        </w:rPr>
        <w:t>מהכספים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שישדדו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 xml:space="preserve">, </w:t>
      </w:r>
      <w:r>
        <w:rPr>
          <w:rtl w:val="true"/>
        </w:rPr>
        <w:t>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שסוכם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[</w:t>
      </w:r>
      <w:r>
        <w:rPr>
          <w:rtl w:val="true"/>
        </w:rPr>
        <w:t>האחר</w:t>
      </w:r>
      <w:r>
        <w:rPr>
          <w:rtl w:val="true"/>
        </w:rPr>
        <w:t xml:space="preserve">] </w:t>
      </w:r>
      <w:r>
        <w:rPr>
          <w:rtl w:val="true"/>
        </w:rPr>
        <w:t>יקבל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שהולכים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לגנוב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מהשוד</w:t>
      </w:r>
      <w:r>
        <w:rPr>
          <w:rtl w:val="true"/>
        </w:rPr>
        <w:t xml:space="preserve">, </w:t>
      </w:r>
      <w:r>
        <w:rPr>
          <w:rtl w:val="true"/>
        </w:rPr>
        <w:t>הכסף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116</w:t>
      </w:r>
      <w:r>
        <w:rPr>
          <w:rtl w:val="true"/>
        </w:rPr>
        <w:t xml:space="preserve"> </w:t>
      </w:r>
      <w:r>
        <w:rPr>
          <w:rtl w:val="true"/>
        </w:rPr>
        <w:t>לתמלול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החמישית</w:t>
      </w:r>
      <w:r>
        <w:rPr>
          <w:rtl w:val="true"/>
        </w:rPr>
        <w:t xml:space="preserve">)),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אתכם</w:t>
      </w:r>
      <w:r>
        <w:rPr>
          <w:rtl w:val="true"/>
        </w:rPr>
        <w:t xml:space="preserve">", </w:t>
      </w:r>
      <w:r>
        <w:rPr>
          <w:rtl w:val="true"/>
        </w:rPr>
        <w:t>ובהמשך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"[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השותפים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 xml:space="preserve">]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>, [</w:t>
      </w:r>
      <w:r>
        <w:rPr>
          <w:rtl w:val="true"/>
        </w:rPr>
        <w:t>אז</w:t>
      </w:r>
      <w:r>
        <w:rPr>
          <w:rtl w:val="true"/>
        </w:rPr>
        <w:t xml:space="preserve">] </w:t>
      </w:r>
      <w:r>
        <w:rPr>
          <w:rtl w:val="true"/>
        </w:rPr>
        <w:t>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למשיב</w:t>
      </w:r>
      <w:r>
        <w:rPr>
          <w:rtl w:val="true"/>
        </w:rPr>
        <w:t xml:space="preserve">]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העשרים</w:t>
      </w:r>
      <w:r>
        <w:rPr>
          <w:rtl w:val="true"/>
        </w:rPr>
        <w:t>",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118</w:t>
      </w:r>
      <w:r>
        <w:rPr>
          <w:rtl w:val="true"/>
        </w:rPr>
        <w:t xml:space="preserve"> </w:t>
      </w:r>
      <w:r>
        <w:rPr>
          <w:rtl w:val="true"/>
        </w:rPr>
        <w:t>לתמלול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החמישית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שדאהר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לקחו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דאהר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64</w:t>
      </w:r>
      <w:r>
        <w:rPr>
          <w:rtl w:val="true"/>
        </w:rPr>
        <w:t xml:space="preserve"> </w:t>
      </w:r>
      <w:r>
        <w:rPr>
          <w:rtl w:val="true"/>
        </w:rPr>
        <w:t>לתמלול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השלישית</w:t>
      </w:r>
      <w:r>
        <w:rPr>
          <w:rtl w:val="true"/>
        </w:rPr>
        <w:t xml:space="preserve">),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ביפיע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81</w:t>
      </w:r>
      <w:r>
        <w:rPr>
          <w:rtl w:val="true"/>
        </w:rPr>
        <w:t xml:space="preserve"> </w:t>
      </w:r>
      <w:r>
        <w:rPr>
          <w:rtl w:val="true"/>
        </w:rPr>
        <w:t>לתמלול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השלישית</w:t>
      </w:r>
      <w:r>
        <w:rPr>
          <w:rtl w:val="true"/>
        </w:rPr>
        <w:t xml:space="preserve">),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האחר</w:t>
      </w:r>
      <w:r>
        <w:rPr>
          <w:rtl w:val="true"/>
        </w:rPr>
        <w:t xml:space="preserve">]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88</w:t>
      </w:r>
      <w:r>
        <w:rPr>
          <w:rtl w:val="true"/>
        </w:rPr>
        <w:t xml:space="preserve"> </w:t>
      </w:r>
      <w:r>
        <w:rPr>
          <w:rtl w:val="true"/>
        </w:rPr>
        <w:t>לתמלול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השלישית</w:t>
      </w:r>
      <w:r>
        <w:rPr>
          <w:rtl w:val="true"/>
        </w:rPr>
        <w:t xml:space="preserve">).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הלוחית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שוכנע</w:t>
      </w:r>
      <w:r>
        <w:rPr>
          <w:rtl w:val="true"/>
        </w:rPr>
        <w:t xml:space="preserve">, </w:t>
      </w:r>
      <w:r>
        <w:rPr>
          <w:rtl w:val="true"/>
        </w:rPr>
        <w:t>והסירה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122-121</w:t>
      </w:r>
      <w:r>
        <w:rPr>
          <w:rtl w:val="true"/>
        </w:rPr>
        <w:t xml:space="preserve"> </w:t>
      </w:r>
      <w:r>
        <w:rPr>
          <w:rtl w:val="true"/>
        </w:rPr>
        <w:t>לתמלול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החמישית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המשיב הודה גם בכך שהוא זה שהסיע את שני שותפיו אל דירת ההימורים</w:t>
      </w:r>
      <w:r>
        <w:rPr>
          <w:rtl w:val="true"/>
        </w:rPr>
        <w:t xml:space="preserve">, </w:t>
      </w:r>
      <w:r>
        <w:rPr>
          <w:rtl w:val="true"/>
        </w:rPr>
        <w:t>אפשר לדאהר ולאחר לרדת מהרכב בו נהג</w:t>
      </w:r>
      <w:r>
        <w:rPr>
          <w:rtl w:val="true"/>
        </w:rPr>
        <w:t xml:space="preserve">, </w:t>
      </w:r>
      <w:r>
        <w:rPr>
          <w:rtl w:val="true"/>
        </w:rPr>
        <w:t xml:space="preserve">והמתין להם עד ששבו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66-65</w:t>
      </w:r>
      <w:r>
        <w:rPr>
          <w:rtl w:val="true"/>
        </w:rPr>
        <w:t xml:space="preserve"> </w:t>
      </w:r>
      <w:r>
        <w:rPr>
          <w:rtl w:val="true"/>
        </w:rPr>
        <w:t>לתמלול ההודעה השלישית</w:t>
      </w:r>
      <w:r>
        <w:rPr>
          <w:rtl w:val="true"/>
        </w:rPr>
        <w:t xml:space="preserve">).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 xml:space="preserve">טען כי השניים אמרו לו שלא יכלו להיכנס אל דירת ההימורים בגלל </w:t>
      </w:r>
      <w:r>
        <w:rPr>
          <w:rtl w:val="true"/>
        </w:rPr>
        <w:t>"</w:t>
      </w:r>
      <w:r>
        <w:rPr>
          <w:rtl w:val="true"/>
        </w:rPr>
        <w:t>שראו שיש הרבה גברים</w:t>
      </w:r>
      <w:r>
        <w:rPr>
          <w:rtl w:val="true"/>
        </w:rPr>
        <w:t xml:space="preserve">", </w:t>
      </w:r>
      <w:r>
        <w:rPr>
          <w:rtl w:val="true"/>
        </w:rPr>
        <w:t xml:space="preserve">אך </w:t>
      </w:r>
      <w:r>
        <w:rPr>
          <w:rtl w:val="true"/>
        </w:rPr>
        <w:t>"</w:t>
      </w:r>
      <w:r>
        <w:rPr>
          <w:rtl w:val="true"/>
        </w:rPr>
        <w:t>לא אמרו לי שקרה דקירה ותקיפה ורצח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69</w:t>
      </w:r>
      <w:r>
        <w:rPr>
          <w:rtl w:val="true"/>
        </w:rPr>
        <w:t xml:space="preserve"> </w:t>
      </w:r>
      <w:r>
        <w:rPr>
          <w:rtl w:val="true"/>
        </w:rPr>
        <w:t>לתמלול ההודעה השלישית</w:t>
      </w:r>
      <w:r>
        <w:rPr>
          <w:rtl w:val="true"/>
        </w:rPr>
        <w:t xml:space="preserve">). </w:t>
      </w:r>
      <w:r>
        <w:rPr>
          <w:rtl w:val="true"/>
        </w:rPr>
        <w:t>בהמשך הודה כי שמע שהאירוע בתוך דירת ההימורים הסתבך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(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גם לאחר שהשוד הסתבך</w:t>
      </w:r>
      <w:r>
        <w:rPr>
          <w:rtl w:val="true"/>
        </w:rPr>
        <w:t xml:space="preserve">, </w:t>
      </w:r>
      <w:r>
        <w:rPr>
          <w:rtl w:val="true"/>
        </w:rPr>
        <w:t>דבק המשיב בתכנית העבריינית</w:t>
      </w:r>
      <w:r>
        <w:rPr>
          <w:rtl w:val="true"/>
        </w:rPr>
        <w:t xml:space="preserve">. </w:t>
      </w:r>
      <w:r>
        <w:rPr>
          <w:rtl w:val="true"/>
        </w:rPr>
        <w:t>הוא הסיע את דאהר והאחר למקום מרוחק</w:t>
      </w:r>
      <w:r>
        <w:rPr>
          <w:rtl w:val="true"/>
        </w:rPr>
        <w:t xml:space="preserve">, </w:t>
      </w:r>
      <w:r>
        <w:rPr>
          <w:rtl w:val="true"/>
        </w:rPr>
        <w:t>שם שרפו את בגדיהם</w:t>
      </w:r>
      <w:r>
        <w:rPr>
          <w:rtl w:val="true"/>
        </w:rPr>
        <w:t xml:space="preserve">. </w:t>
      </w:r>
      <w:r>
        <w:rPr>
          <w:rtl w:val="true"/>
        </w:rPr>
        <w:t>בכל הנוגע לסכינים</w:t>
      </w:r>
      <w:r>
        <w:rPr>
          <w:rtl w:val="true"/>
        </w:rPr>
        <w:t xml:space="preserve">, </w:t>
      </w:r>
      <w:r>
        <w:rPr>
          <w:rtl w:val="true"/>
        </w:rPr>
        <w:t xml:space="preserve">טען המשיב כי </w:t>
      </w:r>
      <w:r>
        <w:rPr>
          <w:rtl w:val="true"/>
        </w:rPr>
        <w:t>"</w:t>
      </w:r>
      <w:r>
        <w:rPr>
          <w:rtl w:val="true"/>
        </w:rPr>
        <w:t>את הסכינים לא יודע לאן לקח אותם</w:t>
      </w:r>
      <w:r>
        <w:rPr>
          <w:rtl w:val="true"/>
        </w:rPr>
        <w:t xml:space="preserve">, </w:t>
      </w:r>
      <w:r>
        <w:rPr>
          <w:rtl w:val="true"/>
        </w:rPr>
        <w:t>אולי החביאו אותם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71</w:t>
      </w:r>
      <w:r>
        <w:rPr>
          <w:rtl w:val="true"/>
        </w:rPr>
        <w:t xml:space="preserve"> </w:t>
      </w:r>
      <w:r>
        <w:rPr>
          <w:rtl w:val="true"/>
        </w:rPr>
        <w:t>לתמלול החקירה השלישית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מן המקובץ עולים</w:t>
      </w:r>
      <w:r>
        <w:rPr>
          <w:rtl w:val="true"/>
        </w:rPr>
        <w:t xml:space="preserve">,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ממצאי העובדה הבאים</w:t>
      </w:r>
      <w:r>
        <w:rPr>
          <w:rtl w:val="true"/>
        </w:rPr>
        <w:t xml:space="preserve">: </w:t>
      </w:r>
      <w:r>
        <w:rPr>
          <w:rtl w:val="true"/>
        </w:rPr>
        <w:t>המשיב הוא שסיפר לשותפיו על קיומה של דירת ההימורים</w:t>
      </w:r>
      <w:r>
        <w:rPr>
          <w:rtl w:val="true"/>
        </w:rPr>
        <w:t xml:space="preserve">; </w:t>
      </w:r>
      <w:r>
        <w:rPr>
          <w:rtl w:val="true"/>
        </w:rPr>
        <w:t>גם בהנחה שהמשיב לא היה יוזם והוגה רעיון השוד</w:t>
      </w:r>
      <w:r>
        <w:rPr>
          <w:rtl w:val="true"/>
        </w:rPr>
        <w:t xml:space="preserve">, </w:t>
      </w:r>
      <w:r>
        <w:rPr>
          <w:rtl w:val="true"/>
        </w:rPr>
        <w:t xml:space="preserve">בהמשך תכננו השלושה את השוד בצוותא חדא </w:t>
      </w:r>
      <w:r>
        <w:rPr>
          <w:rtl w:val="true"/>
        </w:rPr>
        <w:t>–</w:t>
      </w:r>
      <w:r>
        <w:rPr>
          <w:rtl w:val="true"/>
        </w:rPr>
        <w:t xml:space="preserve"> הגם שבתחילה בהתנגדות מסוימת של המשיב</w:t>
      </w:r>
      <w:r>
        <w:rPr>
          <w:rtl w:val="true"/>
        </w:rPr>
        <w:t xml:space="preserve">, </w:t>
      </w:r>
      <w:r>
        <w:rPr>
          <w:rtl w:val="true"/>
        </w:rPr>
        <w:t>אשר הוסרה בתוך זמן קצר</w:t>
      </w:r>
      <w:r>
        <w:rPr>
          <w:rtl w:val="true"/>
        </w:rPr>
        <w:t xml:space="preserve">; </w:t>
      </w:r>
      <w:r>
        <w:rPr>
          <w:rtl w:val="true"/>
        </w:rPr>
        <w:t>השלושה הכינו את השוד במשותף</w:t>
      </w:r>
      <w:r>
        <w:rPr>
          <w:rtl w:val="true"/>
        </w:rPr>
        <w:t xml:space="preserve">, </w:t>
      </w:r>
      <w:r>
        <w:rPr>
          <w:rtl w:val="true"/>
        </w:rPr>
        <w:t>תוך שהמשיב עצמו הסיר את לוחית הרישוי מהרכב בו נהג</w:t>
      </w:r>
      <w:r>
        <w:rPr>
          <w:rtl w:val="true"/>
        </w:rPr>
        <w:t xml:space="preserve">; </w:t>
      </w:r>
      <w:r>
        <w:rPr>
          <w:rtl w:val="true"/>
        </w:rPr>
        <w:t>במסגרת ההכנה</w:t>
      </w:r>
      <w:r>
        <w:rPr>
          <w:rtl w:val="true"/>
        </w:rPr>
        <w:t xml:space="preserve">, </w:t>
      </w:r>
      <w:r>
        <w:rPr>
          <w:rtl w:val="true"/>
        </w:rPr>
        <w:t>אף סוכם כי השלושה יתחלקו ברווחים</w:t>
      </w:r>
      <w:r>
        <w:rPr>
          <w:rtl w:val="true"/>
        </w:rPr>
        <w:t xml:space="preserve">, </w:t>
      </w:r>
      <w:r>
        <w:rPr>
          <w:rtl w:val="true"/>
        </w:rPr>
        <w:t>כך שהמשיב יזכה ל</w:t>
      </w:r>
      <w:r>
        <w:rPr>
          <w:rtl w:val="true"/>
        </w:rPr>
        <w:t>-</w:t>
      </w:r>
      <w:r>
        <w:rPr/>
        <w:t>20%</w:t>
      </w:r>
      <w:r>
        <w:rPr>
          <w:rtl w:val="true"/>
        </w:rPr>
        <w:t xml:space="preserve"> </w:t>
      </w:r>
      <w:r>
        <w:rPr>
          <w:rtl w:val="true"/>
        </w:rPr>
        <w:t>מהסכום שיישדד על ידי דאהר והאחר</w:t>
      </w:r>
      <w:r>
        <w:rPr>
          <w:rtl w:val="true"/>
        </w:rPr>
        <w:t xml:space="preserve">; </w:t>
      </w:r>
      <w:r>
        <w:rPr>
          <w:rtl w:val="true"/>
        </w:rPr>
        <w:t>המשיב ידע בעת ההכנה כי שותפיו נושאים לכל הפחות סכין אחד</w:t>
      </w:r>
      <w:r>
        <w:rPr>
          <w:rtl w:val="true"/>
        </w:rPr>
        <w:t xml:space="preserve">; </w:t>
      </w:r>
      <w:r>
        <w:rPr>
          <w:rtl w:val="true"/>
        </w:rPr>
        <w:t>המעורבים בשוד היו רעולי פנים</w:t>
      </w:r>
      <w:r>
        <w:rPr>
          <w:rtl w:val="true"/>
        </w:rPr>
        <w:t xml:space="preserve">; </w:t>
      </w:r>
      <w:r>
        <w:rPr>
          <w:rtl w:val="true"/>
        </w:rPr>
        <w:t>המשיב הזהיר את שותפיו לבל יפגעו בבני משפחתו או בחברים</w:t>
      </w:r>
      <w:r>
        <w:rPr>
          <w:rtl w:val="true"/>
        </w:rPr>
        <w:t xml:space="preserve">; </w:t>
      </w:r>
      <w:r>
        <w:rPr>
          <w:rtl w:val="true"/>
        </w:rPr>
        <w:t>מספר דקות קודם לחניה בסמוך לדירה</w:t>
      </w:r>
      <w:r>
        <w:rPr>
          <w:rtl w:val="true"/>
        </w:rPr>
        <w:t xml:space="preserve">, </w:t>
      </w:r>
      <w:r>
        <w:rPr>
          <w:rtl w:val="true"/>
        </w:rPr>
        <w:t xml:space="preserve">ערכו המשיב ושותפיו מעין </w:t>
      </w:r>
      <w:r>
        <w:rPr>
          <w:rtl w:val="true"/>
        </w:rPr>
        <w:t>"</w:t>
      </w:r>
      <w:r>
        <w:rPr>
          <w:rtl w:val="true"/>
        </w:rPr>
        <w:t>סיור</w:t>
      </w:r>
      <w:r>
        <w:rPr>
          <w:rtl w:val="true"/>
        </w:rPr>
        <w:t xml:space="preserve">" </w:t>
      </w:r>
      <w:r>
        <w:rPr>
          <w:rtl w:val="true"/>
        </w:rPr>
        <w:t>קצר בשטח</w:t>
      </w:r>
      <w:r>
        <w:rPr>
          <w:rtl w:val="true"/>
        </w:rPr>
        <w:t xml:space="preserve">, </w:t>
      </w:r>
      <w:r>
        <w:rPr>
          <w:rtl w:val="true"/>
        </w:rPr>
        <w:t>ספק סיור מכין</w:t>
      </w:r>
      <w:r>
        <w:rPr>
          <w:rtl w:val="true"/>
        </w:rPr>
        <w:t xml:space="preserve">, </w:t>
      </w:r>
      <w:r>
        <w:rPr>
          <w:rtl w:val="true"/>
        </w:rPr>
        <w:t>אשר לא סופק לו כל הסבר</w:t>
      </w:r>
      <w:r>
        <w:rPr>
          <w:rtl w:val="true"/>
        </w:rPr>
        <w:t xml:space="preserve">; </w:t>
      </w:r>
      <w:r>
        <w:rPr>
          <w:rtl w:val="true"/>
        </w:rPr>
        <w:t>המשיב הביא את דאהר והאחר אל דירת ההימורים</w:t>
      </w:r>
      <w:r>
        <w:rPr>
          <w:rtl w:val="true"/>
        </w:rPr>
        <w:t xml:space="preserve">, </w:t>
      </w:r>
      <w:r>
        <w:rPr>
          <w:rtl w:val="true"/>
        </w:rPr>
        <w:t>והמתין להם במקום</w:t>
      </w:r>
      <w:r>
        <w:rPr>
          <w:rtl w:val="true"/>
        </w:rPr>
        <w:t xml:space="preserve">; </w:t>
      </w:r>
      <w:r>
        <w:rPr>
          <w:rtl w:val="true"/>
        </w:rPr>
        <w:t>לאחר ניסיון השוד הכושל נסעו השלושה למקום מרוחק</w:t>
      </w:r>
      <w:r>
        <w:rPr>
          <w:rtl w:val="true"/>
        </w:rPr>
        <w:t xml:space="preserve">, </w:t>
      </w:r>
      <w:r>
        <w:rPr>
          <w:rtl w:val="true"/>
        </w:rPr>
        <w:t>על מנת להיפטר מראיות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נוכח ממצאי עובדה אלה אין אלא להגיע</w:t>
      </w:r>
      <w:r>
        <w:rPr>
          <w:rtl w:val="true"/>
        </w:rPr>
        <w:t xml:space="preserve">,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למסקנה המשפטית כי המשיב ביצע את השוד כמבצע בצוותא</w:t>
      </w:r>
      <w:r>
        <w:rPr>
          <w:rtl w:val="true"/>
        </w:rPr>
        <w:t xml:space="preserve">.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שליטתו הפונקציונלית באירוע</w:t>
      </w:r>
      <w:r>
        <w:rPr>
          <w:rtl w:val="true"/>
        </w:rPr>
        <w:t xml:space="preserve">, </w:t>
      </w:r>
      <w:r>
        <w:rPr>
          <w:rtl w:val="true"/>
        </w:rPr>
        <w:t>והיסוד הנפשי בו התאפיין ביחס למעשים אינם מאפשרים לראות בו חלק מ</w:t>
      </w:r>
      <w:r>
        <w:rPr>
          <w:rtl w:val="true"/>
        </w:rPr>
        <w:t>"</w:t>
      </w:r>
      <w:r>
        <w:rPr>
          <w:rtl w:val="true"/>
        </w:rPr>
        <w:t>המעגל החיצוני</w:t>
      </w:r>
      <w:r>
        <w:rPr>
          <w:rtl w:val="true"/>
        </w:rPr>
        <w:t xml:space="preserve">" </w:t>
      </w:r>
      <w:r>
        <w:rPr>
          <w:rtl w:val="true"/>
        </w:rPr>
        <w:t>לביצוע העבירה ותו לא</w:t>
      </w:r>
      <w:r>
        <w:rPr>
          <w:rtl w:val="true"/>
        </w:rPr>
        <w:t xml:space="preserve">. </w:t>
      </w:r>
      <w:r>
        <w:rPr>
          <w:rtl w:val="true"/>
        </w:rPr>
        <w:t xml:space="preserve">המשיב לא הסתפק בביצוע מעשים אשר נועדו </w:t>
      </w:r>
      <w:r>
        <w:rPr>
          <w:rtl w:val="true"/>
        </w:rPr>
        <w:t>"</w:t>
      </w:r>
      <w:r>
        <w:rPr>
          <w:rtl w:val="true"/>
        </w:rPr>
        <w:t>לאפשר או להקל</w:t>
      </w:r>
      <w:r>
        <w:rPr>
          <w:rtl w:val="true"/>
        </w:rPr>
        <w:t xml:space="preserve">" </w:t>
      </w:r>
      <w:r>
        <w:rPr>
          <w:rtl w:val="true"/>
        </w:rPr>
        <w:t>על 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כלשון </w:t>
      </w:r>
      <w:hyperlink r:id="rId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מעשיו היו חלק מביצועה של העבירה ממש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ליסוד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העובדתי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המשיב ביצע שורת מעשים</w:t>
      </w:r>
      <w:r>
        <w:rPr>
          <w:rtl w:val="true"/>
        </w:rPr>
        <w:t xml:space="preserve">, </w:t>
      </w:r>
      <w:r>
        <w:rPr>
          <w:rtl w:val="true"/>
        </w:rPr>
        <w:t>אשר מהווים חלק מביצוע העבירה בפועל</w:t>
      </w:r>
      <w:r>
        <w:rPr>
          <w:rtl w:val="true"/>
        </w:rPr>
        <w:t xml:space="preserve">. </w:t>
      </w:r>
      <w:r>
        <w:rPr>
          <w:rtl w:val="true"/>
        </w:rPr>
        <w:t>הוא סיפר על המקום בו ניתן לבצע את השוד</w:t>
      </w:r>
      <w:r>
        <w:rPr>
          <w:rtl w:val="true"/>
        </w:rPr>
        <w:t xml:space="preserve">, </w:t>
      </w:r>
      <w:r>
        <w:rPr>
          <w:rtl w:val="true"/>
        </w:rPr>
        <w:t>הוריד את לוחית הרישוי ונהג את שותפיו למקום</w:t>
      </w:r>
      <w:r>
        <w:rPr>
          <w:rtl w:val="true"/>
        </w:rPr>
        <w:t xml:space="preserve">. </w:t>
      </w:r>
      <w:r>
        <w:rPr>
          <w:rtl w:val="true"/>
        </w:rPr>
        <w:t>הוא המתין להם בחוץ עד ששבו</w:t>
      </w:r>
      <w:r>
        <w:rPr>
          <w:rtl w:val="true"/>
        </w:rPr>
        <w:t xml:space="preserve">, </w:t>
      </w:r>
      <w:r>
        <w:rPr>
          <w:rtl w:val="true"/>
        </w:rPr>
        <w:t>ולאחר מכן מילט אותם לזירת שריפת הבגדים</w:t>
      </w:r>
      <w:r>
        <w:rPr>
          <w:rtl w:val="true"/>
        </w:rPr>
        <w:t xml:space="preserve">. </w:t>
      </w:r>
      <w:r>
        <w:rPr>
          <w:rtl w:val="true"/>
        </w:rPr>
        <w:t>מי שמסיע שודדים למקום ביצוע השוד</w:t>
      </w:r>
      <w:r>
        <w:rPr>
          <w:rtl w:val="true"/>
        </w:rPr>
        <w:t xml:space="preserve">, </w:t>
      </w:r>
      <w:r>
        <w:rPr>
          <w:rtl w:val="true"/>
        </w:rPr>
        <w:t xml:space="preserve">כאשר חלוקת העבודה המוקדמת ביניהם </w:t>
      </w:r>
      <w:r>
        <w:rPr>
          <w:rtl w:val="true"/>
        </w:rPr>
        <w:t>–</w:t>
      </w:r>
      <w:r>
        <w:rPr>
          <w:rtl w:val="true"/>
        </w:rPr>
        <w:t xml:space="preserve"> בגדרה הוחלט כי המשיב ימתין בחוץ ברכב</w:t>
      </w:r>
      <w:r>
        <w:rPr>
          <w:rtl w:val="true"/>
        </w:rPr>
        <w:t xml:space="preserve">, </w:t>
      </w:r>
      <w:r>
        <w:rPr>
          <w:rtl w:val="true"/>
        </w:rPr>
        <w:t xml:space="preserve">עת מבוצע השוד עצמו בתוך דירת ההימורים </w:t>
      </w:r>
      <w:r>
        <w:rPr>
          <w:rtl w:val="true"/>
        </w:rPr>
        <w:t>–</w:t>
      </w:r>
      <w:r>
        <w:rPr>
          <w:rtl w:val="true"/>
        </w:rPr>
        <w:t xml:space="preserve"> מאפשרת הכרה בנהג כמבצע בצוותא של השוד</w:t>
      </w:r>
      <w:r>
        <w:rPr>
          <w:rtl w:val="true"/>
        </w:rPr>
        <w:t xml:space="preserve">. </w:t>
      </w:r>
      <w:r>
        <w:rPr>
          <w:rtl w:val="true"/>
        </w:rPr>
        <w:t>בית משפט זה עמד בעבר על כי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ראובן</w:t>
      </w:r>
      <w:r>
        <w:rPr>
          <w:rtl w:val="true"/>
        </w:rPr>
        <w:t xml:space="preserve">, </w:t>
      </w:r>
      <w:r>
        <w:rPr>
          <w:rtl w:val="true"/>
        </w:rPr>
        <w:t>שמעון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ולוי</w:t>
      </w:r>
      <w:r>
        <w:rPr>
          <w:rtl w:val="true"/>
        </w:rPr>
        <w:t xml:space="preserve">, </w:t>
      </w:r>
      <w:r>
        <w:rPr>
          <w:rtl w:val="true"/>
        </w:rPr>
        <w:t>המתכננים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בנק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ראובן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ואיבטח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 xml:space="preserve">. </w:t>
      </w:r>
      <w:r>
        <w:rPr>
          <w:rtl w:val="true"/>
        </w:rPr>
        <w:t>שמעון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לבנק</w:t>
      </w:r>
      <w:r>
        <w:rPr>
          <w:rtl w:val="true"/>
        </w:rPr>
        <w:t xml:space="preserve">. </w:t>
      </w:r>
      <w:r>
        <w:rPr>
          <w:rtl w:val="true"/>
        </w:rPr>
        <w:t>שמעון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פקידי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והלקוחות</w:t>
      </w:r>
      <w:r>
        <w:rPr>
          <w:rtl w:val="true"/>
        </w:rPr>
        <w:t xml:space="preserve">. </w:t>
      </w:r>
      <w:r>
        <w:rPr>
          <w:rtl w:val="true"/>
        </w:rPr>
        <w:t>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ראובן</w:t>
      </w:r>
      <w:r>
        <w:rPr>
          <w:rtl w:val="true"/>
        </w:rPr>
        <w:t xml:space="preserve">, </w:t>
      </w:r>
      <w:r>
        <w:rPr>
          <w:rtl w:val="true"/>
        </w:rPr>
        <w:t>שמעון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>" (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4389/93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מרדכי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4.8.1996</w:t>
      </w:r>
      <w:r>
        <w:rPr>
          <w:rtl w:val="true"/>
        </w:rPr>
        <w:t>))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לדברים משנה תוקף</w:t>
      </w:r>
      <w:r>
        <w:rPr>
          <w:rtl w:val="true"/>
        </w:rPr>
        <w:t xml:space="preserve">, </w:t>
      </w:r>
      <w:r>
        <w:rPr>
          <w:rtl w:val="true"/>
        </w:rPr>
        <w:t>שכן המשיב לא רק המתין מחוץ לדירה</w:t>
      </w:r>
      <w:r>
        <w:rPr>
          <w:rtl w:val="true"/>
        </w:rPr>
        <w:t xml:space="preserve">: </w:t>
      </w:r>
      <w:r>
        <w:rPr>
          <w:rtl w:val="true"/>
        </w:rPr>
        <w:t>הוא מי שהסיע את שותפיו למקום ביצוע השוד</w:t>
      </w:r>
      <w:r>
        <w:rPr>
          <w:rtl w:val="true"/>
        </w:rPr>
        <w:t xml:space="preserve">, </w:t>
      </w:r>
      <w:r>
        <w:rPr>
          <w:rtl w:val="true"/>
        </w:rPr>
        <w:t>ומי שסיפר להם מלכתחילה על קיומו של המקום בו ניתן לבצע את הפשע</w:t>
      </w:r>
      <w:r>
        <w:rPr>
          <w:rtl w:val="true"/>
        </w:rPr>
        <w:t xml:space="preserve">. </w:t>
      </w:r>
      <w:r>
        <w:rPr>
          <w:rtl w:val="true"/>
        </w:rPr>
        <w:t>הוא אף אמור היה לקחת נתח משלל השוד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כל הממצאים המפורטים לעיל</w:t>
      </w:r>
      <w:r>
        <w:rPr>
          <w:rtl w:val="true"/>
        </w:rPr>
        <w:t xml:space="preserve">, </w:t>
      </w:r>
      <w:r>
        <w:rPr>
          <w:rtl w:val="true"/>
        </w:rPr>
        <w:t xml:space="preserve">בשים לב לכך שהפסיקה עמדה זה מכבר על כי נוכחות בזירה בה בוצעה העבירה אינה כשלעצמה מהווה תנאי הכרחי </w:t>
      </w:r>
      <w:r>
        <w:rPr>
          <w:rtl w:val="true"/>
        </w:rPr>
        <w:t>(</w:t>
      </w:r>
      <w:r>
        <w:rPr>
          <w:rtl w:val="true"/>
        </w:rPr>
        <w:t>או מספיק</w:t>
      </w:r>
      <w:r>
        <w:rPr>
          <w:rtl w:val="true"/>
        </w:rPr>
        <w:t xml:space="preserve">) </w:t>
      </w:r>
      <w:r>
        <w:rPr>
          <w:rtl w:val="true"/>
        </w:rPr>
        <w:t>על מנת לראות באדם מבצע בצוותא של עבירה</w:t>
      </w:r>
      <w:r>
        <w:rPr>
          <w:rtl w:val="true"/>
        </w:rPr>
        <w:t xml:space="preserve">, </w:t>
      </w:r>
      <w:r>
        <w:rPr>
          <w:rtl w:val="true"/>
        </w:rPr>
        <w:t>תומכים כולם במסקנה המשפטית כי המשיב ביצע את ניסיון השוד בצוותא עם דאהר והאחר</w:t>
      </w:r>
      <w:r>
        <w:rPr>
          <w:rtl w:val="true"/>
        </w:rPr>
        <w:t xml:space="preserve">, </w:t>
      </w:r>
      <w:r>
        <w:rPr>
          <w:rtl w:val="true"/>
        </w:rPr>
        <w:t xml:space="preserve">וכי מעשיו הם הרבה מעבר לסיוע גרידא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46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1294/96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tl w:val="true"/>
        </w:rPr>
        <w:t>(</w:t>
      </w:r>
      <w:r>
        <w:rPr>
          <w:rtl w:val="true"/>
        </w:rPr>
        <w:t>כתוארו 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מצא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29.5.1998</w:t>
      </w:r>
      <w:r>
        <w:rPr>
          <w:rtl w:val="true"/>
        </w:rPr>
        <w:t xml:space="preserve">);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ואקי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646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בכל הנוגע ליסוד העובדתי</w:t>
      </w:r>
      <w:r>
        <w:rPr>
          <w:rtl w:val="true"/>
        </w:rPr>
        <w:t xml:space="preserve">, </w:t>
      </w:r>
      <w:r>
        <w:rPr>
          <w:rtl w:val="true"/>
        </w:rPr>
        <w:t>בית משפט קמא לא העניק את המשקל הראוי למעשיו של המשיב</w:t>
      </w:r>
      <w:r>
        <w:rPr>
          <w:rtl w:val="true"/>
        </w:rPr>
        <w:t xml:space="preserve">, </w:t>
      </w:r>
      <w:r>
        <w:rPr>
          <w:rtl w:val="true"/>
        </w:rPr>
        <w:t>אשר מציבים אותו בין מבצעי העבירה עצמה</w:t>
      </w:r>
      <w:r>
        <w:rPr>
          <w:rtl w:val="true"/>
        </w:rPr>
        <w:t xml:space="preserve">, </w:t>
      </w:r>
      <w:r>
        <w:rPr>
          <w:rtl w:val="true"/>
        </w:rPr>
        <w:t>ומלמדים כי יש לסווג את מעשיו כביצוע בצוותא של עבירת ניסיון השוד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ליסוד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הנפשי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אף היסוד הנפשי אשר אפיין את המשיב מצביע</w:t>
      </w:r>
      <w:r>
        <w:rPr>
          <w:rtl w:val="true"/>
        </w:rPr>
        <w:t xml:space="preserve">, </w:t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>על כי מדובר במבצע בצוותא של עבירת ניסיון השוד</w:t>
      </w:r>
      <w:r>
        <w:rPr>
          <w:rtl w:val="true"/>
        </w:rPr>
        <w:t xml:space="preserve">, </w:t>
      </w:r>
      <w:r>
        <w:rPr>
          <w:rtl w:val="true"/>
        </w:rPr>
        <w:t>ולא במסייע בלבד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מממצאי העובדה עולה בבירור כי המשיב היה מודע היטב לכך שמטרת הנסיעה היא ביצוע שוד</w:t>
      </w:r>
      <w:r>
        <w:rPr>
          <w:rtl w:val="true"/>
        </w:rPr>
        <w:t xml:space="preserve">. </w:t>
      </w:r>
      <w:r>
        <w:rPr/>
        <w:t>20%</w:t>
      </w:r>
      <w:r>
        <w:rPr>
          <w:rtl w:val="true"/>
        </w:rPr>
        <w:t xml:space="preserve"> </w:t>
      </w:r>
      <w:r>
        <w:rPr>
          <w:rtl w:val="true"/>
        </w:rPr>
        <w:t>מתקבולי העבירה הובטחו לו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אין גם כל ספק</w:t>
      </w:r>
      <w:r>
        <w:rPr>
          <w:rtl w:val="true"/>
        </w:rPr>
        <w:t xml:space="preserve">, </w:t>
      </w:r>
      <w:r>
        <w:rPr>
          <w:rtl w:val="true"/>
        </w:rPr>
        <w:t>כעולה מחומר הראיות ובפרט מהודעתו החמישית של המשיב במשטרה</w:t>
      </w:r>
      <w:r>
        <w:rPr>
          <w:rtl w:val="true"/>
        </w:rPr>
        <w:t xml:space="preserve">, </w:t>
      </w:r>
      <w:r>
        <w:rPr>
          <w:rtl w:val="true"/>
        </w:rPr>
        <w:t>כי התנהלותו ומעשיו הונעו על ידי מחשבה פלילית מובהקת</w:t>
      </w:r>
      <w:r>
        <w:rPr>
          <w:rtl w:val="true"/>
        </w:rPr>
        <w:t xml:space="preserve">. </w:t>
      </w:r>
      <w:r>
        <w:rPr>
          <w:rtl w:val="true"/>
        </w:rPr>
        <w:t>המשיב היה מודע לכך שהוא פועל במסגרת תכנית עבריינית לביצוע שוד בצוותא עם שותפיו</w:t>
      </w:r>
      <w:r>
        <w:rPr>
          <w:rtl w:val="true"/>
        </w:rPr>
        <w:t xml:space="preserve">, </w:t>
      </w:r>
      <w:r>
        <w:rPr>
          <w:rtl w:val="true"/>
        </w:rPr>
        <w:t>כפי שעולה מהתכנון המוקדם וחלוקת התפקידים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 xml:space="preserve">לא היה </w:t>
      </w:r>
      <w:r>
        <w:rPr>
          <w:rtl w:val="true"/>
        </w:rPr>
        <w:t>"</w:t>
      </w:r>
      <w:r>
        <w:rPr>
          <w:rtl w:val="true"/>
        </w:rPr>
        <w:t>אדון העבירה</w:t>
      </w:r>
      <w:r>
        <w:rPr>
          <w:rtl w:val="true"/>
        </w:rPr>
        <w:t xml:space="preserve">" </w:t>
      </w:r>
      <w:r>
        <w:rPr>
          <w:rtl w:val="true"/>
        </w:rPr>
        <w:t xml:space="preserve">היחיד </w:t>
      </w:r>
      <w:r>
        <w:rPr>
          <w:rtl w:val="true"/>
        </w:rPr>
        <w:t>–</w:t>
      </w:r>
      <w:r>
        <w:rPr>
          <w:rtl w:val="true"/>
        </w:rPr>
        <w:t xml:space="preserve"> והסכים לקחת חלק במזימה העבריינית לאחר ששוכנע על ידי שותפיו </w:t>
      </w:r>
      <w:r>
        <w:rPr>
          <w:rtl w:val="true"/>
        </w:rPr>
        <w:t>–</w:t>
      </w:r>
      <w:r>
        <w:rPr>
          <w:rtl w:val="true"/>
        </w:rPr>
        <w:t xml:space="preserve"> אולם מרגע שהתגייס לביצועה</w:t>
      </w:r>
      <w:r>
        <w:rPr>
          <w:rtl w:val="true"/>
        </w:rPr>
        <w:t xml:space="preserve">, </w:t>
      </w:r>
      <w:r>
        <w:rPr>
          <w:rtl w:val="true"/>
        </w:rPr>
        <w:t>מעשיו והודאותיו מצביעים במובהק על כך שהיה חלק מהמעגל הפנימי של המבצעים</w:t>
      </w:r>
      <w:r>
        <w:rPr>
          <w:rtl w:val="true"/>
        </w:rPr>
        <w:t xml:space="preserve">. </w:t>
      </w:r>
      <w:r>
        <w:rPr>
          <w:rtl w:val="true"/>
        </w:rPr>
        <w:t>הוא לקח חלק פעיל בתכנית הפלילית</w:t>
      </w:r>
      <w:r>
        <w:rPr>
          <w:rtl w:val="true"/>
        </w:rPr>
        <w:t xml:space="preserve">: </w:t>
      </w:r>
      <w:r>
        <w:rPr>
          <w:rtl w:val="true"/>
        </w:rPr>
        <w:t>בהכנתה</w:t>
      </w:r>
      <w:r>
        <w:rPr>
          <w:rtl w:val="true"/>
        </w:rPr>
        <w:t xml:space="preserve">, </w:t>
      </w:r>
      <w:r>
        <w:rPr>
          <w:rtl w:val="true"/>
        </w:rPr>
        <w:t>בביצועה בפועל</w:t>
      </w:r>
      <w:r>
        <w:rPr>
          <w:rtl w:val="true"/>
        </w:rPr>
        <w:t xml:space="preserve">, </w:t>
      </w:r>
      <w:r>
        <w:rPr>
          <w:rtl w:val="true"/>
        </w:rPr>
        <w:t>ובהסתרת המעשים בדיעבד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אני סבור כי אף ראשו זה של המבחן המשולב מצדיק לסווג את המשיב כמבצע בצוותא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רשימת הממצאים</w:t>
      </w:r>
      <w:r>
        <w:rPr>
          <w:rtl w:val="true"/>
        </w:rPr>
        <w:t xml:space="preserve">" </w:t>
      </w:r>
      <w:r>
        <w:rPr>
          <w:rtl w:val="true"/>
        </w:rPr>
        <w:t xml:space="preserve">שערך בית משפט קמא </w:t>
      </w:r>
      <w:r>
        <w:rPr>
          <w:rtl w:val="true"/>
        </w:rPr>
        <w:t>(</w:t>
      </w:r>
      <w:r>
        <w:rPr>
          <w:rtl w:val="true"/>
        </w:rPr>
        <w:t xml:space="preserve">ראו בפסקה </w:t>
      </w:r>
      <w:r>
        <w:rPr/>
        <w:t>8</w:t>
      </w:r>
      <w:r>
        <w:rPr>
          <w:rtl w:val="true"/>
        </w:rPr>
        <w:t xml:space="preserve">) </w:t>
      </w:r>
      <w:r>
        <w:rPr>
          <w:rtl w:val="true"/>
        </w:rPr>
        <w:t>עולה כי המשיב הסכים להיות נהג</w:t>
      </w:r>
      <w:r>
        <w:rPr>
          <w:rtl w:val="true"/>
        </w:rPr>
        <w:t xml:space="preserve">; </w:t>
      </w:r>
      <w:r>
        <w:rPr>
          <w:rtl w:val="true"/>
        </w:rPr>
        <w:t>הסיע את האחרים לדירה</w:t>
      </w:r>
      <w:r>
        <w:rPr>
          <w:rtl w:val="true"/>
        </w:rPr>
        <w:t xml:space="preserve">; </w:t>
      </w:r>
      <w:r>
        <w:rPr>
          <w:rtl w:val="true"/>
        </w:rPr>
        <w:t>המתין להם והסיעם חזרה</w:t>
      </w:r>
      <w:r>
        <w:rPr>
          <w:rtl w:val="true"/>
        </w:rPr>
        <w:t xml:space="preserve">; </w:t>
      </w:r>
      <w:r>
        <w:rPr>
          <w:rtl w:val="true"/>
        </w:rPr>
        <w:t>הובילם למקום מבודד שם שרפו את הבגדים</w:t>
      </w:r>
      <w:r>
        <w:rPr>
          <w:rtl w:val="true"/>
        </w:rPr>
        <w:t xml:space="preserve">; </w:t>
      </w:r>
      <w:r>
        <w:rPr>
          <w:rtl w:val="true"/>
        </w:rPr>
        <w:t>פירק את לוחית הרישוי</w:t>
      </w:r>
      <w:r>
        <w:rPr>
          <w:rtl w:val="true"/>
        </w:rPr>
        <w:t xml:space="preserve">; </w:t>
      </w:r>
      <w:r>
        <w:rPr>
          <w:rtl w:val="true"/>
        </w:rPr>
        <w:t>הרכיב אותן חזרה</w:t>
      </w:r>
      <w:r>
        <w:rPr>
          <w:rtl w:val="true"/>
        </w:rPr>
        <w:t xml:space="preserve">; </w:t>
      </w:r>
      <w:r>
        <w:rPr>
          <w:rtl w:val="true"/>
        </w:rPr>
        <w:t>חלף עם האחרים סמוך לדירת ההימורים מספר דקות לפני השוד עצמו</w:t>
      </w:r>
      <w:r>
        <w:rPr>
          <w:rtl w:val="true"/>
        </w:rPr>
        <w:t xml:space="preserve">; </w:t>
      </w:r>
      <w:r>
        <w:rPr>
          <w:rtl w:val="true"/>
        </w:rPr>
        <w:t>כיסה את פניו בצעיף בטרם נסע לדירה</w:t>
      </w:r>
      <w:r>
        <w:rPr>
          <w:rtl w:val="true"/>
        </w:rPr>
        <w:t xml:space="preserve">; </w:t>
      </w:r>
      <w:r>
        <w:rPr>
          <w:rtl w:val="true"/>
        </w:rPr>
        <w:t>והצביע על שער הכניסה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מרשימה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נעדרים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אינהרנטי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ההבטחה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לרווחים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השיח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וההבטחה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בעקבותיו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ופנימי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והוצאתה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>
          <w:highlight w:val="green"/>
        </w:rPr>
      </w:pPr>
      <w:r>
        <w:rPr>
          <w:highlight w:val="green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 זה מצאתי להעיר בפרט כי מחומר הראיות ומממצאי העובדה עולה שבית משפט קמא לא העניק די משקל לרמת שליטתו הפונקציונלית של המשיב בתוכנית העבריינית</w:t>
      </w:r>
      <w:r>
        <w:rPr>
          <w:rtl w:val="true"/>
        </w:rPr>
        <w:t xml:space="preserve">. </w:t>
      </w:r>
      <w:r>
        <w:rPr>
          <w:rtl w:val="true"/>
        </w:rPr>
        <w:t>דומני</w:t>
      </w:r>
      <w:r>
        <w:rPr>
          <w:rtl w:val="true"/>
        </w:rPr>
        <w:t xml:space="preserve">, </w:t>
      </w:r>
      <w:r>
        <w:rPr>
          <w:rtl w:val="true"/>
        </w:rPr>
        <w:t>כי לא בכדי הפצירו בו השותפים לקחת חלק בתוכנית העבריינית</w:t>
      </w:r>
      <w:r>
        <w:rPr>
          <w:rtl w:val="true"/>
        </w:rPr>
        <w:t xml:space="preserve">. </w:t>
      </w:r>
      <w:r>
        <w:rPr>
          <w:rtl w:val="true"/>
        </w:rPr>
        <w:t>נוכח היכרותו את המקום</w:t>
      </w:r>
      <w:r>
        <w:rPr>
          <w:rtl w:val="true"/>
        </w:rPr>
        <w:t xml:space="preserve">, </w:t>
      </w:r>
      <w:r>
        <w:rPr>
          <w:rtl w:val="true"/>
        </w:rPr>
        <w:t xml:space="preserve">את טיב המשחקים המשוחקים בו ואת הנפשות הפועלות בו </w:t>
      </w:r>
      <w:r>
        <w:rPr>
          <w:rtl w:val="true"/>
        </w:rPr>
        <w:t>–</w:t>
      </w:r>
      <w:r>
        <w:rPr>
          <w:rtl w:val="true"/>
        </w:rPr>
        <w:t xml:space="preserve"> הייתה לו יכולת לתרום תרומה משמעותית להוצאתה לפועל של התכנית העבריינית</w:t>
      </w:r>
      <w:r>
        <w:rPr>
          <w:rtl w:val="true"/>
        </w:rPr>
        <w:t xml:space="preserve">. </w:t>
      </w:r>
      <w:r>
        <w:rPr>
          <w:rtl w:val="true"/>
        </w:rPr>
        <w:t>הוא היה דרוש לה</w:t>
      </w:r>
      <w:r>
        <w:rPr>
          <w:rtl w:val="true"/>
        </w:rPr>
        <w:t xml:space="preserve">, </w:t>
      </w:r>
      <w:r>
        <w:rPr>
          <w:rtl w:val="true"/>
        </w:rPr>
        <w:t>ובהתאם הייתה לו שליטה ממשית בה</w:t>
      </w:r>
      <w:r>
        <w:rPr>
          <w:rtl w:val="true"/>
        </w:rPr>
        <w:t xml:space="preserve">. </w:t>
      </w:r>
      <w:r>
        <w:rPr>
          <w:rtl w:val="true"/>
        </w:rPr>
        <w:t>אילו היה עומד על סירובו להשתתף בתוכנית העבריינית</w:t>
      </w:r>
      <w:r>
        <w:rPr>
          <w:rtl w:val="true"/>
        </w:rPr>
        <w:t xml:space="preserve">, </w:t>
      </w:r>
      <w:r>
        <w:rPr>
          <w:rtl w:val="true"/>
        </w:rPr>
        <w:t>היה בסירוב זה כדי להקשות משמעותית על ביצועה</w:t>
      </w:r>
      <w:r>
        <w:rPr>
          <w:rtl w:val="true"/>
        </w:rPr>
        <w:t xml:space="preserve">. </w:t>
      </w:r>
      <w:r>
        <w:rPr>
          <w:rtl w:val="true"/>
        </w:rPr>
        <w:t>גם בכך יש כדי לתמוך במסקנה</w:t>
      </w:r>
      <w:r>
        <w:rPr>
          <w:rtl w:val="true"/>
        </w:rPr>
        <w:t xml:space="preserve">, </w:t>
      </w:r>
      <w:r>
        <w:rPr>
          <w:rtl w:val="true"/>
        </w:rPr>
        <w:t>שהמשיב היה מבצע בצוותא של העבירה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לשון אחר</w:t>
      </w:r>
      <w:r>
        <w:rPr>
          <w:rtl w:val="true"/>
        </w:rPr>
        <w:t xml:space="preserve">, </w:t>
      </w:r>
      <w:r>
        <w:rPr>
          <w:rtl w:val="true"/>
        </w:rPr>
        <w:t>בית משפט קמא לא העניק לדידי די משקל ל</w:t>
      </w:r>
      <w:r>
        <w:rPr>
          <w:rtl w:val="true"/>
        </w:rPr>
        <w:t>"</w:t>
      </w:r>
      <w:r>
        <w:rPr>
          <w:rtl w:val="true"/>
        </w:rPr>
        <w:t>ארבע מילות המפתח</w:t>
      </w:r>
      <w:r>
        <w:rPr>
          <w:rtl w:val="true"/>
        </w:rPr>
        <w:t xml:space="preserve">" </w:t>
      </w:r>
      <w:r>
        <w:rPr>
          <w:rtl w:val="true"/>
        </w:rPr>
        <w:t>האמורות</w:t>
      </w:r>
      <w:r>
        <w:rPr>
          <w:rtl w:val="true"/>
        </w:rPr>
        <w:t xml:space="preserve">, </w:t>
      </w:r>
      <w:r>
        <w:rPr>
          <w:rtl w:val="true"/>
        </w:rPr>
        <w:t xml:space="preserve">המשמשות לצורך אבחנה בין מבצע בצוותא ומסייע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באשה</w:t>
      </w:r>
      <w:r>
        <w:rPr>
          <w:rtl w:val="true"/>
        </w:rPr>
        <w:t xml:space="preserve">). </w:t>
      </w:r>
      <w:r>
        <w:rPr>
          <w:rtl w:val="true"/>
        </w:rPr>
        <w:t xml:space="preserve">המשיב בענייננו היה מעודכן ומעורב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בתכנית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המשותפת</w:t>
      </w:r>
      <w:r>
        <w:rPr>
          <w:rtl w:val="true"/>
        </w:rPr>
        <w:t xml:space="preserve"> ולקח חלק בגיבושה ובהוצאתה לפועל</w:t>
      </w:r>
      <w:r>
        <w:rPr>
          <w:rtl w:val="true"/>
        </w:rPr>
        <w:t xml:space="preserve">; </w:t>
      </w:r>
      <w:r>
        <w:rPr>
          <w:rtl w:val="true"/>
        </w:rPr>
        <w:t xml:space="preserve">הוא לקח חלק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במעגל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הפנימי</w:t>
      </w:r>
      <w:r>
        <w:rPr>
          <w:rtl w:val="true"/>
        </w:rPr>
        <w:t xml:space="preserve"> של מבצעי העבירה</w:t>
      </w:r>
      <w:r>
        <w:rPr>
          <w:rtl w:val="true"/>
        </w:rPr>
        <w:t xml:space="preserve">, </w:t>
      </w:r>
      <w:r>
        <w:rPr>
          <w:rtl w:val="true"/>
        </w:rPr>
        <w:t>ואף הוצעו לו תקבולים בגין שותפותו זו</w:t>
      </w:r>
      <w:r>
        <w:rPr>
          <w:rtl w:val="true"/>
        </w:rPr>
        <w:t xml:space="preserve">; </w:t>
      </w:r>
      <w:r>
        <w:rPr>
          <w:rtl w:val="true"/>
        </w:rPr>
        <w:t xml:space="preserve">למשיב הייתה מידה ממשית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פונקציונלית</w:t>
      </w:r>
      <w:r>
        <w:rPr>
          <w:rtl w:val="true"/>
        </w:rPr>
        <w:t xml:space="preserve"> באירוע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 xml:space="preserve">אירוע השוד כולו הוא תוצאה של חשיפת קיומה של דירת ההימורים על ידי המשיב </w:t>
      </w:r>
      <w:r>
        <w:rPr>
          <w:rtl w:val="true"/>
        </w:rPr>
        <w:t>–</w:t>
      </w:r>
      <w:r>
        <w:rPr>
          <w:rtl w:val="true"/>
        </w:rPr>
        <w:t xml:space="preserve"> ושותפיו נדרשו לשכנע אותו להצטרף אליהם</w:t>
      </w:r>
      <w:r>
        <w:rPr>
          <w:rtl w:val="true"/>
        </w:rPr>
        <w:t xml:space="preserve">, </w:t>
      </w:r>
      <w:r>
        <w:rPr>
          <w:rtl w:val="true"/>
        </w:rPr>
        <w:t>לא בכדי</w:t>
      </w:r>
      <w:r>
        <w:rPr>
          <w:rtl w:val="true"/>
        </w:rPr>
        <w:t xml:space="preserve">; </w:t>
      </w:r>
      <w:r>
        <w:rPr>
          <w:rtl w:val="true"/>
        </w:rPr>
        <w:t>למשיב יועד תפקיד מבעוד מועד במסגרת התכנית העבריינית</w:t>
      </w:r>
      <w:r>
        <w:rPr>
          <w:rtl w:val="true"/>
        </w:rPr>
        <w:t xml:space="preserve">, </w:t>
      </w:r>
      <w:r>
        <w:rPr>
          <w:rtl w:val="true"/>
        </w:rPr>
        <w:t>תפקיד אשר היה חיוני לביצוע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ובמובן זה פעל בתיאום עם יתר המבצעים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כגוף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ולא בנפרד או כגורם חיצוני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מידת מעורבותו בשלב התכנון וההכנה של השוד</w:t>
      </w:r>
      <w:r>
        <w:rPr>
          <w:rtl w:val="true"/>
        </w:rPr>
        <w:t xml:space="preserve">, </w:t>
      </w:r>
      <w:r>
        <w:rPr>
          <w:rtl w:val="true"/>
        </w:rPr>
        <w:t>מצדיקות לדידי את ההכרה בו כמבצע בצוותא</w:t>
      </w:r>
      <w:r>
        <w:rPr>
          <w:rtl w:val="true"/>
        </w:rPr>
        <w:t xml:space="preserve">, </w:t>
      </w:r>
      <w:r>
        <w:rPr>
          <w:rtl w:val="true"/>
        </w:rPr>
        <w:t>גם אם חלקו הפיזי בביצוע העבירה עצמה הוגבל להמתנה ברכב ולתפקוד כנהג מילוט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 xml:space="preserve">שני ראשיו של המבחן המשולב </w:t>
      </w:r>
      <w:r>
        <w:rPr>
          <w:rtl w:val="true"/>
        </w:rPr>
        <w:t>–</w:t>
      </w:r>
      <w:r>
        <w:rPr>
          <w:rtl w:val="true"/>
        </w:rPr>
        <w:t xml:space="preserve"> הן זה הנוגע ליסוד העובדתי והן זה הנוגע ליסוד הנפשי </w:t>
      </w:r>
      <w:r>
        <w:rPr>
          <w:rtl w:val="true"/>
        </w:rPr>
        <w:t>–</w:t>
      </w:r>
      <w:r>
        <w:rPr>
          <w:rtl w:val="true"/>
        </w:rPr>
        <w:t xml:space="preserve"> מצביעים על כי יש למקם את המשיב במעגל הפנימי של ביצוע העבירה</w:t>
      </w:r>
      <w:r>
        <w:rPr>
          <w:rtl w:val="true"/>
        </w:rPr>
        <w:t xml:space="preserve">. </w:t>
      </w:r>
      <w:r>
        <w:rPr>
          <w:rtl w:val="true"/>
        </w:rPr>
        <w:t>לא ניתן לראות במי שהסגיר את מיקומה של דירת ההימורים</w:t>
      </w:r>
      <w:r>
        <w:rPr>
          <w:rtl w:val="true"/>
        </w:rPr>
        <w:t xml:space="preserve">; </w:t>
      </w:r>
      <w:r>
        <w:rPr>
          <w:rtl w:val="true"/>
        </w:rPr>
        <w:t>לקח חלק בתכנון השוד והכנתו</w:t>
      </w:r>
      <w:r>
        <w:rPr>
          <w:rtl w:val="true"/>
        </w:rPr>
        <w:t xml:space="preserve">; </w:t>
      </w:r>
      <w:r>
        <w:rPr>
          <w:rtl w:val="true"/>
        </w:rPr>
        <w:t xml:space="preserve">ציפה לקבלת </w:t>
      </w:r>
      <w:r>
        <w:rPr/>
        <w:t>20%</w:t>
      </w:r>
      <w:r>
        <w:rPr>
          <w:rtl w:val="true"/>
        </w:rPr>
        <w:t xml:space="preserve"> </w:t>
      </w:r>
      <w:r>
        <w:rPr>
          <w:rtl w:val="true"/>
        </w:rPr>
        <w:t>משלל השוד</w:t>
      </w:r>
      <w:r>
        <w:rPr>
          <w:rtl w:val="true"/>
        </w:rPr>
        <w:t xml:space="preserve">; </w:t>
      </w:r>
      <w:r>
        <w:rPr>
          <w:rtl w:val="true"/>
        </w:rPr>
        <w:t>נהג את שותפיו לשוד לזירת השוד</w:t>
      </w:r>
      <w:r>
        <w:rPr>
          <w:rtl w:val="true"/>
        </w:rPr>
        <w:t xml:space="preserve">; </w:t>
      </w:r>
      <w:r>
        <w:rPr>
          <w:rtl w:val="true"/>
        </w:rPr>
        <w:t>המתין להם עד שייצאו</w:t>
      </w:r>
      <w:r>
        <w:rPr>
          <w:rtl w:val="true"/>
        </w:rPr>
        <w:t xml:space="preserve">; </w:t>
      </w:r>
      <w:r>
        <w:rPr>
          <w:rtl w:val="true"/>
        </w:rPr>
        <w:t xml:space="preserve">והסיעם למקום מרוחק לצורך השמדת הראיות </w:t>
      </w:r>
      <w:r>
        <w:rPr>
          <w:rtl w:val="true"/>
        </w:rPr>
        <w:t>–</w:t>
      </w:r>
      <w:r>
        <w:rPr>
          <w:rtl w:val="true"/>
        </w:rPr>
        <w:t xml:space="preserve"> כל זאת על פי הודאתו שלו</w:t>
      </w:r>
      <w:r>
        <w:rPr>
          <w:rtl w:val="true"/>
        </w:rPr>
        <w:t xml:space="preserve">, </w:t>
      </w:r>
      <w:r>
        <w:rPr>
          <w:rtl w:val="true"/>
        </w:rPr>
        <w:t xml:space="preserve">אשר נמצאה אמינה ונתמכת בראיות חיצוניות </w:t>
      </w:r>
      <w:r>
        <w:rPr>
          <w:rtl w:val="true"/>
        </w:rPr>
        <w:t>–</w:t>
      </w:r>
      <w:r>
        <w:rPr>
          <w:rtl w:val="true"/>
        </w:rPr>
        <w:t xml:space="preserve"> כמי שהוא בגדר </w:t>
      </w:r>
      <w:r>
        <w:rPr>
          <w:rtl w:val="true"/>
        </w:rPr>
        <w:t>"</w:t>
      </w:r>
      <w:r>
        <w:rPr>
          <w:rtl w:val="true"/>
        </w:rPr>
        <w:t>מסייע</w:t>
      </w:r>
      <w:r>
        <w:rPr>
          <w:rtl w:val="true"/>
        </w:rPr>
        <w:t xml:space="preserve">" </w:t>
      </w:r>
      <w:r>
        <w:rPr>
          <w:rtl w:val="true"/>
        </w:rPr>
        <w:t>ותו לא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אציע לחבריי כי נורה על הרשעתו של המשיב כמבצע בצוותא של עבירת ניסיון שוד בנסיבות מחמירות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הזיכוי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הרצח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משנמצא המשיב אשם בביצוע עבירת </w:t>
      </w:r>
      <w:r>
        <w:rPr>
          <w:rtl w:val="true"/>
        </w:rPr>
        <w:t>ניסיון שוד</w:t>
      </w:r>
      <w:r>
        <w:rPr>
          <w:rtl w:val="true"/>
        </w:rPr>
        <w:t xml:space="preserve"> בנסיבות מחמירות בצוותא</w:t>
      </w:r>
      <w:r>
        <w:rPr>
          <w:rtl w:val="true"/>
        </w:rPr>
        <w:t xml:space="preserve">, </w:t>
      </w:r>
      <w:r>
        <w:rPr>
          <w:rtl w:val="true"/>
        </w:rPr>
        <w:t>שבה וקמה השאלה האם יש לייחס לו אחריות בפלילים גם ביחס להמתתו של המנוח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עובר לתיקון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הגדיר החוק את עבירת הרצח כדלקמן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/>
        <w:t>300</w:t>
      </w:r>
      <w:r>
        <w:rPr>
          <w:rtl w:val="true"/>
        </w:rPr>
        <w:t>.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העושה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: 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  </w:t>
      </w:r>
      <w:r>
        <w:rPr>
          <w:rtl w:val="true"/>
        </w:rPr>
        <w:t>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,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אסורים</w:t>
      </w:r>
      <w:r>
        <w:rPr>
          <w:rtl w:val="true"/>
        </w:rPr>
        <w:t xml:space="preserve">,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סבו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סבתו</w:t>
      </w:r>
      <w:r>
        <w:rPr>
          <w:rtl w:val="true"/>
        </w:rPr>
        <w:t xml:space="preserve">; 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  </w:t>
      </w:r>
      <w:r>
        <w:rPr>
          <w:rtl w:val="true"/>
        </w:rPr>
        <w:t>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; 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  </w:t>
      </w:r>
      <w:r>
        <w:rPr>
          <w:rtl w:val="true"/>
        </w:rPr>
        <w:t>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; 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  </w:t>
      </w:r>
      <w:r>
        <w:rPr>
          <w:rtl w:val="true"/>
        </w:rPr>
        <w:t>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כשנעברה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לעצמו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שהשתתף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בריחה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</w:t>
      </w:r>
      <w:r>
        <w:rPr>
          <w:rtl w:val="true"/>
        </w:rPr>
        <w:t>ש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על כך מוסיף </w:t>
      </w:r>
      <w:hyperlink r:id="rId4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/>
        <w:t>34</w:t>
      </w:r>
      <w:r>
        <w:rPr>
          <w:rtl w:val="true"/>
        </w:rPr>
        <w:t>א</w:t>
      </w:r>
      <w:r>
        <w:rPr>
          <w:rtl w:val="true"/>
        </w:rPr>
        <w:t>.  (</w:t>
      </w:r>
      <w:r>
        <w:rPr>
          <w:rtl w:val="true"/>
        </w:rPr>
        <w:t>א</w:t>
      </w:r>
      <w:r>
        <w:rPr>
          <w:rtl w:val="true"/>
        </w:rPr>
        <w:t xml:space="preserve">) 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tl w:val="true"/>
        </w:rPr>
        <w:t xml:space="preserve">, </w:t>
      </w:r>
      <w:r>
        <w:rPr>
          <w:rtl w:val="true"/>
        </w:rPr>
        <w:t>אגב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הענין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  </w:t>
      </w:r>
      <w:r>
        <w:rPr>
          <w:rtl w:val="true"/>
        </w:rPr>
        <w:t>יישאו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הנותרים</w:t>
      </w:r>
      <w:r>
        <w:rPr>
          <w:rtl w:val="true"/>
        </w:rPr>
        <w:t xml:space="preserve">;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נעברה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tl w:val="true"/>
        </w:rPr>
        <w:t xml:space="preserve">, </w:t>
      </w:r>
      <w:r>
        <w:rPr>
          <w:rtl w:val="true"/>
        </w:rPr>
        <w:t>ישאו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הנותרים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;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הדין מחייב הבחנה בין שלושה תרחישים</w:t>
      </w:r>
      <w:r>
        <w:rPr>
          <w:rtl w:val="true"/>
        </w:rPr>
        <w:t xml:space="preserve">: </w:t>
      </w:r>
      <w:r>
        <w:rPr>
          <w:rtl w:val="true"/>
        </w:rPr>
        <w:t>מצב דברים בו צפה מבצע בצוותא של עבירה את אפשרות ביצועה של העבירה הנלווית בפועל</w:t>
      </w:r>
      <w:r>
        <w:rPr>
          <w:rtl w:val="true"/>
        </w:rPr>
        <w:t xml:space="preserve">; </w:t>
      </w:r>
      <w:r>
        <w:rPr>
          <w:rtl w:val="true"/>
        </w:rPr>
        <w:t>מצב דברים בו לא צפה מבצע בצוותא של עבירה את אפשרות ביצועה של העבירה הנלווית בפועל</w:t>
      </w:r>
      <w:r>
        <w:rPr>
          <w:rtl w:val="true"/>
        </w:rPr>
        <w:t xml:space="preserve">, </w:t>
      </w:r>
      <w:r>
        <w:rPr>
          <w:rtl w:val="true"/>
        </w:rPr>
        <w:t>ואולם אדם מן היישוב יכול היה לצפות אותה בכוח</w:t>
      </w:r>
      <w:r>
        <w:rPr>
          <w:rtl w:val="true"/>
        </w:rPr>
        <w:t xml:space="preserve">; </w:t>
      </w:r>
      <w:r>
        <w:rPr>
          <w:rtl w:val="true"/>
        </w:rPr>
        <w:t>ומצב דברים בו לא נתקיימה לא צפיות בפועל ולא צפיות בכוח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במצב דברים בו המבצע בצוותא היה מודע בפועל לאפשרות ביצועה של העבירה הנוספת</w:t>
      </w:r>
      <w:r>
        <w:rPr>
          <w:rtl w:val="true"/>
        </w:rPr>
        <w:t xml:space="preserve">, </w:t>
      </w:r>
      <w:r>
        <w:rPr>
          <w:rtl w:val="true"/>
        </w:rPr>
        <w:t>בין אם זו הייתה חלק מהתכנון המקורי ובין אם הייתה סטייה מהתכנון כאשר המבצע בצוותא היה מודע לאפשרות ביצועה</w:t>
      </w:r>
      <w:r>
        <w:rPr>
          <w:rtl w:val="true"/>
        </w:rPr>
        <w:t xml:space="preserve">, </w:t>
      </w:r>
      <w:r>
        <w:rPr>
          <w:rtl w:val="true"/>
        </w:rPr>
        <w:t>תוטל אחריות ישירה על כלל השותפים</w:t>
      </w:r>
      <w:r>
        <w:rPr>
          <w:rtl w:val="true"/>
        </w:rPr>
        <w:t xml:space="preserve">, </w:t>
      </w:r>
      <w:r>
        <w:rPr>
          <w:rtl w:val="true"/>
        </w:rPr>
        <w:t>המבצעים בצוותא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מקום בו המבצע בצוותא לא היה מודע בפועל לאפשרות ביצוע העבירה הנוספת</w:t>
      </w:r>
      <w:r>
        <w:rPr>
          <w:rtl w:val="true"/>
        </w:rPr>
        <w:t xml:space="preserve">, </w:t>
      </w:r>
      <w:r>
        <w:rPr>
          <w:rtl w:val="true"/>
        </w:rPr>
        <w:t>אולם ניתן היה לצפות אותה בכוח לפי מבחן האדם מן היישוב</w:t>
      </w:r>
      <w:r>
        <w:rPr>
          <w:rtl w:val="true"/>
        </w:rPr>
        <w:t xml:space="preserve">, </w:t>
      </w:r>
      <w:r>
        <w:rPr>
          <w:rtl w:val="true"/>
        </w:rPr>
        <w:t xml:space="preserve">תחול אחריות על עבירה שונה או נוספת לפי </w:t>
      </w:r>
      <w:hyperlink r:id="rId5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</w:t>
      </w:r>
      <w:hyperlink r:id="rId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כאשר אם הייתה העבירה הנוספת עבירת כוונה</w:t>
      </w:r>
      <w:r>
        <w:rPr>
          <w:rtl w:val="true"/>
        </w:rPr>
        <w:t xml:space="preserve">, </w:t>
      </w:r>
      <w:r>
        <w:rPr>
          <w:rtl w:val="true"/>
        </w:rPr>
        <w:t>יישא בה המבצע בצוותא כעבירה של אדישות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כאשר העבירה הנוספת לא נצפתה בפועל על ידי יתר השותפים</w:t>
      </w:r>
      <w:r>
        <w:rPr>
          <w:rtl w:val="true"/>
        </w:rPr>
        <w:t xml:space="preserve">, </w:t>
      </w:r>
      <w:r>
        <w:rPr>
          <w:rtl w:val="true"/>
        </w:rPr>
        <w:t>ואף לא היה ניתן היה לצפותה בכוח</w:t>
      </w:r>
      <w:r>
        <w:rPr>
          <w:rtl w:val="true"/>
        </w:rPr>
        <w:t xml:space="preserve">, </w:t>
      </w:r>
      <w:r>
        <w:rPr>
          <w:rtl w:val="true"/>
        </w:rPr>
        <w:t xml:space="preserve">לא תחול עליהם כל אחריות לעבירה הנלווית </w:t>
      </w:r>
      <w:r>
        <w:rPr>
          <w:rtl w:val="true"/>
        </w:rPr>
        <w:t>(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2948/03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ברזובסקי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 xml:space="preserve">לפסק דינה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פרוקצ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20.6.2005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ברזובסקי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מצא בית משפט קמא לזכות את המשיב מעבירת הרצח </w:t>
      </w:r>
      <w:r>
        <w:rPr>
          <w:rtl w:val="true"/>
        </w:rPr>
        <w:t>–</w:t>
      </w:r>
      <w:r>
        <w:rPr>
          <w:rtl w:val="true"/>
        </w:rPr>
        <w:t xml:space="preserve"> ראשית</w:t>
      </w:r>
      <w:r>
        <w:rPr>
          <w:rtl w:val="true"/>
        </w:rPr>
        <w:t xml:space="preserve">, </w:t>
      </w:r>
      <w:r>
        <w:rPr>
          <w:rtl w:val="true"/>
        </w:rPr>
        <w:t>מפני שלטעמו אין מדובר במבצע בצוותא של ניסיון השוד</w:t>
      </w:r>
      <w:r>
        <w:rPr>
          <w:rtl w:val="true"/>
        </w:rPr>
        <w:t xml:space="preserve">, </w:t>
      </w:r>
      <w:r>
        <w:rPr>
          <w:rtl w:val="true"/>
        </w:rPr>
        <w:t>כי אם במסייע בלבד</w:t>
      </w:r>
      <w:r>
        <w:rPr>
          <w:rtl w:val="true"/>
        </w:rPr>
        <w:t xml:space="preserve">;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מפני שלעמדת בית משפט קמא</w:t>
      </w:r>
      <w:r>
        <w:rPr>
          <w:rtl w:val="true"/>
        </w:rPr>
        <w:t xml:space="preserve">, </w:t>
      </w:r>
      <w:r>
        <w:rPr>
          <w:rtl w:val="true"/>
        </w:rPr>
        <w:t>לא הוכחה לפניו הטענה שהאחר אשר דקר את המנוח אכן ביצע עבירת רצח</w:t>
      </w:r>
      <w:r>
        <w:rPr>
          <w:rtl w:val="true"/>
        </w:rPr>
        <w:t xml:space="preserve">; </w:t>
      </w:r>
      <w:r>
        <w:rPr>
          <w:rtl w:val="true"/>
        </w:rPr>
        <w:t>ושלישית</w:t>
      </w:r>
      <w:r>
        <w:rPr>
          <w:rtl w:val="true"/>
        </w:rPr>
        <w:t xml:space="preserve">, </w:t>
      </w:r>
      <w:r>
        <w:rPr>
          <w:rtl w:val="true"/>
        </w:rPr>
        <w:t>בהנחה שאכן הוכח כי בוצעה עבירת רצח הרי שלא הוכחה מודעותו של המשיב לאפשרות כי יתרחש מעשה המתה במסגרת השוד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>המעשים שביצע המשיב עולים כדי ביצוע בצוותא של ניסיון שוד בנסיבות מחמירות</w:t>
      </w:r>
      <w:r>
        <w:rPr>
          <w:rtl w:val="true"/>
        </w:rPr>
        <w:t xml:space="preserve">. </w:t>
      </w:r>
      <w:r>
        <w:rPr>
          <w:rtl w:val="true"/>
        </w:rPr>
        <w:t>אף לו הייתי נכון להניח</w:t>
      </w:r>
      <w:r>
        <w:rPr>
          <w:rtl w:val="true"/>
        </w:rPr>
        <w:t xml:space="preserve">, </w:t>
      </w:r>
      <w:r>
        <w:rPr>
          <w:rtl w:val="true"/>
        </w:rPr>
        <w:t>כי מממצאי העובדה שנקבעו בבית משפט קמא</w:t>
      </w:r>
      <w:r>
        <w:rPr>
          <w:rtl w:val="true"/>
        </w:rPr>
        <w:t xml:space="preserve">, </w:t>
      </w:r>
      <w:r>
        <w:rPr>
          <w:rtl w:val="true"/>
        </w:rPr>
        <w:t>עולה שהאחר אכן ביצע עבירת רצח</w:t>
      </w:r>
      <w:r>
        <w:rPr>
          <w:rtl w:val="true"/>
        </w:rPr>
        <w:t xml:space="preserve">, </w:t>
      </w:r>
      <w:r>
        <w:rPr>
          <w:rtl w:val="true"/>
        </w:rPr>
        <w:t>בשים לב גם להכרעת הדין בעניינו של דאהר</w:t>
      </w:r>
      <w:r>
        <w:rPr>
          <w:rtl w:val="true"/>
        </w:rPr>
        <w:t xml:space="preserve">, </w:t>
      </w:r>
      <w:r>
        <w:rPr>
          <w:rtl w:val="true"/>
        </w:rPr>
        <w:t xml:space="preserve">אשר ניתנה לאחר פסק הדין בעניינו של המשיב </w:t>
      </w:r>
      <w:r>
        <w:rPr>
          <w:rtl w:val="true"/>
        </w:rPr>
        <w:t>–</w:t>
      </w:r>
      <w:r>
        <w:rPr>
          <w:rtl w:val="true"/>
        </w:rPr>
        <w:t xml:space="preserve"> אינני סבור כי עלה בידי המערערת להוכיח מעל לכל ספק סביר</w:t>
      </w:r>
      <w:r>
        <w:rPr>
          <w:rtl w:val="true"/>
        </w:rPr>
        <w:t xml:space="preserve">, </w:t>
      </w:r>
      <w:r>
        <w:rPr>
          <w:rtl w:val="true"/>
        </w:rPr>
        <w:t>כי במשיב התגבשה צפיות בפועל או בכוח לאפשרות ביצועה של עבירת המתה במסגרת השוד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ראשית כל</w:t>
      </w:r>
      <w:r>
        <w:rPr>
          <w:rtl w:val="true"/>
        </w:rPr>
        <w:t xml:space="preserve">, </w:t>
      </w:r>
      <w:r>
        <w:rPr>
          <w:rtl w:val="true"/>
        </w:rPr>
        <w:t>אין ספק כי במסגרת תכנון השוד</w:t>
      </w:r>
      <w:r>
        <w:rPr>
          <w:rtl w:val="true"/>
        </w:rPr>
        <w:t xml:space="preserve">, </w:t>
      </w:r>
      <w:r>
        <w:rPr>
          <w:rtl w:val="true"/>
        </w:rPr>
        <w:t>לא תכננו השלושה לבצע גם רצח</w:t>
      </w:r>
      <w:r>
        <w:rPr>
          <w:rtl w:val="true"/>
        </w:rPr>
        <w:t xml:space="preserve">. </w:t>
      </w:r>
      <w:r>
        <w:rPr>
          <w:rtl w:val="true"/>
        </w:rPr>
        <w:t>על פי ממצאי העובדה</w:t>
      </w:r>
      <w:r>
        <w:rPr>
          <w:rtl w:val="true"/>
        </w:rPr>
        <w:t xml:space="preserve">, </w:t>
      </w:r>
      <w:r>
        <w:rPr>
          <w:rtl w:val="true"/>
        </w:rPr>
        <w:t xml:space="preserve">ההיפך הוא הנכון </w:t>
      </w:r>
      <w:r>
        <w:rPr>
          <w:rtl w:val="true"/>
        </w:rPr>
        <w:t>–</w:t>
      </w:r>
      <w:r>
        <w:rPr>
          <w:rtl w:val="true"/>
        </w:rPr>
        <w:t xml:space="preserve"> המשיב הבהיר כי הנוכחים בזירת השוד הם חברים ומשפחה</w:t>
      </w:r>
      <w:r>
        <w:rPr>
          <w:rtl w:val="true"/>
        </w:rPr>
        <w:t xml:space="preserve">, </w:t>
      </w:r>
      <w:r>
        <w:rPr>
          <w:rtl w:val="true"/>
        </w:rPr>
        <w:t>והוא מבקש שיובטח לו שאיש לא ייפגע</w:t>
      </w:r>
      <w:r>
        <w:rPr>
          <w:rtl w:val="true"/>
        </w:rPr>
        <w:t xml:space="preserve">. </w:t>
      </w:r>
      <w:r>
        <w:rPr>
          <w:rtl w:val="true"/>
        </w:rPr>
        <w:t>עבירת ההמתה בוצעה במסגרת הסתבכות של ניסיון השוד</w:t>
      </w:r>
      <w:r>
        <w:rPr>
          <w:rtl w:val="true"/>
        </w:rPr>
        <w:t xml:space="preserve">, </w:t>
      </w:r>
      <w:r>
        <w:rPr>
          <w:rtl w:val="true"/>
        </w:rPr>
        <w:t>ולא מתוך תכנון מראש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על מנת לייחס אחריות למשיב בגין עבירת הרצח</w:t>
      </w:r>
      <w:r>
        <w:rPr>
          <w:rtl w:val="true"/>
        </w:rPr>
        <w:t xml:space="preserve">, </w:t>
      </w:r>
      <w:r>
        <w:rPr>
          <w:rtl w:val="true"/>
        </w:rPr>
        <w:t>על המערערת להוכיח כי המשיב היה מודע בפועל לאפשרות ביצועה של עבירת ההמתה</w:t>
      </w:r>
      <w:r>
        <w:rPr>
          <w:rtl w:val="true"/>
        </w:rPr>
        <w:t xml:space="preserve">, </w:t>
      </w:r>
      <w:r>
        <w:rPr>
          <w:rtl w:val="true"/>
        </w:rPr>
        <w:t>ולחלופין כי אדם מן היישוב יכול היה להיות מודע לכך בנסיבות האירוע</w:t>
      </w:r>
      <w:r>
        <w:rPr>
          <w:rtl w:val="true"/>
        </w:rPr>
        <w:t xml:space="preserve">. </w:t>
      </w:r>
      <w:r>
        <w:rPr>
          <w:rtl w:val="true"/>
        </w:rPr>
        <w:t>לשיטתי</w:t>
      </w:r>
      <w:r>
        <w:rPr>
          <w:rtl w:val="true"/>
        </w:rPr>
        <w:t xml:space="preserve">, </w:t>
      </w:r>
      <w:r>
        <w:rPr>
          <w:rtl w:val="true"/>
        </w:rPr>
        <w:t>המערערת לא עמדה בנטל להוכיח מעל לכל ספק סביר</w:t>
      </w:r>
      <w:r>
        <w:rPr>
          <w:rtl w:val="true"/>
        </w:rPr>
        <w:t xml:space="preserve">, </w:t>
      </w:r>
      <w:r>
        <w:rPr>
          <w:rtl w:val="true"/>
        </w:rPr>
        <w:t>כי אלה אכן היו פני הדברים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לצפיות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על מודעותו של המשיב לאפשרות ביצוע עבירת ההמתה כעבירה נוספת במסגרת השוד</w:t>
      </w:r>
      <w:r>
        <w:rPr>
          <w:rtl w:val="true"/>
        </w:rPr>
        <w:t xml:space="preserve">, </w:t>
      </w:r>
      <w:r>
        <w:rPr>
          <w:rtl w:val="true"/>
        </w:rPr>
        <w:t>מנסה המערערת ללמוד מהאזהרות שהזהיר את שותפיו</w:t>
      </w:r>
      <w:r>
        <w:rPr>
          <w:rtl w:val="true"/>
        </w:rPr>
        <w:t xml:space="preserve">, </w:t>
      </w:r>
      <w:r>
        <w:rPr>
          <w:rtl w:val="true"/>
        </w:rPr>
        <w:t>בטרם ביצעו את השוד</w:t>
      </w:r>
      <w:r>
        <w:rPr>
          <w:rtl w:val="true"/>
        </w:rPr>
        <w:t xml:space="preserve">, </w:t>
      </w:r>
      <w:r>
        <w:rPr>
          <w:rtl w:val="true"/>
        </w:rPr>
        <w:t>ומהעובדה שהודה כי ידע ששותפיו חמושים בנשק קר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בהודעותיו במשטרה</w:t>
      </w:r>
      <w:r>
        <w:rPr>
          <w:rtl w:val="true"/>
        </w:rPr>
        <w:t xml:space="preserve">, </w:t>
      </w:r>
      <w:r>
        <w:rPr>
          <w:rtl w:val="true"/>
        </w:rPr>
        <w:t xml:space="preserve">אמר המשיב כי חשב שביצוע השוד הוא מסוכן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59</w:t>
      </w:r>
      <w:r>
        <w:rPr>
          <w:rtl w:val="true"/>
        </w:rPr>
        <w:t xml:space="preserve"> </w:t>
      </w:r>
      <w:r>
        <w:rPr>
          <w:rtl w:val="true"/>
        </w:rPr>
        <w:t>לתמלול ההודעה השלישית</w:t>
      </w:r>
      <w:r>
        <w:rPr>
          <w:rtl w:val="true"/>
        </w:rPr>
        <w:t xml:space="preserve">). </w:t>
      </w:r>
      <w:r>
        <w:rPr>
          <w:rtl w:val="true"/>
        </w:rPr>
        <w:t xml:space="preserve">הוא הודה גם כי ידע ששותפיו לקחו עמם סכינים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64</w:t>
      </w:r>
      <w:r>
        <w:rPr>
          <w:rtl w:val="true"/>
        </w:rPr>
        <w:t xml:space="preserve"> </w:t>
      </w:r>
      <w:r>
        <w:rPr>
          <w:rtl w:val="true"/>
        </w:rPr>
        <w:t>לתמלול ההודעה השלישית</w:t>
      </w:r>
      <w:r>
        <w:rPr>
          <w:rtl w:val="true"/>
        </w:rPr>
        <w:t xml:space="preserve">), </w:t>
      </w:r>
      <w:r>
        <w:rPr>
          <w:rtl w:val="true"/>
        </w:rPr>
        <w:t>אם כי מאוחר יותר טען שראה רק סכין אחת</w:t>
      </w:r>
      <w:r>
        <w:rPr>
          <w:rtl w:val="true"/>
        </w:rPr>
        <w:t>, "</w:t>
      </w:r>
      <w:r>
        <w:rPr>
          <w:rtl w:val="true"/>
        </w:rPr>
        <w:t xml:space="preserve">אולי אותה סכין שהייתה ביד של כרם </w:t>
      </w:r>
      <w:r>
        <w:rPr>
          <w:rtl w:val="true"/>
        </w:rPr>
        <w:t>[</w:t>
      </w:r>
      <w:r>
        <w:rPr>
          <w:rtl w:val="true"/>
        </w:rPr>
        <w:t>האחר</w:t>
      </w:r>
      <w:r>
        <w:rPr>
          <w:rtl w:val="true"/>
        </w:rPr>
        <w:t xml:space="preserve">] </w:t>
      </w:r>
      <w:r>
        <w:rPr>
          <w:rtl w:val="true"/>
        </w:rPr>
        <w:t>ואחרי זה דאהר לקח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89-88</w:t>
      </w:r>
      <w:r>
        <w:rPr>
          <w:rtl w:val="true"/>
        </w:rPr>
        <w:t xml:space="preserve"> </w:t>
      </w:r>
      <w:r>
        <w:rPr>
          <w:rtl w:val="true"/>
        </w:rPr>
        <w:t>לתמלול ההודעה השלישית</w:t>
      </w:r>
      <w:r>
        <w:rPr>
          <w:rtl w:val="true"/>
        </w:rPr>
        <w:t xml:space="preserve">), </w:t>
      </w:r>
      <w:r>
        <w:rPr>
          <w:rtl w:val="true"/>
        </w:rPr>
        <w:t xml:space="preserve">וכי דאהר נוהג לשאת סכינים כעניין שבשגרה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82</w:t>
      </w:r>
      <w:r>
        <w:rPr>
          <w:rtl w:val="true"/>
        </w:rPr>
        <w:t xml:space="preserve"> </w:t>
      </w:r>
      <w:r>
        <w:rPr>
          <w:rtl w:val="true"/>
        </w:rPr>
        <w:t>לתמלול ההודעה השלישית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בפנים</w:t>
      </w:r>
      <w:r>
        <w:rPr>
          <w:rtl w:val="true"/>
        </w:rPr>
        <w:t xml:space="preserve">, </w:t>
      </w:r>
      <w:r>
        <w:rPr>
          <w:rtl w:val="true"/>
        </w:rPr>
        <w:t>מהמשפחה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חברים</w:t>
      </w:r>
      <w:r>
        <w:rPr>
          <w:rtl w:val="true"/>
        </w:rPr>
        <w:t xml:space="preserve">.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תדאג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115</w:t>
      </w:r>
      <w:r>
        <w:rPr>
          <w:rtl w:val="true"/>
        </w:rPr>
        <w:t xml:space="preserve"> </w:t>
      </w:r>
      <w:r>
        <w:rPr>
          <w:rtl w:val="true"/>
        </w:rPr>
        <w:t>לתמלול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החמישית</w:t>
      </w:r>
      <w:r>
        <w:rPr>
          <w:rtl w:val="true"/>
        </w:rPr>
        <w:t xml:space="preserve">).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שותפיו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119</w:t>
      </w:r>
      <w:r>
        <w:rPr>
          <w:rtl w:val="true"/>
        </w:rPr>
        <w:t xml:space="preserve"> </w:t>
      </w:r>
      <w:r>
        <w:rPr>
          <w:rtl w:val="true"/>
        </w:rPr>
        <w:t>לתמלול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החמישית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הבטיחו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119</w:t>
      </w:r>
      <w:r>
        <w:rPr>
          <w:rtl w:val="true"/>
        </w:rPr>
        <w:t xml:space="preserve"> </w:t>
      </w:r>
      <w:r>
        <w:rPr>
          <w:rtl w:val="true"/>
        </w:rPr>
        <w:t>לתמלול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החמישית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המערערת ביקשה להסתמך על אמירת המשיב</w:t>
      </w:r>
      <w:r>
        <w:rPr>
          <w:rtl w:val="true"/>
        </w:rPr>
        <w:t xml:space="preserve">, </w:t>
      </w:r>
      <w:r>
        <w:rPr>
          <w:rtl w:val="true"/>
        </w:rPr>
        <w:t>לפיה ידע שישנו סיכוי שיתפתח עימות אלים</w:t>
      </w:r>
      <w:r>
        <w:rPr>
          <w:rtl w:val="true"/>
        </w:rPr>
        <w:t xml:space="preserve">, </w:t>
      </w:r>
      <w:r>
        <w:rPr>
          <w:rtl w:val="true"/>
        </w:rPr>
        <w:t>ובמידה שתהיה התנגדות יכול הדבר להוליד שימוש בסכינים</w:t>
      </w:r>
      <w:r>
        <w:rPr>
          <w:rtl w:val="true"/>
        </w:rPr>
        <w:t xml:space="preserve">, </w:t>
      </w:r>
      <w:r>
        <w:rPr>
          <w:rtl w:val="true"/>
        </w:rPr>
        <w:t>באופן שעשוי להוביל למוות</w:t>
      </w:r>
      <w:r>
        <w:rPr>
          <w:rtl w:val="true"/>
        </w:rPr>
        <w:t xml:space="preserve">. </w:t>
      </w:r>
      <w:r>
        <w:rPr>
          <w:rtl w:val="true"/>
        </w:rPr>
        <w:t>בית משפט קמא קבע</w:t>
      </w:r>
      <w:r>
        <w:rPr>
          <w:rtl w:val="true"/>
        </w:rPr>
        <w:t xml:space="preserve">, </w:t>
      </w:r>
      <w:r>
        <w:rPr>
          <w:rtl w:val="true"/>
        </w:rPr>
        <w:t>כממצא שבעובדה</w:t>
      </w:r>
      <w:r>
        <w:rPr>
          <w:rtl w:val="true"/>
        </w:rPr>
        <w:t xml:space="preserve">, </w:t>
      </w:r>
      <w:r>
        <w:rPr>
          <w:rtl w:val="true"/>
        </w:rPr>
        <w:t>שאין בדברים שאמר המשיב את שמבקשת המערערת למצוא בהם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ישנה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ימות</w:t>
      </w:r>
      <w:r>
        <w:rPr>
          <w:rtl w:val="true"/>
        </w:rPr>
        <w:t>' [</w:t>
      </w:r>
      <w:r>
        <w:rPr>
          <w:rtl w:val="true"/>
        </w:rPr>
        <w:t>אך</w:t>
      </w:r>
      <w:r>
        <w:rPr>
          <w:rtl w:val="true"/>
        </w:rPr>
        <w:t xml:space="preserve">] </w:t>
      </w:r>
      <w:r>
        <w:rPr>
          <w:rtl w:val="true"/>
        </w:rPr>
        <w:t>זהו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היפותטי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ודומני</w:t>
      </w:r>
      <w:r>
        <w:rPr>
          <w:rtl w:val="true"/>
        </w:rPr>
        <w:t xml:space="preserve">, </w:t>
      </w:r>
      <w:r>
        <w:rPr>
          <w:rtl w:val="true"/>
        </w:rPr>
        <w:t>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ברצח</w:t>
      </w:r>
      <w:r>
        <w:rPr>
          <w:rtl w:val="true"/>
        </w:rPr>
        <w:t>!" (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101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מסקנה זו של בית משפט קמא מקובלת עליי</w:t>
      </w:r>
      <w:r>
        <w:rPr>
          <w:rtl w:val="true"/>
        </w:rPr>
        <w:t xml:space="preserve">. </w:t>
      </w:r>
      <w:r>
        <w:rPr>
          <w:rtl w:val="true"/>
        </w:rPr>
        <w:t>הודעות המשיב</w:t>
      </w:r>
      <w:r>
        <w:rPr>
          <w:rtl w:val="true"/>
        </w:rPr>
        <w:t xml:space="preserve">, </w:t>
      </w:r>
      <w:r>
        <w:rPr>
          <w:rtl w:val="true"/>
        </w:rPr>
        <w:t>שהתקבלו כאמינות וככאלה שיש ליתן להן את מלוא המשקל</w:t>
      </w:r>
      <w:r>
        <w:rPr>
          <w:rtl w:val="true"/>
        </w:rPr>
        <w:t xml:space="preserve">, </w:t>
      </w:r>
      <w:r>
        <w:rPr>
          <w:rtl w:val="true"/>
        </w:rPr>
        <w:t>אינן מצביעות לטעמי על כי המשיב היה מודע בפועל לאפשרות גרימת התוצאה הקטלנית</w:t>
      </w:r>
      <w:r>
        <w:rPr>
          <w:rtl w:val="true"/>
        </w:rPr>
        <w:t xml:space="preserve">. </w:t>
      </w:r>
      <w:r>
        <w:rPr>
          <w:rtl w:val="true"/>
        </w:rPr>
        <w:t>ראשית כל</w:t>
      </w:r>
      <w:r>
        <w:rPr>
          <w:rtl w:val="true"/>
        </w:rPr>
        <w:t xml:space="preserve">, </w:t>
      </w:r>
      <w:r>
        <w:rPr>
          <w:rtl w:val="true"/>
        </w:rPr>
        <w:t>לא עולה מהודעות אלה כי הוא חשש ממותו של מי מהנוכחים בדירת ההימורים</w:t>
      </w:r>
      <w:r>
        <w:rPr>
          <w:rtl w:val="true"/>
        </w:rPr>
        <w:t xml:space="preserve">, </w:t>
      </w:r>
      <w:r>
        <w:rPr>
          <w:rtl w:val="true"/>
        </w:rPr>
        <w:t>אם כי הוא בהחלט חשש מפגיעה כלשהי בהם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פעל המשיב על מנת להבהיר לשותפיו כי הוא חושש מהסתבכות השוד</w:t>
      </w:r>
      <w:r>
        <w:rPr>
          <w:rtl w:val="true"/>
        </w:rPr>
        <w:t xml:space="preserve">, </w:t>
      </w:r>
      <w:r>
        <w:rPr>
          <w:rtl w:val="true"/>
        </w:rPr>
        <w:t>ובמטרה לחלץ מהם הבטחה שלא לפגוע באיש</w:t>
      </w:r>
      <w:r>
        <w:rPr>
          <w:rtl w:val="true"/>
        </w:rPr>
        <w:t xml:space="preserve">. </w:t>
      </w:r>
      <w:r>
        <w:rPr>
          <w:rtl w:val="true"/>
        </w:rPr>
        <w:t>מן ההודעה עולה כי התרצה</w:t>
      </w:r>
      <w:r>
        <w:rPr>
          <w:rtl w:val="true"/>
        </w:rPr>
        <w:t xml:space="preserve">, </w:t>
      </w:r>
      <w:r>
        <w:rPr>
          <w:rtl w:val="true"/>
        </w:rPr>
        <w:t>והשתתף בתכנית העבריינית</w:t>
      </w:r>
      <w:r>
        <w:rPr>
          <w:rtl w:val="true"/>
        </w:rPr>
        <w:t xml:space="preserve">, </w:t>
      </w:r>
      <w:r>
        <w:rPr>
          <w:rtl w:val="true"/>
        </w:rPr>
        <w:t>לאחר ששותפיו התחייבו בפניו שלא יפגעו באיש</w:t>
      </w:r>
      <w:r>
        <w:rPr>
          <w:rtl w:val="true"/>
        </w:rPr>
        <w:t xml:space="preserve">. </w:t>
      </w:r>
      <w:r>
        <w:rPr>
          <w:rtl w:val="true"/>
        </w:rPr>
        <w:t>על פניו</w:t>
      </w:r>
      <w:r>
        <w:rPr>
          <w:rtl w:val="true"/>
        </w:rPr>
        <w:t xml:space="preserve">, </w:t>
      </w:r>
      <w:r>
        <w:rPr>
          <w:rtl w:val="true"/>
        </w:rPr>
        <w:t>ייתכן כי אלמלא היו מתחייבים בהתחייבות זו</w:t>
      </w:r>
      <w:r>
        <w:rPr>
          <w:rtl w:val="true"/>
        </w:rPr>
        <w:t xml:space="preserve">, </w:t>
      </w:r>
      <w:r>
        <w:rPr>
          <w:rtl w:val="true"/>
        </w:rPr>
        <w:t>לא היה המשיב משתתף בתכנית העבריינית</w:t>
      </w:r>
      <w:r>
        <w:rPr>
          <w:rtl w:val="true"/>
        </w:rPr>
        <w:t xml:space="preserve">.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בעיני</w:t>
      </w:r>
      <w:r>
        <w:rPr>
          <w:rtl w:val="true"/>
        </w:rPr>
        <w:t xml:space="preserve">, </w:t>
      </w:r>
      <w:r>
        <w:rPr>
          <w:rtl w:val="true"/>
        </w:rPr>
        <w:t>אם נוכח הבטחות השותפים שלא לפגוע באיש</w:t>
      </w:r>
      <w:r>
        <w:rPr>
          <w:rtl w:val="true"/>
        </w:rPr>
        <w:t xml:space="preserve">, </w:t>
      </w:r>
      <w:r>
        <w:rPr>
          <w:rtl w:val="true"/>
        </w:rPr>
        <w:t>צפה המשיב בפועל את האפשרות שמאן דהוא ייפגע במהלך ניסיון השוד בכל זאת</w:t>
      </w:r>
      <w:r>
        <w:rPr>
          <w:rtl w:val="true"/>
        </w:rPr>
        <w:t xml:space="preserve">, </w:t>
      </w:r>
      <w:r>
        <w:rPr>
          <w:rtl w:val="true"/>
        </w:rPr>
        <w:t>ומקל וחומר שלא הוכח כי צפה שמי מהמשתתפים ימצא את מותו</w:t>
      </w:r>
      <w:r>
        <w:rPr>
          <w:rtl w:val="true"/>
        </w:rPr>
        <w:t xml:space="preserve">. </w:t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ממכלול הנסיבות שפורט לעיל בידי לקבוע כי לא עלה בידי המערערת להוכיח מעל לכל ספק סביר כי אכן התגבשה בקרב המשיב מודעות בפועל לאפשרות ביצועה של עבירת רצח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לצפיות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בכוח</w:t>
      </w:r>
      <w:r>
        <w:rPr>
          <w:rtl w:val="true"/>
        </w:rPr>
        <w:t xml:space="preserve">, </w:t>
      </w:r>
      <w:r>
        <w:rPr>
          <w:rtl w:val="true"/>
        </w:rPr>
        <w:t>הרי ששאלה זו נבחנת נוכח נסיבותיו הקונקרטיות של כל מקרה נתון</w:t>
      </w:r>
      <w:r>
        <w:rPr>
          <w:rtl w:val="true"/>
        </w:rPr>
        <w:t xml:space="preserve">, </w:t>
      </w:r>
      <w:r>
        <w:rPr>
          <w:rtl w:val="true"/>
        </w:rPr>
        <w:t>תוך התמקדות בבחינת השאלה האם יכולה הייתה להתקיים צפיות כזו</w:t>
      </w:r>
      <w:r>
        <w:rPr>
          <w:rtl w:val="true"/>
        </w:rPr>
        <w:t xml:space="preserve">. </w:t>
      </w:r>
      <w:r>
        <w:rPr>
          <w:rtl w:val="true"/>
        </w:rPr>
        <w:t>כפי שקבע בית משפט זה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הקונקרטיות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הנתון</w:t>
      </w:r>
      <w:r>
        <w:rPr>
          <w:rtl w:val="true"/>
        </w:rPr>
        <w:t xml:space="preserve">. </w:t>
      </w:r>
      <w:r>
        <w:rPr>
          <w:rtl w:val="true"/>
        </w:rPr>
        <w:t>הבחינה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לזכור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בדיעבד</w:t>
      </w:r>
      <w:r>
        <w:rPr>
          <w:rtl w:val="true"/>
        </w:rPr>
        <w:t xml:space="preserve">, </w:t>
      </w:r>
      <w:r>
        <w:rPr>
          <w:rtl w:val="true"/>
        </w:rPr>
        <w:t>ועליה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הנוספת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המבוצעת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.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אגב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צפויה</w:t>
      </w:r>
      <w:r>
        <w:rPr>
          <w:rtl w:val="true"/>
        </w:rPr>
        <w:t xml:space="preserve">.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ההתרחשות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למבצעים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כרוך</w:t>
      </w:r>
      <w:r>
        <w:rPr>
          <w:rtl w:val="true"/>
        </w:rPr>
        <w:t xml:space="preserve">, </w:t>
      </w:r>
      <w:r>
        <w:rPr>
          <w:rtl w:val="true"/>
        </w:rPr>
        <w:t>מעצם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טבעו</w:t>
      </w:r>
      <w:r>
        <w:rPr>
          <w:rtl w:val="true"/>
        </w:rPr>
        <w:t xml:space="preserve">, </w:t>
      </w:r>
      <w:r>
        <w:rPr>
          <w:rtl w:val="true"/>
        </w:rPr>
        <w:t>בשימוש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tl w:val="true"/>
        </w:rPr>
        <w:t xml:space="preserve">, </w:t>
      </w:r>
      <w:r>
        <w:rPr>
          <w:rtl w:val="true"/>
        </w:rPr>
        <w:t>והשימוש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ממבצעי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חמוש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ההתרחשות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.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בחיוב</w:t>
      </w:r>
      <w:r>
        <w:rPr>
          <w:rtl w:val="true"/>
        </w:rPr>
        <w:t xml:space="preserve">, </w:t>
      </w:r>
      <w:r>
        <w:rPr>
          <w:rtl w:val="true"/>
        </w:rPr>
        <w:t>תיוודע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, </w:t>
      </w:r>
      <w:r>
        <w:rPr>
          <w:rtl w:val="true"/>
        </w:rPr>
        <w:t>שהמית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רוש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מצא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צפיות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נמדדת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סבירות</w:t>
      </w:r>
      <w:r>
        <w:rPr>
          <w:rtl w:val="true"/>
        </w:rPr>
        <w:t xml:space="preserve">, </w:t>
      </w:r>
      <w:r>
        <w:rPr>
          <w:rtl w:val="true"/>
        </w:rPr>
        <w:t>במבחן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היישוב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הקונקרטי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והסובייקטיבי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הצפיות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הסובייקטיבי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1639/98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בייניש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18.6.2001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דהן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 אמנם אין דרישה לנוכחות פיזית של המבצע בצוותא בזירה על מנת למצוא כי הוא נושא באחריות בגין העבירה הנוספת</w:t>
      </w:r>
      <w:r>
        <w:rPr>
          <w:rtl w:val="true"/>
        </w:rPr>
        <w:t xml:space="preserve">, </w:t>
      </w:r>
      <w:r>
        <w:rPr>
          <w:rtl w:val="true"/>
        </w:rPr>
        <w:t>ותתכן הרשעה של מבצע בצוותא בגין עבירה נוספת שביצע שותפו</w:t>
      </w:r>
      <w:r>
        <w:rPr>
          <w:rtl w:val="true"/>
        </w:rPr>
        <w:t xml:space="preserve">, </w:t>
      </w:r>
      <w:r>
        <w:rPr>
          <w:rtl w:val="true"/>
        </w:rPr>
        <w:t xml:space="preserve">הן באופן ישיר והן לפי הוראות </w:t>
      </w:r>
      <w:hyperlink r:id="rId5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</w:t>
      </w:r>
      <w:hyperlink r:id="rId5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ואולם היעדר הנוכחות הפיזית בזירה</w:t>
      </w:r>
      <w:r>
        <w:rPr>
          <w:rtl w:val="true"/>
        </w:rPr>
        <w:t xml:space="preserve">, </w:t>
      </w:r>
      <w:r>
        <w:rPr>
          <w:rtl w:val="true"/>
        </w:rPr>
        <w:t>עשויה להוות מכשול ראייתי מסוים</w:t>
      </w:r>
      <w:r>
        <w:rPr>
          <w:rtl w:val="true"/>
        </w:rPr>
        <w:t xml:space="preserve">, </w:t>
      </w:r>
      <w:r>
        <w:rPr>
          <w:rtl w:val="true"/>
        </w:rPr>
        <w:t>במקרים גבוליים</w:t>
      </w:r>
      <w:r>
        <w:rPr>
          <w:rtl w:val="true"/>
        </w:rPr>
        <w:t xml:space="preserve">. </w:t>
      </w:r>
      <w:r>
        <w:rPr>
          <w:rtl w:val="true"/>
        </w:rPr>
        <w:t>כפי שציין בית משפט זה בעבר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נוכחות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ציפייה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ציפייה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בכח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הענין</w:t>
      </w:r>
      <w:r>
        <w:rPr>
          <w:rtl w:val="true"/>
        </w:rPr>
        <w:t xml:space="preserve">.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ההעדרות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לביסוס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שנכחו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ברזובסקי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פרוקצ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לא בלא התלבטות</w:t>
      </w:r>
      <w:r>
        <w:rPr>
          <w:rtl w:val="true"/>
        </w:rPr>
        <w:t xml:space="preserve">, </w:t>
      </w:r>
      <w:r>
        <w:rPr>
          <w:rtl w:val="true"/>
        </w:rPr>
        <w:t>מצאתי כי בענייננו</w:t>
      </w:r>
      <w:r>
        <w:rPr>
          <w:rtl w:val="true"/>
        </w:rPr>
        <w:t xml:space="preserve">, </w:t>
      </w:r>
      <w:r>
        <w:rPr>
          <w:rtl w:val="true"/>
        </w:rPr>
        <w:t>לא עלה בידי המערערת להוכיח מעבר לכל ספק סביר כי התקיימה אצל המשיב צפיות בכוח</w:t>
      </w:r>
      <w:r>
        <w:rPr>
          <w:rtl w:val="true"/>
        </w:rPr>
        <w:t xml:space="preserve">. </w:t>
      </w:r>
      <w:r>
        <w:rPr>
          <w:rtl w:val="true"/>
        </w:rPr>
        <w:t>ענייננו מאופיין בכמה נסיבות קונקרטיות ייחודיות</w:t>
      </w:r>
      <w:r>
        <w:rPr>
          <w:rtl w:val="true"/>
        </w:rPr>
        <w:t xml:space="preserve">, </w:t>
      </w:r>
      <w:r>
        <w:rPr>
          <w:rtl w:val="true"/>
        </w:rPr>
        <w:t>אשר מעלות לטעמי ספק באשר לקיומה של צפיות בכוח</w:t>
      </w:r>
      <w:r>
        <w:rPr>
          <w:rtl w:val="true"/>
        </w:rPr>
        <w:t xml:space="preserve">, </w:t>
      </w:r>
      <w:r>
        <w:rPr>
          <w:rtl w:val="true"/>
        </w:rPr>
        <w:t>ולפיכך מצדיקות את זיכויו של המשיב מעבירת הרצח שיוחסה לו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ספק ראשון</w:t>
      </w:r>
      <w:r>
        <w:rPr>
          <w:rtl w:val="true"/>
        </w:rPr>
        <w:t xml:space="preserve">, </w:t>
      </w:r>
      <w:r>
        <w:rPr>
          <w:rtl w:val="true"/>
        </w:rPr>
        <w:t>מתעורר בשל העמימות העובדתית בכל הנוגע למספר הסכינים שראה המשיב</w:t>
      </w:r>
      <w:r>
        <w:rPr>
          <w:rtl w:val="true"/>
        </w:rPr>
        <w:t xml:space="preserve">, </w:t>
      </w:r>
      <w:r>
        <w:rPr>
          <w:rtl w:val="true"/>
        </w:rPr>
        <w:t>ורמת החשיבות שייחס להן</w:t>
      </w:r>
      <w:r>
        <w:rPr>
          <w:rtl w:val="true"/>
        </w:rPr>
        <w:t xml:space="preserve">. </w:t>
      </w:r>
      <w:r>
        <w:rPr>
          <w:rtl w:val="true"/>
        </w:rPr>
        <w:t>המשיב הודה כי ראה סכינים בידיהם של שותפיו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על פניו</w:t>
      </w:r>
      <w:r>
        <w:rPr>
          <w:rtl w:val="true"/>
        </w:rPr>
        <w:t xml:space="preserve">, </w:t>
      </w:r>
      <w:r>
        <w:rPr>
          <w:rtl w:val="true"/>
        </w:rPr>
        <w:t>ייתכן שראה רק סכין אחת</w:t>
      </w:r>
      <w:r>
        <w:rPr>
          <w:rtl w:val="true"/>
        </w:rPr>
        <w:t xml:space="preserve">, </w:t>
      </w:r>
      <w:r>
        <w:rPr>
          <w:rtl w:val="true"/>
        </w:rPr>
        <w:t>זו של דאהר</w:t>
      </w:r>
      <w:r>
        <w:rPr>
          <w:rtl w:val="true"/>
        </w:rPr>
        <w:t xml:space="preserve">. </w:t>
      </w:r>
      <w:r>
        <w:rPr>
          <w:rtl w:val="true"/>
        </w:rPr>
        <w:t>בהודעותיו</w:t>
      </w:r>
      <w:r>
        <w:rPr>
          <w:rtl w:val="true"/>
        </w:rPr>
        <w:t xml:space="preserve">, </w:t>
      </w:r>
      <w:r>
        <w:rPr>
          <w:rtl w:val="true"/>
        </w:rPr>
        <w:t>שנמצאו אמינות</w:t>
      </w:r>
      <w:r>
        <w:rPr>
          <w:rtl w:val="true"/>
        </w:rPr>
        <w:t xml:space="preserve">, </w:t>
      </w:r>
      <w:r>
        <w:rPr>
          <w:rtl w:val="true"/>
        </w:rPr>
        <w:t>הבהיר המשיב כי דאהר נוהג להסתובב עם סכינים דרך קבע</w:t>
      </w:r>
      <w:r>
        <w:rPr>
          <w:rtl w:val="true"/>
        </w:rPr>
        <w:t xml:space="preserve">. </w:t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לא ניתן לומר בהכרח כי אדם מן היישוב</w:t>
      </w:r>
      <w:r>
        <w:rPr>
          <w:rtl w:val="true"/>
        </w:rPr>
        <w:t xml:space="preserve">, </w:t>
      </w:r>
      <w:r>
        <w:rPr>
          <w:rtl w:val="true"/>
        </w:rPr>
        <w:t>בנסיבות הקונקרטיות</w:t>
      </w:r>
      <w:r>
        <w:rPr>
          <w:rtl w:val="true"/>
        </w:rPr>
        <w:t xml:space="preserve">, </w:t>
      </w:r>
      <w:r>
        <w:rPr>
          <w:rtl w:val="true"/>
        </w:rPr>
        <w:t>היה צופה כי אדם אשר נוהג לשאת סכינים בדרך קבע</w:t>
      </w:r>
      <w:r>
        <w:rPr>
          <w:rtl w:val="true"/>
        </w:rPr>
        <w:t xml:space="preserve">, </w:t>
      </w:r>
      <w:r>
        <w:rPr>
          <w:rtl w:val="true"/>
        </w:rPr>
        <w:t>יעשה שימוש בסכין לשם ביצוע עבירת המתה</w:t>
      </w:r>
      <w:r>
        <w:rPr>
          <w:rtl w:val="true"/>
        </w:rPr>
        <w:t xml:space="preserve">, </w:t>
      </w:r>
      <w:r>
        <w:rPr>
          <w:rtl w:val="true"/>
        </w:rPr>
        <w:t>מה גם שדאהר הוא אכן לא מי שביצע את הדקירה שהובילה למותו של המנוח</w:t>
      </w:r>
      <w:r>
        <w:rPr>
          <w:rtl w:val="true"/>
        </w:rPr>
        <w:t xml:space="preserve">. </w:t>
      </w:r>
      <w:r>
        <w:rPr>
          <w:rtl w:val="true"/>
        </w:rPr>
        <w:t>העמימות העובדתית ביחס לטיב מודעותו של המשיב להחלטת שותפיו לשאת עמם סכינים ולאפשרות שייעשה בהם שימוש</w:t>
      </w:r>
      <w:r>
        <w:rPr>
          <w:rtl w:val="true"/>
        </w:rPr>
        <w:t xml:space="preserve">, </w:t>
      </w:r>
      <w:r>
        <w:rPr>
          <w:rtl w:val="true"/>
        </w:rPr>
        <w:t>מעלה ספק באשר לקיומה של צפיות בכוח לאפשרות הסתבכות השוד עד כדי ביצוע עבירת רצח במהלכו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ספק נוסף נובע מחילופי הדברים בין המשיב לבין שותפיו</w:t>
      </w:r>
      <w:r>
        <w:rPr>
          <w:rtl w:val="true"/>
        </w:rPr>
        <w:t xml:space="preserve">, </w:t>
      </w:r>
      <w:r>
        <w:rPr>
          <w:rtl w:val="true"/>
        </w:rPr>
        <w:t>באשר לאפשרות שמי מיושבי הדירה או השודדים ייפגע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המשיב הפציר בשותפיו שלא לפגוע באיש</w:t>
      </w:r>
      <w:r>
        <w:rPr>
          <w:rtl w:val="true"/>
        </w:rPr>
        <w:t xml:space="preserve">, </w:t>
      </w:r>
      <w:r>
        <w:rPr>
          <w:rtl w:val="true"/>
        </w:rPr>
        <w:t>ומממצאי בית משפט קמא עולה כי אכן הובטח לו שאיש לא ייפגע</w:t>
      </w:r>
      <w:r>
        <w:rPr>
          <w:rtl w:val="true"/>
        </w:rPr>
        <w:t xml:space="preserve">. </w:t>
      </w:r>
      <w:r>
        <w:rPr>
          <w:rtl w:val="true"/>
        </w:rPr>
        <w:t>את חילופי הדברים בין המשיב ושותפיו לשוד בהקשר זה</w:t>
      </w:r>
      <w:r>
        <w:rPr>
          <w:rtl w:val="true"/>
        </w:rPr>
        <w:t xml:space="preserve">, </w:t>
      </w:r>
      <w:r>
        <w:rPr>
          <w:rtl w:val="true"/>
        </w:rPr>
        <w:t>ניתן לפרש לשני כיוונים</w:t>
      </w:r>
      <w:r>
        <w:rPr>
          <w:rtl w:val="true"/>
        </w:rPr>
        <w:t xml:space="preserve">. </w:t>
      </w:r>
      <w:r>
        <w:rPr>
          <w:rtl w:val="true"/>
        </w:rPr>
        <w:t>ניתן לראות בעצם החשש שעלה בפועל בנוגע לאפשרות שמישהו מיושבי הדירה ייפגע</w:t>
      </w:r>
      <w:r>
        <w:rPr>
          <w:rtl w:val="true"/>
        </w:rPr>
        <w:t xml:space="preserve">, </w:t>
      </w:r>
      <w:r>
        <w:rPr>
          <w:rtl w:val="true"/>
        </w:rPr>
        <w:t>ככזה המצדיק קביעה שקיימת למצער צפיות בכוח לאפשרות פגיעה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העובדה שהמשיב התרצה ושיתף פעולה עם התכנית העבריינית רק לאחר שהובטח לו שאיש לא ייפגע</w:t>
      </w:r>
      <w:r>
        <w:rPr>
          <w:rtl w:val="true"/>
        </w:rPr>
        <w:t xml:space="preserve">, </w:t>
      </w:r>
      <w:r>
        <w:rPr>
          <w:rtl w:val="true"/>
        </w:rPr>
        <w:t>יכולה להתפרש גם באופן הפוך</w:t>
      </w:r>
      <w:r>
        <w:rPr>
          <w:rtl w:val="true"/>
        </w:rPr>
        <w:t xml:space="preserve">. </w:t>
      </w:r>
      <w:r>
        <w:rPr>
          <w:rtl w:val="true"/>
        </w:rPr>
        <w:t>יתכן שאמנם הובטח למשיב</w:t>
      </w:r>
      <w:r>
        <w:rPr>
          <w:rtl w:val="true"/>
        </w:rPr>
        <w:t xml:space="preserve">, </w:t>
      </w:r>
      <w:r>
        <w:rPr>
          <w:rtl w:val="true"/>
        </w:rPr>
        <w:t>באופן שנתפס בנסיבות כאמין או מתקבל על הדעת</w:t>
      </w:r>
      <w:r>
        <w:rPr>
          <w:rtl w:val="true"/>
        </w:rPr>
        <w:t xml:space="preserve">, </w:t>
      </w:r>
      <w:r>
        <w:rPr>
          <w:rtl w:val="true"/>
        </w:rPr>
        <w:t>שאכן איש לא ייפגע</w:t>
      </w:r>
      <w:r>
        <w:rPr>
          <w:rtl w:val="true"/>
        </w:rPr>
        <w:t xml:space="preserve">, </w:t>
      </w:r>
      <w:r>
        <w:rPr>
          <w:rtl w:val="true"/>
        </w:rPr>
        <w:t>וכי הדבר הניח את דעתו כך שהוא לא חשש עוד מאפשרות הפגיעה במי מהשוהים בדירת ההימורים</w:t>
      </w:r>
      <w:r>
        <w:rPr>
          <w:rtl w:val="true"/>
        </w:rPr>
        <w:t xml:space="preserve">. </w:t>
      </w:r>
      <w:r>
        <w:rPr>
          <w:rtl w:val="true"/>
        </w:rPr>
        <w:t>בעוד שתי הפרשנויות הללו אפשריות</w:t>
      </w:r>
      <w:r>
        <w:rPr>
          <w:rtl w:val="true"/>
        </w:rPr>
        <w:t xml:space="preserve">, </w:t>
      </w:r>
      <w:r>
        <w:rPr>
          <w:rtl w:val="true"/>
        </w:rPr>
        <w:t>הרי שקיומה של האפשרות השנייה מעורר</w:t>
      </w:r>
      <w:r>
        <w:rPr>
          <w:rtl w:val="true"/>
        </w:rPr>
        <w:t xml:space="preserve">, </w:t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>ספק באשר לקיומה של צפיות בכוח בנסיבות העניין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ולכך</w:t>
      </w:r>
      <w:r>
        <w:rPr>
          <w:rtl w:val="true"/>
        </w:rPr>
        <w:t xml:space="preserve">, </w:t>
      </w:r>
      <w:r>
        <w:rPr>
          <w:rtl w:val="true"/>
        </w:rPr>
        <w:t>מצטרפת כאמור העובדה שהמשיב לא נכח בזירה בעת ביצוע הרצח</w:t>
      </w:r>
      <w:r>
        <w:rPr>
          <w:rtl w:val="true"/>
        </w:rPr>
        <w:t xml:space="preserve">, </w:t>
      </w:r>
      <w:r>
        <w:rPr>
          <w:rtl w:val="true"/>
        </w:rPr>
        <w:t>ולפיכך לא היה ער להתפתחויות שחלו עם כניסתם של שותפיו לדירה עצמה</w:t>
      </w:r>
      <w:r>
        <w:rPr>
          <w:rtl w:val="true"/>
        </w:rPr>
        <w:t xml:space="preserve">, </w:t>
      </w:r>
      <w:r>
        <w:rPr>
          <w:rtl w:val="true"/>
        </w:rPr>
        <w:t>לרבות האיום בסכינים ממש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היעדרות מן הזירה מצריכה מסד ראייתי מוגבר על מנת להטיל אחריות בפלילים של עבירה נוספת</w:t>
      </w:r>
      <w:r>
        <w:rPr>
          <w:rtl w:val="true"/>
        </w:rPr>
        <w:t xml:space="preserve">, </w:t>
      </w:r>
      <w:r>
        <w:rPr>
          <w:rtl w:val="true"/>
        </w:rPr>
        <w:t xml:space="preserve">על מבצע בצוותא של עבירת המקור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ברזובסקי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 xml:space="preserve">לפסק דינה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פרוקצ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 xml:space="preserve">נקודת המוצא לבחינת הצפיות בכוח מבוססת על המטען הסובייקטיבי שהיה למבצע הספציפי בנסיבות הקשורות לביצוע העבירה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דהן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 xml:space="preserve">לפסק דינה של השופטת </w:t>
      </w:r>
      <w:r>
        <w:rPr>
          <w:rtl w:val="true"/>
        </w:rPr>
        <w:t>(</w:t>
      </w:r>
      <w:r>
        <w:rPr>
          <w:rtl w:val="true"/>
        </w:rPr>
        <w:t>כתוארה אז</w:t>
      </w:r>
      <w:r>
        <w:rPr>
          <w:rtl w:val="true"/>
        </w:rPr>
        <w:t xml:space="preserve">) 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בייניש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18.6.2001</w:t>
      </w:r>
      <w:r>
        <w:rPr>
          <w:rtl w:val="true"/>
        </w:rPr>
        <w:t xml:space="preserve">)). </w:t>
      </w:r>
      <w:r>
        <w:rPr>
          <w:rtl w:val="true"/>
        </w:rPr>
        <w:t>שאלת הצפיות בכוח נמדדת על פי אמת מידה אובייקטיבית</w:t>
      </w:r>
      <w:r>
        <w:rPr>
          <w:rtl w:val="true"/>
        </w:rPr>
        <w:t xml:space="preserve">, </w:t>
      </w:r>
      <w:r>
        <w:rPr>
          <w:rtl w:val="true"/>
        </w:rPr>
        <w:t xml:space="preserve">אך מתוך נקודת מוצא של הקשר דברים סובייקטיבי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ברזובסקי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 xml:space="preserve">לפסק דינה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פרוקצ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</w:t>
      </w:r>
      <w:r>
        <w:rPr>
          <w:rtl w:val="true"/>
        </w:rPr>
        <w:t xml:space="preserve">). </w:t>
      </w:r>
      <w:r>
        <w:rPr>
          <w:rtl w:val="true"/>
        </w:rPr>
        <w:t xml:space="preserve">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ברזובסקי</w:t>
      </w:r>
      <w:r>
        <w:rPr>
          <w:rtl w:val="true"/>
        </w:rPr>
        <w:t xml:space="preserve"> פורשה כקובעת שלעניין מודעות בכוח</w:t>
      </w:r>
      <w:r>
        <w:rPr>
          <w:rtl w:val="true"/>
        </w:rPr>
        <w:t xml:space="preserve">, </w:t>
      </w:r>
      <w:r>
        <w:rPr>
          <w:rtl w:val="true"/>
        </w:rPr>
        <w:t>אין די בכך שאדם מן היישוב היה צופה את ביצוע העבירה הנוספת</w:t>
      </w:r>
      <w:r>
        <w:rPr>
          <w:rtl w:val="true"/>
        </w:rPr>
        <w:t xml:space="preserve">, </w:t>
      </w:r>
      <w:r>
        <w:rPr>
          <w:rtl w:val="true"/>
        </w:rPr>
        <w:t>אלא שיש לשקלל גם את הקשר הדברים הסובייקטיבי</w:t>
      </w:r>
      <w:r>
        <w:rPr>
          <w:rtl w:val="true"/>
        </w:rPr>
        <w:t xml:space="preserve">, </w:t>
      </w:r>
      <w:r>
        <w:rPr>
          <w:rtl w:val="true"/>
        </w:rPr>
        <w:t xml:space="preserve">כאשר </w:t>
      </w:r>
      <w:r>
        <w:rPr>
          <w:rtl w:val="true"/>
        </w:rPr>
        <w:t>"</w:t>
      </w:r>
      <w:r>
        <w:rPr>
          <w:rtl w:val="true"/>
        </w:rPr>
        <w:t>ההלכה הפסוקה דורשת גם הוכחת קיומו של חשד סובייקטיבי של העושה ואינה מסתפקת רק בחשד שהיה עשוי להתעורר בליבו של אדם מן היישוב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10407/07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אוליינקוב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22-19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והפסיקה הנזכרת שם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]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במילים אחרות</w:t>
      </w:r>
      <w:r>
        <w:rPr>
          <w:rtl w:val="true"/>
        </w:rPr>
        <w:t xml:space="preserve">, </w:t>
      </w:r>
      <w:r>
        <w:rPr>
          <w:rtl w:val="true"/>
        </w:rPr>
        <w:t>השאלה אשר הוטל על בית המשפט להשיב לה</w:t>
      </w:r>
      <w:r>
        <w:rPr>
          <w:rtl w:val="true"/>
        </w:rPr>
        <w:t xml:space="preserve">, </w:t>
      </w:r>
      <w:r>
        <w:rPr>
          <w:rtl w:val="true"/>
        </w:rPr>
        <w:t xml:space="preserve">על מנת לקבוע ממצאים באשר לקיומה או היעדרה של צפיות בכוח לעניין הטלת אחריות פלילית לפי </w:t>
      </w:r>
      <w:hyperlink r:id="rId5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</w:t>
      </w:r>
      <w:hyperlink r:id="rId5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אינה רק האם אדם מן היישוב היה צופה את גרם התוצאה הקטלנית</w:t>
      </w:r>
      <w:r>
        <w:rPr>
          <w:rtl w:val="true"/>
        </w:rPr>
        <w:t xml:space="preserve">. </w:t>
      </w:r>
      <w:r>
        <w:rPr>
          <w:rtl w:val="true"/>
        </w:rPr>
        <w:t xml:space="preserve">השאלה היא האם אדם מן היישוב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בנעליו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הסובייקטיביות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יכול היה לצפות את גרם התוצאה הקטלני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מתעורר ספק סביר</w:t>
      </w:r>
      <w:r>
        <w:rPr>
          <w:rtl w:val="true"/>
        </w:rPr>
        <w:t xml:space="preserve">, </w:t>
      </w:r>
      <w:r>
        <w:rPr>
          <w:rtl w:val="true"/>
        </w:rPr>
        <w:t>באשר לאפשרות להשיב על שאלה זו בחיוב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יתכן כי אדם מן היישוב בסיטואציה הסטנדרטית של תכנון שוד</w:t>
      </w:r>
      <w:r>
        <w:rPr>
          <w:rtl w:val="true"/>
        </w:rPr>
        <w:t xml:space="preserve">, </w:t>
      </w:r>
      <w:r>
        <w:rPr>
          <w:rtl w:val="true"/>
        </w:rPr>
        <w:t xml:space="preserve">יכול לצפות </w:t>
      </w:r>
      <w:r>
        <w:rPr>
          <w:rtl w:val="true"/>
        </w:rPr>
        <w:t>(</w:t>
      </w:r>
      <w:r>
        <w:rPr>
          <w:rtl w:val="true"/>
        </w:rPr>
        <w:t>אובייקטיבית</w:t>
      </w:r>
      <w:r>
        <w:rPr>
          <w:rtl w:val="true"/>
        </w:rPr>
        <w:t xml:space="preserve">) </w:t>
      </w:r>
      <w:r>
        <w:rPr>
          <w:rtl w:val="true"/>
        </w:rPr>
        <w:t>ששוד מהסוג שביקשו המשיב ושותפיו לבצע</w:t>
      </w:r>
      <w:r>
        <w:rPr>
          <w:rtl w:val="true"/>
        </w:rPr>
        <w:t xml:space="preserve">, </w:t>
      </w:r>
      <w:r>
        <w:rPr>
          <w:rtl w:val="true"/>
        </w:rPr>
        <w:t>עלול להוביל לאלימות</w:t>
      </w:r>
      <w:r>
        <w:rPr>
          <w:rtl w:val="true"/>
        </w:rPr>
        <w:t xml:space="preserve">, </w:t>
      </w:r>
      <w:r>
        <w:rPr>
          <w:rtl w:val="true"/>
        </w:rPr>
        <w:t>אשר עלולה להוביל לביצועה של עבירת המתה</w:t>
      </w:r>
      <w:r>
        <w:rPr>
          <w:rtl w:val="true"/>
        </w:rPr>
        <w:t xml:space="preserve">. </w:t>
      </w:r>
      <w:r>
        <w:rPr>
          <w:rtl w:val="true"/>
        </w:rPr>
        <w:t>ואולם בקביעה זו אין די</w:t>
      </w:r>
      <w:r>
        <w:rPr>
          <w:rtl w:val="true"/>
        </w:rPr>
        <w:t xml:space="preserve">, </w:t>
      </w:r>
      <w:r>
        <w:rPr>
          <w:rtl w:val="true"/>
        </w:rPr>
        <w:t>שכן יש להתחשב בקיומו של חשד סובייקטיבי של המשיב</w:t>
      </w:r>
      <w:r>
        <w:rPr>
          <w:rtl w:val="true"/>
        </w:rPr>
        <w:t xml:space="preserve">, </w:t>
      </w:r>
      <w:r>
        <w:rPr>
          <w:rtl w:val="true"/>
        </w:rPr>
        <w:t>על מנת לקבוע כי התקיימה אצלו מודעות בכוח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לא מצאתי כי ניתן לקבוע ממצא כזה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לא הוברר עד תום כמה סכינים ראה המשיב</w:t>
      </w:r>
      <w:r>
        <w:rPr>
          <w:rtl w:val="true"/>
        </w:rPr>
        <w:t xml:space="preserve">, </w:t>
      </w:r>
      <w:r>
        <w:rPr>
          <w:rtl w:val="true"/>
        </w:rPr>
        <w:t>וייתכן כי הוא ראה רק סכין</w:t>
      </w:r>
      <w:r>
        <w:rPr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; </w:t>
      </w:r>
      <w:r>
        <w:rPr>
          <w:rtl w:val="true"/>
        </w:rPr>
        <w:t>לא הופרכה האפשרות</w:t>
      </w:r>
      <w:r>
        <w:rPr>
          <w:rtl w:val="true"/>
        </w:rPr>
        <w:t xml:space="preserve">, </w:t>
      </w:r>
      <w:r>
        <w:rPr>
          <w:rtl w:val="true"/>
        </w:rPr>
        <w:t>כי הסכין שראה שייכת לאדם שנוהג לשאת סכינים דרך קבע</w:t>
      </w:r>
      <w:r>
        <w:rPr>
          <w:rtl w:val="true"/>
        </w:rPr>
        <w:t xml:space="preserve">, </w:t>
      </w:r>
      <w:r>
        <w:rPr>
          <w:rtl w:val="true"/>
        </w:rPr>
        <w:t>אף מבלי להשתמש בהם</w:t>
      </w:r>
      <w:r>
        <w:rPr>
          <w:rtl w:val="true"/>
        </w:rPr>
        <w:t xml:space="preserve">; </w:t>
      </w:r>
      <w:r>
        <w:rPr>
          <w:rtl w:val="true"/>
        </w:rPr>
        <w:t>המשיב הזהיר את שותפיו לבל יפגעו ביושבי הדירה</w:t>
      </w:r>
      <w:r>
        <w:rPr>
          <w:rtl w:val="true"/>
        </w:rPr>
        <w:t xml:space="preserve">, </w:t>
      </w:r>
      <w:r>
        <w:rPr>
          <w:rtl w:val="true"/>
        </w:rPr>
        <w:t>וניאות להצטרף למזימה העבריינית רק לאחר ובעקבות אזהרות אלה</w:t>
      </w:r>
      <w:r>
        <w:rPr>
          <w:rtl w:val="true"/>
        </w:rPr>
        <w:t xml:space="preserve">; </w:t>
      </w:r>
      <w:r>
        <w:rPr>
          <w:rtl w:val="true"/>
        </w:rPr>
        <w:t>המשיב קיבל הבטחה שבמסגרת השוד לא ייפגע איש</w:t>
      </w:r>
      <w:r>
        <w:rPr>
          <w:rtl w:val="true"/>
        </w:rPr>
        <w:t xml:space="preserve">; </w:t>
      </w:r>
      <w:r>
        <w:rPr>
          <w:rtl w:val="true"/>
        </w:rPr>
        <w:t>המשיב גם נעדר מהזירה בעת הרצח ואף שניאות לשתף פעולה בביצוע השוד הוא סירב באופן עיקש להיכנס לזירה וליטול חלק פיזי בביצוע השוד עצמו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שילובן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העולה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הקטלנית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במאמר מוסגר יוער</w:t>
      </w:r>
      <w:r>
        <w:rPr>
          <w:rtl w:val="true"/>
        </w:rPr>
        <w:t xml:space="preserve">, </w:t>
      </w:r>
      <w:r>
        <w:rPr>
          <w:rtl w:val="true"/>
        </w:rPr>
        <w:t xml:space="preserve">כי בית משפט זה ציין בעבר כי בין המטרות החקיקתיות להטלת אחריות על מבצע בצוותא לעבירה שונה או נוספת לפי </w:t>
      </w:r>
      <w:hyperlink r:id="rId5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</w:t>
      </w:r>
      <w:hyperlink r:id="rId6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הינה לעודד את המבצע בצוותא לפעול</w:t>
      </w:r>
      <w:r>
        <w:rPr>
          <w:rtl w:val="true"/>
        </w:rPr>
        <w:t xml:space="preserve">, </w:t>
      </w:r>
      <w:r>
        <w:rPr>
          <w:rtl w:val="true"/>
        </w:rPr>
        <w:t>בטרם היציאה לביצוע העבירה המשותפת</w:t>
      </w:r>
      <w:r>
        <w:rPr>
          <w:rtl w:val="true"/>
        </w:rPr>
        <w:t xml:space="preserve">, </w:t>
      </w:r>
      <w:r>
        <w:rPr>
          <w:rtl w:val="true"/>
        </w:rPr>
        <w:t xml:space="preserve">על מנת למנוע אפשרות ביצועה של עבירה שונה או נוספת </w:t>
      </w:r>
      <w:r>
        <w:rPr>
          <w:rtl w:val="true"/>
        </w:rPr>
        <w:t>"</w:t>
      </w:r>
      <w:r>
        <w:rPr>
          <w:rtl w:val="true"/>
        </w:rPr>
        <w:t>למשל בכך שידרוש מחבריו שלא לשאת עמם נשק בעת הביצוע המשותף</w:t>
      </w:r>
      <w:r>
        <w:rPr>
          <w:rtl w:val="true"/>
        </w:rPr>
        <w:t>" (</w:t>
      </w:r>
      <w:hyperlink r:id="rId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4424/98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סילגדו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14.7.2002</w:t>
      </w:r>
      <w:r>
        <w:rPr>
          <w:rtl w:val="true"/>
        </w:rPr>
        <w:t xml:space="preserve">),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ברק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דרש המשיב מהשותפים מראש</w:t>
      </w:r>
      <w:r>
        <w:rPr>
          <w:rtl w:val="true"/>
        </w:rPr>
        <w:t xml:space="preserve">, </w:t>
      </w:r>
      <w:r>
        <w:rPr>
          <w:rtl w:val="true"/>
        </w:rPr>
        <w:t>בטרם היציאה לשוד וכתנאי להשתתפותו</w:t>
      </w:r>
      <w:r>
        <w:rPr>
          <w:rtl w:val="true"/>
        </w:rPr>
        <w:t xml:space="preserve">, </w:t>
      </w:r>
      <w:r>
        <w:rPr>
          <w:rtl w:val="true"/>
        </w:rPr>
        <w:t>כי איש מהמעורבים לא ייפגע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הוא לא עמד על כך שלא יישאו עמם נשק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יש בדרישתו זו כדי להצביע על כי התנהגותו של המשיב אכן הוכוונה לפחות במידת מה</w:t>
      </w:r>
      <w:r>
        <w:rPr>
          <w:rtl w:val="true"/>
        </w:rPr>
        <w:t xml:space="preserve">, </w:t>
      </w:r>
      <w:r>
        <w:rPr>
          <w:rtl w:val="true"/>
        </w:rPr>
        <w:t>וכי הוא פעל במידה מסוימת על מנת למנוע משותפיו לבצע עבירות נוספות לעבירת ניסיון השוד עצמה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מדיוננו יוצא</w:t>
      </w:r>
      <w:r>
        <w:rPr>
          <w:rtl w:val="true"/>
        </w:rPr>
        <w:t xml:space="preserve">,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כי הרצח לא תוכנן מראש</w:t>
      </w:r>
      <w:r>
        <w:rPr>
          <w:rtl w:val="true"/>
        </w:rPr>
        <w:t xml:space="preserve">; </w:t>
      </w:r>
      <w:r>
        <w:rPr>
          <w:rtl w:val="true"/>
        </w:rPr>
        <w:t>כי לא הוכח מעל לכל ספק סביר שלמשיב הייתה מודעות בפועל לאפשרות כי השוד יסתבך ויוביל לרצח</w:t>
      </w:r>
      <w:r>
        <w:rPr>
          <w:rtl w:val="true"/>
        </w:rPr>
        <w:t xml:space="preserve">; </w:t>
      </w:r>
      <w:r>
        <w:rPr>
          <w:rtl w:val="true"/>
        </w:rPr>
        <w:t>וכי מתעורר ספק סביר באשר לקיומה של צפיות בכוח להתרחשותו של אירוע כזה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בדין זוכה המשיב מעבירת הרצח אשר יוחסה לו בכתב האישום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סוף דבר</w:t>
      </w:r>
      <w:r>
        <w:rPr>
          <w:rtl w:val="true"/>
        </w:rPr>
        <w:t xml:space="preserve">, </w:t>
      </w:r>
      <w:r>
        <w:rPr>
          <w:rtl w:val="true"/>
        </w:rPr>
        <w:t>אציע לחבריי כי נקבל את הערעור בחלקו</w:t>
      </w:r>
      <w:r>
        <w:rPr>
          <w:rtl w:val="true"/>
        </w:rPr>
        <w:t xml:space="preserve">, </w:t>
      </w:r>
      <w:r>
        <w:rPr>
          <w:rtl w:val="true"/>
        </w:rPr>
        <w:t>במובן זה שנורה על הרשעת המשיב בעבירת ביצוע ניסיון שוד בנסיבות מחמירות בצוותא</w:t>
      </w:r>
      <w:r>
        <w:rPr>
          <w:rtl w:val="true"/>
        </w:rPr>
        <w:t xml:space="preserve">, </w:t>
      </w:r>
      <w:r>
        <w:rPr>
          <w:rtl w:val="true"/>
        </w:rPr>
        <w:t>תחת עבירת הסיוע לניסיון שוד בנסיבות מחמירות בה הורשע בבית משפט קמא</w:t>
      </w:r>
      <w:r>
        <w:rPr>
          <w:rtl w:val="true"/>
        </w:rPr>
        <w:t xml:space="preserve">. </w:t>
      </w:r>
      <w:r>
        <w:rPr>
          <w:rtl w:val="true"/>
        </w:rPr>
        <w:t>זיכויו מעבירת הרצח</w:t>
      </w:r>
      <w:r>
        <w:rPr>
          <w:rtl w:val="true"/>
        </w:rPr>
        <w:t xml:space="preserve">, </w:t>
      </w:r>
      <w:r>
        <w:rPr>
          <w:rtl w:val="true"/>
        </w:rPr>
        <w:t>ולו מחמת הספק</w:t>
      </w:r>
      <w:r>
        <w:rPr>
          <w:rtl w:val="true"/>
        </w:rPr>
        <w:t xml:space="preserve">, </w:t>
      </w:r>
      <w:r>
        <w:rPr>
          <w:rtl w:val="true"/>
        </w:rPr>
        <w:t>יוותר על כנו</w:t>
      </w:r>
      <w:r>
        <w:rPr>
          <w:rtl w:val="true"/>
        </w:rPr>
        <w:t xml:space="preserve">. </w:t>
      </w:r>
      <w:r>
        <w:rPr>
          <w:rtl w:val="true"/>
        </w:rPr>
        <w:t>התיק יוחזר לבית המשפט המחוזי לשם שמיעת טיעונים לעונש וגזירת הדין מחדש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9"/>
        <w:gridCol w:w="2769"/>
        <w:gridCol w:w="2774"/>
      </w:tblGrid>
      <w:tr>
        <w:trPr/>
        <w:tc>
          <w:tcPr>
            <w:tcW w:w="2769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69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74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overflowPunct w:val="true"/>
        <w:autoSpaceDE w:val="true"/>
        <w:bidi w:val="0"/>
        <w:jc w:val="start"/>
        <w:textAlignment w:val="auto"/>
        <w:rPr>
          <w:rFonts w:cs="Miriam"/>
          <w:sz w:val="24"/>
          <w:u w:val="single"/>
        </w:rPr>
      </w:pPr>
      <w:r>
        <w:rPr>
          <w:rFonts w:cs="Miriam"/>
          <w:sz w:val="24"/>
          <w:u w:val="single"/>
        </w:rPr>
      </w:r>
    </w:p>
    <w:p>
      <w:pPr>
        <w:pStyle w:val="Normal"/>
        <w:overflowPunct w:val="true"/>
        <w:autoSpaceDE w:val="true"/>
        <w:bidi w:val="0"/>
        <w:jc w:val="start"/>
        <w:textAlignment w:val="auto"/>
        <w:rPr>
          <w:rFonts w:cs="Miriam"/>
          <w:sz w:val="24"/>
          <w:u w:val="single"/>
        </w:rPr>
      </w:pPr>
      <w:r>
        <w:rPr>
          <w:rFonts w:cs="Miriam"/>
          <w:sz w:val="24"/>
          <w:u w:val="singl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  <w:sz w:val="24"/>
        </w:rPr>
      </w:pPr>
      <w:r>
        <w:rPr>
          <w:rFonts w:cs="Miriam"/>
          <w:sz w:val="24"/>
          <w:sz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u w:val="single"/>
          <w:rtl w:val="true"/>
        </w:rPr>
        <w:t>נ</w:t>
      </w:r>
      <w:r>
        <w:rPr>
          <w:rFonts w:cs="Miriam"/>
          <w:sz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u w:val="single"/>
          <w:rtl w:val="true"/>
        </w:rPr>
        <w:t>סולברג</w:t>
      </w:r>
      <w:r>
        <w:rPr>
          <w:rFonts w:cs="Miriam"/>
          <w:sz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sz w:val="24"/>
        </w:rPr>
      </w:pPr>
      <w:r>
        <w:rPr>
          <w:rFonts w:cs="Century" w:ascii="Century" w:hAnsi="Century"/>
          <w:sz w:val="24"/>
          <w:rtl w:val="true"/>
        </w:rPr>
      </w:r>
    </w:p>
    <w:p>
      <w:pPr>
        <w:pStyle w:val="Ruller41"/>
        <w:ind w:end="0"/>
        <w:jc w:val="both"/>
        <w:rPr>
          <w:rFonts w:ascii="FrankRuehl" w:hAnsi="FrankRuehl"/>
        </w:rPr>
      </w:pPr>
      <w:r>
        <w:rPr>
          <w:rFonts w:ascii="FrankRuehl" w:hAnsi="FrankRuehl"/>
          <w:rtl w:val="true"/>
        </w:rPr>
        <w:tab/>
      </w:r>
      <w:r>
        <w:rPr>
          <w:rFonts w:ascii="FrankRuehl" w:hAnsi="FrankRuehl"/>
          <w:rtl w:val="true"/>
        </w:rPr>
        <w:t>הערעור</w:t>
      </w:r>
      <w:r>
        <w:rPr>
          <w:rFonts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על שני חלקיו</w:t>
      </w:r>
      <w:r>
        <w:rPr>
          <w:rFonts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מעלה שאלות כבדות משקל המצריכות בירור מדוקדק</w:t>
      </w:r>
      <w:r>
        <w:rPr>
          <w:rFonts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 xml:space="preserve">נסיבות העניין </w:t>
      </w:r>
      <w:r>
        <w:rPr>
          <w:rFonts w:ascii="FrankRuehl" w:hAnsi="FrankRuehl"/>
          <w:rtl w:val="true"/>
        </w:rPr>
        <w:t>–</w:t>
      </w:r>
      <w:r>
        <w:rPr>
          <w:rFonts w:ascii="FrankRuehl" w:hAnsi="FrankRuehl"/>
          <w:rtl w:val="true"/>
        </w:rPr>
        <w:t xml:space="preserve"> מקשות לחתוך את דינו של המשיב</w:t>
      </w:r>
      <w:r>
        <w:rPr>
          <w:rFonts w:ascii="FrankRuehl" w:hAnsi="FrankRuehl"/>
          <w:rtl w:val="true"/>
        </w:rPr>
        <w:t xml:space="preserve">; </w:t>
      </w:r>
      <w:r>
        <w:rPr>
          <w:rFonts w:ascii="FrankRuehl" w:hAnsi="FrankRuehl"/>
          <w:rtl w:val="true"/>
        </w:rPr>
        <w:t>אם לשבט אם לחסד</w:t>
      </w:r>
      <w:r>
        <w:rPr>
          <w:rFonts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עם זאת</w:t>
      </w:r>
      <w:r>
        <w:rPr>
          <w:rFonts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חוות דעתו המקיפה של חברי</w:t>
      </w:r>
      <w:r>
        <w:rPr>
          <w:rFonts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קרא</w:t>
      </w:r>
      <w:r>
        <w:rPr>
          <w:rFonts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מיטיבה לפשוט את הספק</w:t>
      </w:r>
      <w:r>
        <w:rPr>
          <w:rFonts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 xml:space="preserve">ואני מצטרף אליה </w:t>
      </w:r>
      <w:r>
        <w:rPr>
          <w:rFonts w:ascii="FrankRuehl" w:hAnsi="FrankRuehl"/>
          <w:rtl w:val="true"/>
        </w:rPr>
        <w:t>–</w:t>
      </w:r>
      <w:r>
        <w:rPr>
          <w:rFonts w:ascii="FrankRuehl" w:hAnsi="FrankRuehl"/>
          <w:rtl w:val="true"/>
        </w:rPr>
        <w:t xml:space="preserve"> הן בהנמקה</w:t>
      </w:r>
      <w:r>
        <w:rPr>
          <w:rFonts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הן בתוצאה</w:t>
      </w:r>
      <w:r>
        <w:rPr>
          <w:rFonts w:ascii="FrankRuehl" w:hAnsi="FrankRuehl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FrankRuehl" w:hAnsi="FrankRuehl"/>
        </w:rPr>
      </w:pPr>
      <w:r>
        <w:rPr>
          <w:rFonts w:ascii="FrankRuehl" w:hAnsi="FrankRuehl"/>
          <w:rtl w:val="true"/>
        </w:rPr>
      </w:r>
    </w:p>
    <w:p>
      <w:pPr>
        <w:pStyle w:val="Ruller41"/>
        <w:ind w:end="0"/>
        <w:jc w:val="both"/>
        <w:rPr>
          <w:rFonts w:ascii="FrankRuehl" w:hAnsi="FrankRuehl"/>
        </w:rPr>
      </w:pPr>
      <w:r>
        <w:rPr>
          <w:rFonts w:ascii="FrankRuehl" w:hAnsi="FrankRuehl"/>
          <w:rtl w:val="true"/>
        </w:rPr>
        <w:tab/>
      </w:r>
      <w:r>
        <w:rPr>
          <w:rFonts w:ascii="FrankRuehl" w:hAnsi="FrankRuehl"/>
          <w:rtl w:val="true"/>
        </w:rPr>
        <w:t>כחברי</w:t>
      </w:r>
      <w:r>
        <w:rPr>
          <w:rFonts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גם אני סבור כי יש לקבל את ערעור המדינה בכל הנוגע לסיווג השתתפותו של המשיב במעשה השוד</w:t>
      </w:r>
      <w:r>
        <w:rPr>
          <w:rFonts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לדידי</w:t>
      </w:r>
      <w:r>
        <w:rPr>
          <w:rFonts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 xml:space="preserve">העובדה שסוכם כי המשיב יקבל </w:t>
      </w:r>
      <w:r>
        <w:rPr>
          <w:rFonts w:ascii="FrankRuehl" w:hAnsi="FrankRuehl"/>
        </w:rPr>
        <w:t>20%</w:t>
      </w:r>
      <w:r>
        <w:rPr>
          <w:rFonts w:ascii="FrankRuehl" w:hAnsi="FrankRuehl"/>
          <w:rtl w:val="true"/>
        </w:rPr>
        <w:t xml:space="preserve"> </w:t>
      </w:r>
      <w:r>
        <w:rPr>
          <w:rFonts w:ascii="FrankRuehl" w:hAnsi="FrankRuehl"/>
          <w:rtl w:val="true"/>
        </w:rPr>
        <w:t xml:space="preserve">מרווחי השוד </w:t>
      </w:r>
      <w:r>
        <w:rPr>
          <w:rFonts w:ascii="FrankRuehl" w:hAnsi="FrankRuehl"/>
          <w:rtl w:val="true"/>
        </w:rPr>
        <w:t>–</w:t>
      </w:r>
      <w:r>
        <w:rPr>
          <w:rFonts w:ascii="FrankRuehl" w:hAnsi="FrankRuehl"/>
          <w:rtl w:val="true"/>
        </w:rPr>
        <w:t xml:space="preserve"> עובדה שלא זכתה למשקל בהכרעת בית המשפט המחוזי </w:t>
      </w:r>
      <w:r>
        <w:rPr>
          <w:rFonts w:ascii="FrankRuehl" w:hAnsi="FrankRuehl"/>
          <w:rtl w:val="true"/>
        </w:rPr>
        <w:t>–</w:t>
      </w:r>
      <w:r>
        <w:rPr>
          <w:rFonts w:ascii="FrankRuehl" w:hAnsi="FrankRuehl"/>
          <w:rtl w:val="true"/>
        </w:rPr>
        <w:t xml:space="preserve"> מהווה אינדיקציה מכרעת</w:t>
      </w:r>
      <w:r>
        <w:rPr>
          <w:rFonts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 xml:space="preserve">בבחינת </w:t>
      </w:r>
      <w:r>
        <w:rPr>
          <w:rFonts w:ascii="FrankRuehl" w:hAnsi="FrankRuehl"/>
          <w:rtl w:val="true"/>
        </w:rPr>
        <w:t>'</w:t>
      </w:r>
      <w:r>
        <w:rPr>
          <w:rFonts w:ascii="FrankRuehl" w:hAnsi="FrankRuehl"/>
          <w:rtl w:val="true"/>
        </w:rPr>
        <w:t>מכה בפטיש</w:t>
      </w:r>
      <w:r>
        <w:rPr>
          <w:rFonts w:ascii="FrankRuehl" w:hAnsi="FrankRuehl"/>
          <w:rtl w:val="true"/>
        </w:rPr>
        <w:t xml:space="preserve">', </w:t>
      </w:r>
      <w:r>
        <w:rPr>
          <w:rFonts w:ascii="FrankRuehl" w:hAnsi="FrankRuehl"/>
          <w:rtl w:val="true"/>
        </w:rPr>
        <w:t>להיותו מבצע בצוותא של מעשה השוד</w:t>
      </w:r>
      <w:r>
        <w:rPr>
          <w:rFonts w:ascii="FrankRuehl" w:hAnsi="FrankRuehl"/>
          <w:rtl w:val="true"/>
        </w:rPr>
        <w:t xml:space="preserve">; </w:t>
      </w:r>
      <w:r>
        <w:rPr>
          <w:rFonts w:ascii="FrankRuehl" w:hAnsi="FrankRuehl"/>
          <w:rtl w:val="true"/>
        </w:rPr>
        <w:t>לא מסייע בלבד</w:t>
      </w:r>
      <w:r>
        <w:rPr>
          <w:rFonts w:ascii="FrankRuehl" w:hAnsi="FrankRuehl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FrankRuehl" w:hAnsi="FrankRuehl"/>
        </w:rPr>
      </w:pPr>
      <w:r>
        <w:rPr>
          <w:rFonts w:ascii="FrankRuehl" w:hAnsi="FrankRuehl"/>
          <w:rtl w:val="true"/>
        </w:rPr>
      </w:r>
    </w:p>
    <w:p>
      <w:pPr>
        <w:pStyle w:val="Ruller41"/>
        <w:ind w:end="0"/>
        <w:jc w:val="both"/>
        <w:rPr>
          <w:rFonts w:ascii="FrankRuehl" w:hAnsi="FrankRuehl"/>
        </w:rPr>
      </w:pPr>
      <w:r>
        <w:rPr>
          <w:rFonts w:ascii="FrankRuehl" w:hAnsi="FrankRuehl"/>
          <w:rtl w:val="true"/>
        </w:rPr>
        <w:tab/>
      </w:r>
      <w:r>
        <w:rPr>
          <w:rFonts w:ascii="FrankRuehl" w:hAnsi="FrankRuehl"/>
          <w:rtl w:val="true"/>
        </w:rPr>
        <w:t>אשר לערעור על זיכוי המשיב מעבירת הרצח</w:t>
      </w:r>
      <w:r>
        <w:rPr>
          <w:rFonts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המערערת העלתה טיעונים כבדי</w:t>
      </w:r>
      <w:r>
        <w:rPr>
          <w:rFonts w:ascii="FrankRuehl" w:hAnsi="FrankRuehl"/>
          <w:rtl w:val="true"/>
        </w:rPr>
        <w:t>-</w:t>
      </w:r>
      <w:r>
        <w:rPr>
          <w:rFonts w:ascii="FrankRuehl" w:hAnsi="FrankRuehl"/>
          <w:rtl w:val="true"/>
        </w:rPr>
        <w:t>משקל</w:t>
      </w:r>
      <w:r>
        <w:rPr>
          <w:rFonts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ההכרעה בהם עוררה התלבטות רבה</w:t>
      </w:r>
      <w:r>
        <w:rPr>
          <w:rFonts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נימוקי חברי</w:t>
      </w:r>
      <w:r>
        <w:rPr>
          <w:rFonts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שכנעוני</w:t>
      </w:r>
      <w:r>
        <w:rPr>
          <w:rFonts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כולם מוליכים למסקנה כי אחרי ככלות הכל אין די בראיות כדי להוכיח מעבר לספק סביר</w:t>
      </w:r>
      <w:r>
        <w:rPr>
          <w:rFonts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 xml:space="preserve">כי המשיב צפה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בפועל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FrankRuehl" w:hAnsi="FrankRuehl"/>
          <w:rtl w:val="true"/>
        </w:rPr>
        <w:t>כי במהלך השוד עלול להיגרם רצח</w:t>
      </w:r>
      <w:r>
        <w:rPr>
          <w:rFonts w:ascii="FrankRuehl" w:hAnsi="FrankRuehl"/>
          <w:rtl w:val="true"/>
        </w:rPr>
        <w:t xml:space="preserve">; </w:t>
      </w:r>
      <w:r>
        <w:rPr>
          <w:rFonts w:ascii="FrankRuehl" w:hAnsi="FrankRuehl"/>
          <w:rtl w:val="true"/>
        </w:rPr>
        <w:t>או למצער</w:t>
      </w:r>
      <w:r>
        <w:rPr>
          <w:rFonts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כי אדם מן הישוב</w:t>
      </w:r>
      <w:r>
        <w:rPr>
          <w:rFonts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בנעליו הסובייקטיביות של המשיב</w:t>
      </w:r>
      <w:r>
        <w:rPr>
          <w:rFonts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היה צופה זאת</w:t>
      </w:r>
      <w:r>
        <w:rPr>
          <w:rFonts w:ascii="FrankRuehl" w:hAnsi="FrankRuehl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FrankRuehl" w:hAnsi="FrankRuehl"/>
        </w:rPr>
      </w:pPr>
      <w:r>
        <w:rPr>
          <w:rFonts w:ascii="FrankRuehl" w:hAnsi="FrankRuehl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קרא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נימוקיה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9"/>
        <w:gridCol w:w="2769"/>
        <w:gridCol w:w="2774"/>
      </w:tblGrid>
      <w:tr>
        <w:trPr/>
        <w:tc>
          <w:tcPr>
            <w:tcW w:w="276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  <w:tc>
          <w:tcPr>
            <w:tcW w:w="2769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74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</w:t>
      </w:r>
      <w:r>
        <w:rPr>
          <w:rFonts w:cs="Century" w:ascii="Century" w:hAnsi="Century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</w:rPr>
      </w:pPr>
      <w:r>
        <w:rPr>
          <w:rFonts w:cs="Miriam"/>
          <w:u w:val="single"/>
          <w:rtl w:val="true"/>
        </w:rPr>
        <w:t>השופטת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י</w:t>
      </w:r>
      <w:r>
        <w:rPr>
          <w:rFonts w:cs="Miriam"/>
          <w:u w:val="single"/>
          <w:rtl w:val="true"/>
        </w:rPr>
        <w:t xml:space="preserve">' </w:t>
      </w:r>
      <w:r>
        <w:rPr>
          <w:rFonts w:cs="Miriam"/>
          <w:u w:val="single"/>
          <w:rtl w:val="true"/>
        </w:rPr>
        <w:t>וילנר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אני מצטרפת בהסכמה לחוות דעתו המקיפה של חברי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קרא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9"/>
        <w:gridCol w:w="2769"/>
        <w:gridCol w:w="2774"/>
      </w:tblGrid>
      <w:tr>
        <w:trPr/>
        <w:tc>
          <w:tcPr>
            <w:tcW w:w="276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Century" w:cs="Century" w:ascii="Century" w:hAnsi="Century"/>
                <w:rtl w:val="true"/>
              </w:rPr>
              <w:t xml:space="preserve"> </w:t>
            </w:r>
            <w:r>
              <w:rPr>
                <w:rFonts w:eastAsia="Arial TUR;Arial" w:cs="Arial TUR;Arial"/>
                <w:rtl w:val="true"/>
              </w:rPr>
              <w:t xml:space="preserve">  </w:t>
            </w:r>
          </w:p>
        </w:tc>
        <w:tc>
          <w:tcPr>
            <w:tcW w:w="2769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74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Fonts w:ascii="Century" w:hAnsi="Century" w:cs="Century"/>
          <w:rtl w:val="true"/>
        </w:rPr>
        <w:t xml:space="preserve">לפיכך הוחלט כאמור 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קרא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sz w:val="14"/>
          <w:szCs w:val="20"/>
        </w:rPr>
      </w:pPr>
      <w:r>
        <w:rPr>
          <w:rFonts w:cs="Century" w:ascii="Century" w:hAnsi="Century"/>
          <w:sz w:val="14"/>
          <w:szCs w:val="20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16"/>
          <w:szCs w:val="18"/>
        </w:rPr>
      </w:pPr>
      <w:bookmarkStart w:id="23" w:name="Nitan"/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בשבט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(‏</w:t>
      </w:r>
      <w:r>
        <w:rPr>
          <w:rFonts w:cs="FrankRuehl" w:ascii="Century" w:hAnsi="Century"/>
          <w:spacing w:val="10"/>
          <w:sz w:val="22"/>
          <w:szCs w:val="28"/>
        </w:rPr>
        <w:t>25.1.2022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bookmarkEnd w:id="23"/>
      <w:r>
        <w:rPr>
          <w:rFonts w:cs="Arial TUR;Arial" w:ascii="Arial TUR;Arial" w:hAnsi="Arial TUR;Arial"/>
          <w:sz w:val="22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Arial TUR;Arial" w:hAnsi="Arial TUR;Arial" w:cs="Arial TUR;Arial"/>
          <w:sz w:val="18"/>
          <w:szCs w:val="24"/>
        </w:rPr>
      </w:pPr>
      <w:r>
        <w:rPr>
          <w:rFonts w:cs="Arial TUR;Arial"/>
          <w:sz w:val="18"/>
          <w:szCs w:val="24"/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19025490</w:t>
      </w:r>
      <w:r>
        <w:rPr>
          <w:sz w:val="16"/>
          <w:rtl w:val="true"/>
        </w:rPr>
        <w:t>_</w:t>
      </w:r>
      <w:r>
        <w:rPr>
          <w:sz w:val="16"/>
        </w:rPr>
        <w:t>Q10.docx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סח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62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סולברג </w:t>
      </w:r>
      <w:r>
        <w:rPr>
          <w:rFonts w:cs="David;Times New Roman" w:ascii="David;Times New Roman" w:hAnsi="David;Times New Roman"/>
          <w:color w:val="000000"/>
          <w:szCs w:val="22"/>
        </w:rPr>
        <w:t>54678313-2549/19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6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64"/>
      <w:footerReference w:type="default" r:id="rId6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2549/19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עאמר זעאתרה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sz w:val="28"/>
    </w:rPr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>
      <w:sz w:val="28"/>
    </w:rPr>
  </w:style>
  <w:style w:type="character" w:styleId="WW8Num16z0">
    <w:name w:val="WW8Num16z0"/>
    <w:qFormat/>
    <w:rPr/>
  </w:style>
  <w:style w:type="character" w:styleId="WW8Num17z0">
    <w:name w:val="WW8Num17z0"/>
    <w:qFormat/>
    <w:rPr>
      <w:b w:val="false"/>
      <w:bCs w:val="false"/>
      <w:sz w:val="24"/>
      <w:szCs w:val="24"/>
    </w:rPr>
  </w:style>
  <w:style w:type="character" w:styleId="WW8Num18z0">
    <w:name w:val="WW8Num18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default">
    <w:name w:val="default"/>
    <w:qFormat/>
    <w:rPr/>
  </w:style>
  <w:style w:type="character" w:styleId="big-number">
    <w:name w:val="big-number"/>
    <w:qFormat/>
    <w:rPr/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/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1"/>
      </w:numPr>
    </w:pPr>
    <w:rPr/>
  </w:style>
  <w:style w:type="paragraph" w:styleId="ListParagraph">
    <w:name w:val="List Paragraph"/>
    <w:basedOn w:val="Normal"/>
    <w:qFormat/>
    <w:pPr>
      <w:spacing w:lineRule="auto" w:line="360"/>
      <w:ind w:hanging="0" w:start="720" w:end="0"/>
    </w:pPr>
    <w:rPr>
      <w:rFonts w:ascii="Century" w:hAnsi="Century" w:cs="FrankRuehl"/>
      <w:spacing w:val="10"/>
      <w:szCs w:val="28"/>
    </w:rPr>
  </w:style>
  <w:style w:type="paragraph" w:styleId="ruller51">
    <w:name w:val="ruller5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p00">
    <w:name w:val="p0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p22">
    <w:name w:val="p22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609567" TargetMode="External"/><Relationship Id="rId3" Type="http://schemas.openxmlformats.org/officeDocument/2006/relationships/hyperlink" Target="http://www.nevo.co.il/safrut/book/16010" TargetMode="External"/><Relationship Id="rId4" Type="http://schemas.openxmlformats.org/officeDocument/2006/relationships/hyperlink" Target="http://www.nevo.co.il/safrut/book/16010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9.a" TargetMode="External"/><Relationship Id="rId7" Type="http://schemas.openxmlformats.org/officeDocument/2006/relationships/hyperlink" Target="http://www.nevo.co.il/law/70301/31" TargetMode="External"/><Relationship Id="rId8" Type="http://schemas.openxmlformats.org/officeDocument/2006/relationships/hyperlink" Target="http://www.nevo.co.il/law/70301/34a" TargetMode="External"/><Relationship Id="rId9" Type="http://schemas.openxmlformats.org/officeDocument/2006/relationships/hyperlink" Target="http://www.nevo.co.il/law/70301/34a.a.1" TargetMode="External"/><Relationship Id="rId10" Type="http://schemas.openxmlformats.org/officeDocument/2006/relationships/hyperlink" Target="http://www.nevo.co.il/law/70301/300.a.3" TargetMode="External"/><Relationship Id="rId11" Type="http://schemas.openxmlformats.org/officeDocument/2006/relationships/hyperlink" Target="http://www.nevo.co.il/law/70301/333" TargetMode="External"/><Relationship Id="rId12" Type="http://schemas.openxmlformats.org/officeDocument/2006/relationships/hyperlink" Target="http://www.nevo.co.il/law/70301/335.a.1." TargetMode="External"/><Relationship Id="rId13" Type="http://schemas.openxmlformats.org/officeDocument/2006/relationships/hyperlink" Target="http://www.nevo.co.il/law/70301/335.a.2" TargetMode="External"/><Relationship Id="rId14" Type="http://schemas.openxmlformats.org/officeDocument/2006/relationships/hyperlink" Target="http://www.nevo.co.il/law/70301/403" TargetMode="External"/><Relationship Id="rId15" Type="http://schemas.openxmlformats.org/officeDocument/2006/relationships/hyperlink" Target="http://www.nevo.co.il/law/74903" TargetMode="External"/><Relationship Id="rId16" Type="http://schemas.openxmlformats.org/officeDocument/2006/relationships/hyperlink" Target="http://www.nevo.co.il/law/74903/162" TargetMode="External"/><Relationship Id="rId17" Type="http://schemas.openxmlformats.org/officeDocument/2006/relationships/hyperlink" Target="http://www.nevo.co.il/case/23609567" TargetMode="External"/><Relationship Id="rId18" Type="http://schemas.openxmlformats.org/officeDocument/2006/relationships/hyperlink" Target="http://www.nevo.co.il/law/70301/403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300.a.3" TargetMode="External"/><Relationship Id="rId21" Type="http://schemas.openxmlformats.org/officeDocument/2006/relationships/hyperlink" Target="http://www.nevo.co.il/law/70301/403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23609583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300.a.3" TargetMode="External"/><Relationship Id="rId26" Type="http://schemas.openxmlformats.org/officeDocument/2006/relationships/hyperlink" Target="http://www.nevo.co.il/law/70301/403" TargetMode="External"/><Relationship Id="rId27" Type="http://schemas.openxmlformats.org/officeDocument/2006/relationships/hyperlink" Target="http://www.nevo.co.il/law/70301/333" TargetMode="External"/><Relationship Id="rId28" Type="http://schemas.openxmlformats.org/officeDocument/2006/relationships/hyperlink" Target="http://www.nevo.co.il/law/70301/335.a.1.;335.a.2" TargetMode="External"/><Relationship Id="rId29" Type="http://schemas.openxmlformats.org/officeDocument/2006/relationships/hyperlink" Target="http://www.nevo.co.il/law/74903/162" TargetMode="External"/><Relationship Id="rId30" Type="http://schemas.openxmlformats.org/officeDocument/2006/relationships/hyperlink" Target="http://www.nevo.co.il/law/74903" TargetMode="External"/><Relationship Id="rId31" Type="http://schemas.openxmlformats.org/officeDocument/2006/relationships/hyperlink" Target="http://www.nevo.co.il/law/70301/34a" TargetMode="External"/><Relationship Id="rId32" Type="http://schemas.openxmlformats.org/officeDocument/2006/relationships/hyperlink" Target="http://www.nevo.co.il/law/70301/29.a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31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safrut/bookgroup/2258" TargetMode="External"/><Relationship Id="rId37" Type="http://schemas.openxmlformats.org/officeDocument/2006/relationships/hyperlink" Target="http://www.nevo.co.il/case/5674009" TargetMode="External"/><Relationship Id="rId38" Type="http://schemas.openxmlformats.org/officeDocument/2006/relationships/hyperlink" Target="http://www.nevo.co.il/case/5769755" TargetMode="External"/><Relationship Id="rId39" Type="http://schemas.openxmlformats.org/officeDocument/2006/relationships/hyperlink" Target="http://www.nevo.co.il/case/5892536" TargetMode="External"/><Relationship Id="rId40" Type="http://schemas.openxmlformats.org/officeDocument/2006/relationships/hyperlink" Target="http://www.nevo.co.il/safrut/book/16010" TargetMode="External"/><Relationship Id="rId41" Type="http://schemas.openxmlformats.org/officeDocument/2006/relationships/hyperlink" Target="http://www.nevo.co.il/case/6244379" TargetMode="External"/><Relationship Id="rId42" Type="http://schemas.openxmlformats.org/officeDocument/2006/relationships/hyperlink" Target="http://www.nevo.co.il/case/5606376" TargetMode="External"/><Relationship Id="rId43" Type="http://schemas.openxmlformats.org/officeDocument/2006/relationships/hyperlink" Target="http://www.nevo.co.il/case/23354214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case/17923103" TargetMode="External"/><Relationship Id="rId46" Type="http://schemas.openxmlformats.org/officeDocument/2006/relationships/hyperlink" Target="http://www.nevo.co.il/case/5760076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34a.a.1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/34a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case/5733469" TargetMode="External"/><Relationship Id="rId53" Type="http://schemas.openxmlformats.org/officeDocument/2006/relationships/hyperlink" Target="http://www.nevo.co.il/case/5782008" TargetMode="External"/><Relationship Id="rId54" Type="http://schemas.openxmlformats.org/officeDocument/2006/relationships/hyperlink" Target="http://www.nevo.co.il/law/70301/34a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case/5718678" TargetMode="External"/><Relationship Id="rId57" Type="http://schemas.openxmlformats.org/officeDocument/2006/relationships/hyperlink" Target="http://www.nevo.co.il/law/70301/34a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law/70301/34a" TargetMode="External"/><Relationship Id="rId60" Type="http://schemas.openxmlformats.org/officeDocument/2006/relationships/hyperlink" Target="http://www.nevo.co.il/law/70301" TargetMode="External"/><Relationship Id="rId61" Type="http://schemas.openxmlformats.org/officeDocument/2006/relationships/hyperlink" Target="http://www.nevo.co.il/case/5957024" TargetMode="External"/><Relationship Id="rId62" Type="http://schemas.openxmlformats.org/officeDocument/2006/relationships/hyperlink" Target="https://supreme.court.gov.il/" TargetMode="External"/><Relationship Id="rId63" Type="http://schemas.openxmlformats.org/officeDocument/2006/relationships/hyperlink" Target="http://www.nevo.co.il/advertisements/nevo-100.doc" TargetMode="External"/><Relationship Id="rId64" Type="http://schemas.openxmlformats.org/officeDocument/2006/relationships/header" Target="header1.xml"/><Relationship Id="rId65" Type="http://schemas.openxmlformats.org/officeDocument/2006/relationships/footer" Target="footer1.xml"/><Relationship Id="rId66" Type="http://schemas.openxmlformats.org/officeDocument/2006/relationships/numbering" Target="numbering.xml"/><Relationship Id="rId67" Type="http://schemas.openxmlformats.org/officeDocument/2006/relationships/fontTable" Target="fontTable.xml"/><Relationship Id="rId68" Type="http://schemas.openxmlformats.org/officeDocument/2006/relationships/settings" Target="settings.xml"/><Relationship Id="rId6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2022-01-26T09:24:00Z</dcterms:created>
  <dc:creator>h4</dc:creator>
  <dc:description/>
  <cp:keywords/>
  <dc:language>en-IL</dc:language>
  <cp:lastModifiedBy>orly</cp:lastModifiedBy>
  <cp:lastPrinted>2022-01-25T12:01:00Z</cp:lastPrinted>
  <dcterms:modified xsi:type="dcterms:W3CDTF">2022-01-26T09:24:00Z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עאמר זעאתרה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16010</vt:lpwstr>
  </property>
  <property fmtid="{D5CDD505-2E9C-101B-9397-08002B2CF9AE}" pid="9" name="CASESLISTTMP1">
    <vt:lpwstr>23609567:2;23609583;5674009;5769755;5892536;6244379;5606376;23354214;17923103;5760076;5733469;5782008;5718678;5957024</vt:lpwstr>
  </property>
  <property fmtid="{D5CDD505-2E9C-101B-9397-08002B2CF9AE}" pid="10" name="CITY">
    <vt:lpwstr/>
  </property>
  <property fmtid="{D5CDD505-2E9C-101B-9397-08002B2CF9AE}" pid="11" name="DATE">
    <vt:lpwstr>20220125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נ' סולברג;ג' קרא;י' וילנר</vt:lpwstr>
  </property>
  <property fmtid="{D5CDD505-2E9C-101B-9397-08002B2CF9AE}" pid="15" name="LAWLISTTMP1">
    <vt:lpwstr>70301/403:3;300.a.3:2;333;335.a.1;335.a.2;034a:5;029.a;031;034a.a.1</vt:lpwstr>
  </property>
  <property fmtid="{D5CDD505-2E9C-101B-9397-08002B2CF9AE}" pid="16" name="LAWLISTTMP2">
    <vt:lpwstr>74903/162</vt:lpwstr>
  </property>
  <property fmtid="{D5CDD505-2E9C-101B-9397-08002B2CF9AE}" pid="17" name="LAWYER">
    <vt:lpwstr>תמר בורנשטיין;ויסאם לידאווי;תמי אולמן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BOOKNEVO">
    <vt:lpwstr>2258</vt:lpwstr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>עונשין</vt:lpwstr>
  </property>
  <property fmtid="{D5CDD505-2E9C-101B-9397-08002B2CF9AE}" pid="32" name="NOSE13">
    <vt:lpwstr>עונשין</vt:lpwstr>
  </property>
  <property fmtid="{D5CDD505-2E9C-101B-9397-08002B2CF9AE}" pid="33" name="NOSE14">
    <vt:lpwstr>עונשין</vt:lpwstr>
  </property>
  <property fmtid="{D5CDD505-2E9C-101B-9397-08002B2CF9AE}" pid="34" name="NOSE15">
    <vt:lpwstr>עונשין</vt:lpwstr>
  </property>
  <property fmtid="{D5CDD505-2E9C-101B-9397-08002B2CF9AE}" pid="35" name="NOSE16">
    <vt:lpwstr>עונשין</vt:lpwstr>
  </property>
  <property fmtid="{D5CDD505-2E9C-101B-9397-08002B2CF9AE}" pid="36" name="NOSE17">
    <vt:lpwstr>עונשין</vt:lpwstr>
  </property>
  <property fmtid="{D5CDD505-2E9C-101B-9397-08002B2CF9AE}" pid="37" name="NOSE18">
    <vt:lpwstr>עונשין</vt:lpwstr>
  </property>
  <property fmtid="{D5CDD505-2E9C-101B-9397-08002B2CF9AE}" pid="38" name="NOSE19">
    <vt:lpwstr/>
  </property>
  <property fmtid="{D5CDD505-2E9C-101B-9397-08002B2CF9AE}" pid="39" name="NOSE1ID">
    <vt:lpwstr>77;77;77;77;77;77;77;77</vt:lpwstr>
  </property>
  <property fmtid="{D5CDD505-2E9C-101B-9397-08002B2CF9AE}" pid="40" name="NOSE21">
    <vt:lpwstr>שותפים לעבירה</vt:lpwstr>
  </property>
  <property fmtid="{D5CDD505-2E9C-101B-9397-08002B2CF9AE}" pid="41" name="NOSE210">
    <vt:lpwstr/>
  </property>
  <property fmtid="{D5CDD505-2E9C-101B-9397-08002B2CF9AE}" pid="42" name="NOSE22">
    <vt:lpwstr>שותפים לעבירה</vt:lpwstr>
  </property>
  <property fmtid="{D5CDD505-2E9C-101B-9397-08002B2CF9AE}" pid="43" name="NOSE23">
    <vt:lpwstr>שותפים לעבירה</vt:lpwstr>
  </property>
  <property fmtid="{D5CDD505-2E9C-101B-9397-08002B2CF9AE}" pid="44" name="NOSE24">
    <vt:lpwstr>שותפים לעבירה</vt:lpwstr>
  </property>
  <property fmtid="{D5CDD505-2E9C-101B-9397-08002B2CF9AE}" pid="45" name="NOSE25">
    <vt:lpwstr>שותפים לעבירה</vt:lpwstr>
  </property>
  <property fmtid="{D5CDD505-2E9C-101B-9397-08002B2CF9AE}" pid="46" name="NOSE26">
    <vt:lpwstr>מחשבה פלילית</vt:lpwstr>
  </property>
  <property fmtid="{D5CDD505-2E9C-101B-9397-08002B2CF9AE}" pid="47" name="NOSE27">
    <vt:lpwstr>מחשבה פלילית</vt:lpwstr>
  </property>
  <property fmtid="{D5CDD505-2E9C-101B-9397-08002B2CF9AE}" pid="48" name="NOSE28">
    <vt:lpwstr>עבירות</vt:lpwstr>
  </property>
  <property fmtid="{D5CDD505-2E9C-101B-9397-08002B2CF9AE}" pid="49" name="NOSE29">
    <vt:lpwstr/>
  </property>
  <property fmtid="{D5CDD505-2E9C-101B-9397-08002B2CF9AE}" pid="50" name="NOSE2ID">
    <vt:lpwstr>1451;1451;1451;1451;1451;1436;1436;1443</vt:lpwstr>
  </property>
  <property fmtid="{D5CDD505-2E9C-101B-9397-08002B2CF9AE}" pid="51" name="NOSE31">
    <vt:lpwstr>מבצע בצוותא</vt:lpwstr>
  </property>
  <property fmtid="{D5CDD505-2E9C-101B-9397-08002B2CF9AE}" pid="52" name="NOSE310">
    <vt:lpwstr/>
  </property>
  <property fmtid="{D5CDD505-2E9C-101B-9397-08002B2CF9AE}" pid="53" name="NOSE32">
    <vt:lpwstr>סיוע</vt:lpwstr>
  </property>
  <property fmtid="{D5CDD505-2E9C-101B-9397-08002B2CF9AE}" pid="54" name="NOSE33">
    <vt:lpwstr>הבחנה בין סוגי שותפים</vt:lpwstr>
  </property>
  <property fmtid="{D5CDD505-2E9C-101B-9397-08002B2CF9AE}" pid="55" name="NOSE34">
    <vt:lpwstr>עבירה שונה או נוספת</vt:lpwstr>
  </property>
  <property fmtid="{D5CDD505-2E9C-101B-9397-08002B2CF9AE}" pid="56" name="NOSE35">
    <vt:lpwstr>נוכחות בזירת ביצוע העבירה</vt:lpwstr>
  </property>
  <property fmtid="{D5CDD505-2E9C-101B-9397-08002B2CF9AE}" pid="57" name="NOSE36">
    <vt:lpwstr>שותפים לעבירה</vt:lpwstr>
  </property>
  <property fmtid="{D5CDD505-2E9C-101B-9397-08002B2CF9AE}" pid="58" name="NOSE37">
    <vt:lpwstr>מודעות</vt:lpwstr>
  </property>
  <property fmtid="{D5CDD505-2E9C-101B-9397-08002B2CF9AE}" pid="59" name="NOSE38">
    <vt:lpwstr>רצח</vt:lpwstr>
  </property>
  <property fmtid="{D5CDD505-2E9C-101B-9397-08002B2CF9AE}" pid="60" name="NOSE39">
    <vt:lpwstr/>
  </property>
  <property fmtid="{D5CDD505-2E9C-101B-9397-08002B2CF9AE}" pid="61" name="NOSE3ID">
    <vt:lpwstr>9034;9040;9031;9041;9038;8726;8717;8927</vt:lpwstr>
  </property>
  <property fmtid="{D5CDD505-2E9C-101B-9397-08002B2CF9AE}" pid="62" name="PADIDATE">
    <vt:lpwstr>20220126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2549</vt:lpwstr>
  </property>
  <property fmtid="{D5CDD505-2E9C-101B-9397-08002B2CF9AE}" pid="68" name="PROCYEAR">
    <vt:lpwstr>19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410120220125</vt:lpwstr>
  </property>
  <property fmtid="{D5CDD505-2E9C-101B-9397-08002B2CF9AE}" pid="72" name="TYPE_N_DATE">
    <vt:lpwstr>41020220125</vt:lpwstr>
  </property>
  <property fmtid="{D5CDD505-2E9C-101B-9397-08002B2CF9AE}" pid="73" name="VOLUME">
    <vt:lpwstr/>
  </property>
  <property fmtid="{D5CDD505-2E9C-101B-9397-08002B2CF9AE}" pid="74" name="WORDNUMPAGES">
    <vt:lpwstr>26</vt:lpwstr>
  </property>
</Properties>
</file>