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2564/19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איברהים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אזברגה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       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56073-05-18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לומפ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27.6.2019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נאטור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</w:t>
            </w:r>
            <w:r>
              <w:rPr>
                <w:rtl w:val="true"/>
              </w:rPr>
              <w:t>שיבה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נדחה ערעור על גזר דין במסגרתו נדון המערער לעונש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 ונגזרו על המערער מאסרים על 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בגין הרשעתו בעבירה של נשיאת 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עמד על חומרתן הרבה של עבירות הנשק ועל מגמת ההחמרה ברמת הענישה של המעורבים בהן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בציינו כי ברירת המחדל בעבירות נשק היא מאסר בפועל גם כאשר הנאשם נעדר עבר 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העונש שהוטל על המערער ראוי והולם בנסיבות המקרה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נשק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גזר דינו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במסגרתו נדון המערער לעונש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 מיום מעצרו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ונגזרו על המערער מאסרים על 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לאחר שהורשע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פי הודאתו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בעבירה של נשיאת 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השופטת ברון ובהסכמת השופטים הנדל וקרא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כלל הוא שערכאת הערעור אינה גוזרת מחדש את דינו של אדם שהורשע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ואינה נוטה להתערב בעונש שהושת על ידי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בנסיבות שבהן העונש חורג באופן קיצוני מהענישה המקובלת במקרים דומים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כאשר נפלה טעות בולטת 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זה העונש שהוטל על המערער ראוי והולם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הורשע בעבירה של נשיאת 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כבר נפסק אודות חומרתן הרבה של עבירות הנשק ועל הסכנה הגבוהה במיוחד לשלום הציבור וביטחונו הטמונה בנשיאה והחזקה של 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עוד נפסק כי לא ניתן להשלים עם קיומו של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מחתרתי בלתי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חוקי למכירת כלי 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וגדיעתו היא תנאי הכרחי למיגור מעשי אלימות חמורים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המתרחשים במקומותינו בתדירות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אלה מתאפשרים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בין היתר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בשל הימצאות כלי נשק בידי עבריינים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קיימת בפסיקה מגמת החמרה ברמת הענישה של המעורבים בעבירות נשק תוך מתן ביטוי עונשי הולם לסכנה הנשקפת מהן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במטרה להרתיע את היחיד והרבים גם יחד מפני ביצוען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ברירת המחדל בעבירות נשק היא מאסר בפועל גם כאשר הנאשם נעדר עבר 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ניהל משא ומתן לרכישת אקדח גנוב ומחסנית תואמת במטרה לסחור בו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רכש אותו ותיכנן להעבירו ממחנה הפליטים שועפאט בירושלים ללוד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שהוא מסתירו בזמן הנסיעה מתחת למושבו על מנת שלא יתגלה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האקדח שרכש הוא נשק קטלני שמאפשר ירי לטווח רחוק וגרימת פגיעה חמורה ביותר בגוף ובנפש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אלמלא נתפס המערער על ידי המשטרה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הנשק היה מגיע למחוז חפצו ולא ניתן לדעת לאלו ידיים עלול היה להתגלגל ולאלו מעשים יכול היה לשמש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במעשיו היה שותף לאותו שוק מחתרתי בלתי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חוקי למכירת כלי נשק שמאפשר מעשי אלימות חמורים שלמרבה הצער מתרחשים במחוזותינו תדיר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ולא ניתן להקל ראש בכך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התחשב בכל הנסיבות המקילות שהמערער טען להן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ולנוכח נסיבות מקילות אלו קבע כי יש לגזור על המערער עונש מאסר בחלק הנמוך של מתחם העונש שקבע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40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  <w:bookmarkStart w:id="14" w:name="Start_Write"/>
      <w:bookmarkEnd w:id="14"/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Arial TUR;Arial" w:hAnsi="Arial TUR;Arial" w:cs="Arial TUR;Arial"/>
          <w:sz w:val="22"/>
          <w:sz w:val="22"/>
          <w:rtl w:val="true"/>
        </w:rPr>
        <w:t>ערעור על גזר דינו של בית המשפט המחוזי</w:t>
      </w:r>
      <w:r>
        <w:rPr>
          <w:rtl w:val="true"/>
        </w:rPr>
        <w:t xml:space="preserve"> בירושלים ב</w:t>
      </w:r>
      <w:r>
        <w:rPr>
          <w:rtl w:val="true"/>
        </w:rPr>
        <w:t>-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56073-05-18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כבוד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25.3.2019</w:t>
      </w:r>
      <w:r>
        <w:rPr>
          <w:rtl w:val="true"/>
        </w:rPr>
        <w:t xml:space="preserve">. </w:t>
      </w:r>
      <w:r>
        <w:rPr>
          <w:rtl w:val="true"/>
        </w:rPr>
        <w:t xml:space="preserve">במסגרתו נדון המערער לעונש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 מיום מעצרו</w:t>
      </w:r>
      <w:r>
        <w:rPr>
          <w:rtl w:val="true"/>
        </w:rPr>
        <w:t xml:space="preserve">; </w:t>
      </w:r>
      <w:r>
        <w:rPr>
          <w:rtl w:val="true"/>
        </w:rPr>
        <w:t>כן נגזרו על המערער מאסרים על תנאי</w:t>
      </w:r>
      <w:r>
        <w:rPr>
          <w:rtl w:val="true"/>
        </w:rPr>
        <w:t xml:space="preserve">. </w:t>
      </w:r>
      <w:r>
        <w:rPr>
          <w:rtl w:val="true"/>
        </w:rPr>
        <w:t>זאת לאחר שהורשע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</w:t>
      </w:r>
      <w:r>
        <w:rPr>
          <w:rtl w:val="true"/>
        </w:rPr>
        <w:t>נשיאת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11.4.2019</w:t>
      </w:r>
      <w:r>
        <w:rPr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rtl w:val="true"/>
        </w:rPr>
        <w:t>כתב</w:t>
      </w:r>
      <w:r>
        <w:rPr>
          <w:rFonts w:cs="Times New Roman;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האישום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המתוקן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8"/>
        </w:rPr>
      </w:pPr>
      <w:r>
        <w:rPr>
          <w:sz w:val="28"/>
          <w:sz w:val="28"/>
          <w:rtl w:val="true"/>
        </w:rPr>
        <w:t>על פי המתואר בכתב האישום המתוקן שהוגש לבית המשפט המחוזי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עובר ליום </w:t>
      </w:r>
      <w:r>
        <w:rPr>
          <w:sz w:val="28"/>
        </w:rPr>
        <w:t>13.5.2018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קשר המערער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 xml:space="preserve">יליד </w:t>
      </w:r>
      <w:r>
        <w:rPr>
          <w:sz w:val="28"/>
        </w:rPr>
        <w:t>1984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קשר עם אחרים וניהל עימם משא ומתן לרכישת אקדח שהיה מצוי ברשותם במטרה לסחור בו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ביום </w:t>
      </w:r>
      <w:r>
        <w:rPr>
          <w:sz w:val="28"/>
        </w:rPr>
        <w:t>13.5.2018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בסביבות השעה </w:t>
      </w:r>
      <w:r>
        <w:rPr>
          <w:sz w:val="28"/>
        </w:rPr>
        <w:t>20:00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 תיאום בין המערער לאחרים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הגיעו המערער ושותפו לכתב 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מוחמד אזברגה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מוחמד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מלוד למחנה הפליטים שועפאט בירושלים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שם הועבר לרשותם אקדח גנוב מתוצרת חברת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גלוק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 xml:space="preserve">קליבר </w:t>
      </w:r>
      <w:r>
        <w:rPr>
          <w:sz w:val="28"/>
        </w:rPr>
        <w:t>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יחד עם מחסנית תואמת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תמורת </w:t>
      </w:r>
      <w:r>
        <w:rPr>
          <w:sz w:val="28"/>
        </w:rPr>
        <w:t>32,000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בהמשך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 ומוחמד נכנסו לרכב סובארו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כשמוחמד נוהג 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הסתירו את האקדח מתחת למושב הנוסע שעליו ישב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ועשו את דרכם חזרה מירושלים עד שנעצרו על ידי המשטרה בסמוך למחלף שער הגיא</w:t>
      </w:r>
      <w:r>
        <w:rPr>
          <w:sz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rtl w:val="true"/>
        </w:rPr>
        <w:t>ההליך</w:t>
      </w:r>
      <w:r>
        <w:rPr>
          <w:rFonts w:cs="Times New Roman;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בבית</w:t>
      </w:r>
      <w:r>
        <w:rPr>
          <w:rFonts w:cs="Times New Roman;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המשפט</w:t>
      </w:r>
      <w:r>
        <w:rPr>
          <w:rFonts w:cs="Times New Roman;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הודה במיוחס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והורשע כאמור על פי הודאתו בהכרעת דין מיום </w:t>
      </w:r>
      <w:r>
        <w:rPr/>
        <w:t>4.12.2018</w:t>
      </w:r>
      <w:r>
        <w:rPr>
          <w:rtl w:val="true"/>
        </w:rPr>
        <w:t xml:space="preserve">. </w:t>
      </w:r>
      <w:r>
        <w:rPr>
          <w:rtl w:val="true"/>
        </w:rPr>
        <w:t>בהמשך לכך וטרם שיישמעו הטיעונים לעונש</w:t>
      </w:r>
      <w:r>
        <w:rPr>
          <w:rtl w:val="true"/>
        </w:rPr>
        <w:t xml:space="preserve">, </w:t>
      </w:r>
      <w:r>
        <w:rPr>
          <w:rtl w:val="true"/>
        </w:rPr>
        <w:t>הורה בית המשפט על עריכת תסקיר מאת שירות המבחן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4.3.2019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שהבכור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והכלכליות</w:t>
      </w:r>
      <w:r>
        <w:rPr>
          <w:rtl w:val="true"/>
        </w:rPr>
        <w:t xml:space="preserve">.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וקונקרטית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25.3.2019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בגדרי גזר הדין</w:t>
      </w:r>
      <w:r>
        <w:rPr>
          <w:rtl w:val="true"/>
        </w:rPr>
        <w:t xml:space="preserve">, </w:t>
      </w:r>
      <w:r>
        <w:rPr>
          <w:rtl w:val="true"/>
        </w:rPr>
        <w:t>עמד בית המשפט על החומרה הגלומה בעבירות נשק ועל פוטנציאל הפגיעה בנפש וברכוש שעלולה להיגרם כתוצאה מהשימוש בנשק</w:t>
      </w:r>
      <w:r>
        <w:rPr>
          <w:rtl w:val="true"/>
        </w:rPr>
        <w:t xml:space="preserve">. </w:t>
      </w:r>
      <w:r>
        <w:rPr>
          <w:rtl w:val="true"/>
        </w:rPr>
        <w:t>חומרה זו מכתיבה מדיניות ענישה מחמירה המחייבת לרוב הטלת עונש מאסר בפועל גם על מי שזוהי הרשעתו הראשונה</w:t>
      </w:r>
      <w:r>
        <w:rPr>
          <w:rtl w:val="true"/>
        </w:rPr>
        <w:t xml:space="preserve">. </w:t>
      </w:r>
      <w:r>
        <w:rPr>
          <w:rtl w:val="true"/>
        </w:rPr>
        <w:t>כן עמד בית המשפט על נסיבות ביצוע העבירה ובהן</w:t>
      </w:r>
      <w:r>
        <w:rPr>
          <w:rtl w:val="true"/>
        </w:rPr>
        <w:t xml:space="preserve">: </w:t>
      </w:r>
      <w:r>
        <w:rPr>
          <w:rtl w:val="true"/>
        </w:rPr>
        <w:t>העובדה שלעבירה קדם תכנון מוקדם</w:t>
      </w:r>
      <w:r>
        <w:rPr>
          <w:rtl w:val="true"/>
        </w:rPr>
        <w:t xml:space="preserve">; </w:t>
      </w:r>
      <w:r>
        <w:rPr>
          <w:rtl w:val="true"/>
        </w:rPr>
        <w:t>סוג הנשק</w:t>
      </w:r>
      <w:r>
        <w:rPr>
          <w:rtl w:val="true"/>
        </w:rPr>
        <w:t xml:space="preserve">, </w:t>
      </w:r>
      <w:r>
        <w:rPr>
          <w:rtl w:val="true"/>
        </w:rPr>
        <w:t>כאשר מחד גיסא עסקינן באקדח ולא ברובה</w:t>
      </w:r>
      <w:r>
        <w:rPr>
          <w:rtl w:val="true"/>
        </w:rPr>
        <w:t xml:space="preserve">, </w:t>
      </w:r>
      <w:r>
        <w:rPr>
          <w:rtl w:val="true"/>
        </w:rPr>
        <w:t>אך מאידך גיסא סוג האקדח הוא קטלני ומאפשר ירי לטווח ארוך</w:t>
      </w:r>
      <w:r>
        <w:rPr>
          <w:rtl w:val="true"/>
        </w:rPr>
        <w:t xml:space="preserve">; </w:t>
      </w:r>
      <w:r>
        <w:rPr>
          <w:rtl w:val="true"/>
        </w:rPr>
        <w:t>העובדה שלא נגרם נזק ממשי</w:t>
      </w:r>
      <w:r>
        <w:rPr>
          <w:rtl w:val="true"/>
        </w:rPr>
        <w:t xml:space="preserve">, </w:t>
      </w:r>
      <w:r>
        <w:rPr>
          <w:rtl w:val="true"/>
        </w:rPr>
        <w:t>אך זאת עקב פעולת המשטרה ולא בשל חרטת המערער</w:t>
      </w:r>
      <w:r>
        <w:rPr>
          <w:rtl w:val="true"/>
        </w:rPr>
        <w:t xml:space="preserve">; </w:t>
      </w:r>
      <w:r>
        <w:rPr>
          <w:rtl w:val="true"/>
        </w:rPr>
        <w:t>העובדה שהנשק היה בחזקת המערער במשך זמן קצר</w:t>
      </w:r>
      <w:r>
        <w:rPr>
          <w:rtl w:val="true"/>
        </w:rPr>
        <w:t xml:space="preserve">; </w:t>
      </w:r>
      <w:r>
        <w:rPr>
          <w:rtl w:val="true"/>
        </w:rPr>
        <w:t>ואת חלקו של המערער בעבירה שהוא גדול מחלקו של מוחמד</w:t>
      </w:r>
      <w:r>
        <w:rPr>
          <w:rtl w:val="true"/>
        </w:rPr>
        <w:t xml:space="preserve">. </w:t>
      </w:r>
      <w:r>
        <w:rPr>
          <w:rtl w:val="true"/>
        </w:rPr>
        <w:t>בית המשפט סקר שורה של פסקי דין שניתן להשליך מהם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ולבסוף קבע מתחם ענישה הנע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קבע עוד כי אין מקום לסטות ממתחם העונש ההולם שקבע</w:t>
      </w:r>
      <w:r>
        <w:rPr>
          <w:rtl w:val="true"/>
        </w:rPr>
        <w:t xml:space="preserve">, </w:t>
      </w:r>
      <w:r>
        <w:rPr>
          <w:rtl w:val="true"/>
        </w:rPr>
        <w:t>לא לקולה מטעמי שיקום ולא לחומרה מטעמי הגנה על הציבור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השלכותיהם</w:t>
      </w:r>
      <w:r>
        <w:rPr>
          <w:rtl w:val="true"/>
        </w:rPr>
        <w:t xml:space="preserve">; </w:t>
      </w:r>
      <w:r>
        <w:rPr>
          <w:rtl w:val="true"/>
        </w:rPr>
        <w:t>היעדרה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; </w:t>
      </w:r>
      <w:r>
        <w:rPr>
          <w:rtl w:val="true"/>
        </w:rPr>
        <w:t>והמלצת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לאחר ששיקלל ואיזן בין כלל השיקולים הרלוונטיים</w:t>
      </w:r>
      <w:r>
        <w:rPr>
          <w:rtl w:val="true"/>
        </w:rPr>
        <w:t xml:space="preserve">, </w:t>
      </w:r>
      <w:r>
        <w:rPr>
          <w:rtl w:val="true"/>
        </w:rPr>
        <w:t>החליט בית המשפט למקם את עונשו של המערער בחלק התחתון של מתחם העונש ההולם שקבע בעניינו אך לא ברף הנמוך ביותר שלו</w:t>
      </w:r>
      <w:r>
        <w:rPr>
          <w:rtl w:val="true"/>
        </w:rPr>
        <w:t xml:space="preserve">, </w:t>
      </w:r>
      <w:r>
        <w:rPr>
          <w:rtl w:val="true"/>
        </w:rPr>
        <w:t>בהתחשב בהמלצת שירות המבחן לנקוט בענישה הרתעתית ומוחשית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השית בית המשפט המחוזי על המערער את העונשים הבאים</w:t>
      </w:r>
      <w:r>
        <w:rPr>
          <w:rtl w:val="true"/>
        </w:rPr>
        <w:t xml:space="preserve">: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; </w:t>
      </w:r>
      <w:r>
        <w:rPr>
          <w:rtl w:val="true"/>
        </w:rPr>
        <w:t xml:space="preserve">מאסר על תנאי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 התנאי הוא כי לא יעבור במשך שנתיים מיום שחרורו עבירות בנשק מסוג פשע</w:t>
      </w:r>
      <w:r>
        <w:rPr>
          <w:rtl w:val="true"/>
        </w:rPr>
        <w:t xml:space="preserve">; </w:t>
      </w:r>
      <w:r>
        <w:rPr>
          <w:rtl w:val="true"/>
        </w:rPr>
        <w:t xml:space="preserve">וכן מאסר על תנאי למשך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 התנאי הוא כי לא יעבור במשך שנתיים מיום שחרורו עבירות בנשק מסוג עוון</w:t>
      </w:r>
      <w:r>
        <w:rPr>
          <w:rtl w:val="true"/>
        </w:rPr>
        <w:t xml:space="preserve">. </w:t>
      </w:r>
      <w:r>
        <w:rPr>
          <w:rtl w:val="true"/>
        </w:rPr>
        <w:t xml:space="preserve">עוד קבע בית המשפט כי </w:t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ומצבו</w:t>
      </w:r>
      <w:r>
        <w:rPr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 xml:space="preserve">עליו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 יצוין כי מוחמד</w:t>
      </w:r>
      <w:r>
        <w:rPr>
          <w:rtl w:val="true"/>
        </w:rPr>
        <w:t xml:space="preserve">, </w:t>
      </w:r>
      <w:r>
        <w:rPr>
          <w:rtl w:val="true"/>
        </w:rPr>
        <w:t>שותפו של המערער לכתב האישום</w:t>
      </w:r>
      <w:r>
        <w:rPr>
          <w:rtl w:val="true"/>
        </w:rPr>
        <w:t xml:space="preserve">, 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שהינה עבירה קלה מזו שהורשע בה המערער</w:t>
      </w:r>
      <w:r>
        <w:rPr>
          <w:rtl w:val="true"/>
        </w:rPr>
        <w:t xml:space="preserve">; </w:t>
      </w:r>
      <w:r>
        <w:rPr>
          <w:rtl w:val="true"/>
        </w:rPr>
        <w:t xml:space="preserve">נקבע בעניינו מתחם ענישה הנע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שיכול שירוצו בדרך של עבודות שירות 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ולבסוף נגזר עליו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 וכן מאסרים על 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rtl w:val="true"/>
        </w:rPr>
        <w:t>הליך</w:t>
      </w:r>
      <w:r>
        <w:rPr>
          <w:rFonts w:cs="Times New Roman;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לקראת הדיון בערעור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הגיש שירות המבחן תסקיר נוסף בעניינו של 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בתסקיר העדכני מיום </w:t>
      </w:r>
      <w:r>
        <w:rPr>
          <w:sz w:val="28"/>
        </w:rPr>
        <w:t>24.6.2019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נכתב כי</w:t>
      </w:r>
      <w:r>
        <w:rPr>
          <w:rtl w:val="true"/>
        </w:rPr>
        <w:t xml:space="preserve"> המערער הביע חרטה וצער על התנהגותו העבריינית</w:t>
      </w:r>
      <w:r>
        <w:rPr>
          <w:rtl w:val="true"/>
        </w:rPr>
        <w:t xml:space="preserve">, </w:t>
      </w:r>
      <w:r>
        <w:rPr>
          <w:rtl w:val="true"/>
        </w:rPr>
        <w:t>כאשר ניכר כי הוא ממוקד במחירים שהוא משלם בעקבות ביצוע העבירה</w:t>
      </w:r>
      <w:r>
        <w:rPr>
          <w:rtl w:val="true"/>
        </w:rPr>
        <w:t xml:space="preserve">. </w:t>
      </w:r>
      <w:r>
        <w:rPr>
          <w:rtl w:val="true"/>
        </w:rPr>
        <w:t>כן צוין כי המערער הביע מוטיבציה ורצון להשתלב בטיפול שיסייע לו לבחון את התנהלותו ובחירותיו לאורך השנים ואת דרכי התמודדותו עם קשייו</w:t>
      </w:r>
      <w:r>
        <w:rPr>
          <w:rtl w:val="true"/>
        </w:rPr>
        <w:t xml:space="preserve">. </w:t>
      </w:r>
      <w:r>
        <w:rPr>
          <w:rtl w:val="true"/>
        </w:rPr>
        <w:t>שירות המבחן חלק בתסקירו את לבטיו בגיבוש עמדתו</w:t>
      </w:r>
      <w:r>
        <w:rPr>
          <w:rtl w:val="true"/>
        </w:rPr>
        <w:t xml:space="preserve">, </w:t>
      </w:r>
      <w:r>
        <w:rPr>
          <w:rtl w:val="true"/>
        </w:rPr>
        <w:t>כאשר מחד גיסא ישנו שינוי ראשוני אצל המערער הבא לידי ביטוי בהתייחסותו לעובדה שפעל באופן עברייני מבלי שנתן דעתו להשלכות מעשיו וברצונו להשתלב בטיפול</w:t>
      </w:r>
      <w:r>
        <w:rPr>
          <w:rtl w:val="true"/>
        </w:rPr>
        <w:t xml:space="preserve">; </w:t>
      </w:r>
      <w:r>
        <w:rPr>
          <w:rtl w:val="true"/>
        </w:rPr>
        <w:t>אך מאידך גיסא גם כיום המערער מתקשה להתייחס לעניין תכנון העבירה</w:t>
      </w:r>
      <w:r>
        <w:rPr>
          <w:rtl w:val="true"/>
        </w:rPr>
        <w:t xml:space="preserve">, </w:t>
      </w:r>
      <w:r>
        <w:rPr>
          <w:rtl w:val="true"/>
        </w:rPr>
        <w:t>לקשרים השוליים שניהל ולסיכון שיצר מעצם הסחר בנשק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שירות המבחן העריך כי ייתכן שהמערער יוכל להיתרם מהליך טיפולי ובכך יצטמצם הסיכון במצבו</w:t>
      </w:r>
      <w:r>
        <w:rPr>
          <w:rtl w:val="true"/>
        </w:rPr>
        <w:t xml:space="preserve">, </w:t>
      </w:r>
      <w:r>
        <w:rPr>
          <w:rtl w:val="true"/>
        </w:rPr>
        <w:t>ונציגת שירות המבחן גב</w:t>
      </w:r>
      <w:r>
        <w:rPr>
          <w:rtl w:val="true"/>
        </w:rPr>
        <w:t xml:space="preserve">' </w:t>
      </w:r>
      <w:r>
        <w:rPr>
          <w:rtl w:val="true"/>
        </w:rPr>
        <w:t>וייס חזרה והדגישה התלבטות זו בדיון שהתקיים לפנינו</w:t>
      </w:r>
      <w:r>
        <w:rPr>
          <w:rtl w:val="true"/>
        </w:rPr>
        <w:t xml:space="preserve">. </w:t>
      </w:r>
      <w:r>
        <w:rPr>
          <w:rtl w:val="true"/>
        </w:rPr>
        <w:t>עוד צוין כי ככל שבית המשפט יחליט כי יש מקום למיצוי האפיק השיקומי</w:t>
      </w:r>
      <w:r>
        <w:rPr>
          <w:rtl w:val="true"/>
        </w:rPr>
        <w:t xml:space="preserve">, </w:t>
      </w:r>
      <w:r>
        <w:rPr>
          <w:rtl w:val="true"/>
        </w:rPr>
        <w:t>יש לדחות את הדיון בארבעה חודשים שבמהלכם המערער ישתלב בהליך טיפולי ובסיומם יוגש תסקיר משלים בעניינו של המערער</w:t>
      </w:r>
      <w:r>
        <w:rPr>
          <w:rtl w:val="true"/>
        </w:rPr>
        <w:t xml:space="preserve">. </w:t>
      </w:r>
      <w:r>
        <w:rPr>
          <w:rtl w:val="true"/>
        </w:rPr>
        <w:t>מטרת ההליך הטיפולי הוא העלאת מודעות למצבי סיכון להסתבכות עם החוק</w:t>
      </w:r>
      <w:r>
        <w:rPr>
          <w:rtl w:val="true"/>
        </w:rPr>
        <w:t xml:space="preserve">, </w:t>
      </w:r>
      <w:r>
        <w:rPr>
          <w:rtl w:val="true"/>
        </w:rPr>
        <w:t>חיזוק האחריות לתפקידים השונים בחיי המשתתפים ורכישת כלים להתמודדות יעילה במצבי דחף ומשבר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color w:val="FF0000"/>
        </w:rPr>
      </w:pPr>
      <w:r>
        <w:rPr>
          <w:rtl w:val="true"/>
        </w:rPr>
        <w:t>המערער טען בפתח דבריו כי יש לקבל את המלצת שירות המבחן העדכנית בעניינו ולדחות את הדיון בארבעה חודשים על מנת לאפשר לו להשתלב בהליך טיפולי</w:t>
      </w:r>
      <w:r>
        <w:rPr>
          <w:rtl w:val="true"/>
        </w:rPr>
        <w:t xml:space="preserve">. </w:t>
      </w:r>
      <w:r>
        <w:rPr>
          <w:rtl w:val="true"/>
        </w:rPr>
        <w:t>לגופו של הערעור</w:t>
      </w:r>
      <w:r>
        <w:rPr>
          <w:rtl w:val="true"/>
        </w:rPr>
        <w:t xml:space="preserve">, </w:t>
      </w:r>
      <w:r>
        <w:rPr>
          <w:rtl w:val="true"/>
        </w:rPr>
        <w:t>טען המערער כי בית המשפט שגה בקביעת העונש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כאשר לא מיקמו ברף הנמוך ביותר </w:t>
      </w:r>
      <w:r>
        <w:rPr>
          <w:rFonts w:ascii="Century" w:hAnsi="Century" w:cs="Century"/>
          <w:sz w:val="22"/>
          <w:sz w:val="22"/>
          <w:rtl w:val="true"/>
        </w:rPr>
        <w:t>של מתחם העונש ההולם שקבע והוסיף על רף זה ארבעה חודשים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בית המשפט לא נתן משקל הולם לנסיבות המקילות בעניינו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הודאתו עוד טרם שהחלו דיוני ההוכחות שחסכה זמן שיפוטי</w:t>
      </w:r>
      <w:r>
        <w:rPr>
          <w:rtl w:val="true"/>
        </w:rPr>
        <w:t xml:space="preserve">; </w:t>
      </w:r>
      <w:r>
        <w:rPr>
          <w:rtl w:val="true"/>
        </w:rPr>
        <w:t>מצבו המשפחתי והכלכלי הקשה</w:t>
      </w:r>
      <w:r>
        <w:rPr>
          <w:rtl w:val="true"/>
        </w:rPr>
        <w:t xml:space="preserve">; </w:t>
      </w:r>
      <w:r>
        <w:rPr>
          <w:rtl w:val="true"/>
        </w:rPr>
        <w:t>זמן נשיאת הנשק</w:t>
      </w:r>
      <w:r>
        <w:rPr>
          <w:rtl w:val="true"/>
        </w:rPr>
        <w:t xml:space="preserve">, </w:t>
      </w:r>
      <w:r>
        <w:rPr>
          <w:rtl w:val="true"/>
        </w:rPr>
        <w:t>שארך פחות משעתיים</w:t>
      </w:r>
      <w:r>
        <w:rPr>
          <w:rtl w:val="true"/>
        </w:rPr>
        <w:t xml:space="preserve">; </w:t>
      </w:r>
      <w:r>
        <w:rPr>
          <w:rtl w:val="true"/>
        </w:rPr>
        <w:t>הנזק שעלול להיגרם לו כתוצאה משליחתו למאסר ממושך</w:t>
      </w:r>
      <w:r>
        <w:rPr>
          <w:rtl w:val="true"/>
        </w:rPr>
        <w:t xml:space="preserve">, </w:t>
      </w:r>
      <w:r>
        <w:rPr>
          <w:rtl w:val="true"/>
        </w:rPr>
        <w:t>בפרט כאשר זהו מאסרו הראשון</w:t>
      </w:r>
      <w:r>
        <w:rPr>
          <w:rtl w:val="true"/>
        </w:rPr>
        <w:t xml:space="preserve">; </w:t>
      </w:r>
      <w:r>
        <w:rPr>
          <w:rtl w:val="true"/>
        </w:rPr>
        <w:t>העובדה שכתב האישום שבו הודה תוקן לקולה</w:t>
      </w:r>
      <w:r>
        <w:rPr>
          <w:rtl w:val="true"/>
        </w:rPr>
        <w:t xml:space="preserve">; </w:t>
      </w:r>
      <w:r>
        <w:rPr>
          <w:rtl w:val="true"/>
        </w:rPr>
        <w:t>והעובדה ששהה תקופה לא מבוטלת במעצר בפיקוח אלקטרוני והוא שוהה עתה בתנאים מגבילים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אין להיתפס בהמלצת שירות המבחן דאז</w:t>
      </w:r>
      <w:r>
        <w:rPr>
          <w:rtl w:val="true"/>
        </w:rPr>
        <w:t xml:space="preserve">, </w:t>
      </w:r>
      <w:r>
        <w:rPr>
          <w:rtl w:val="true"/>
        </w:rPr>
        <w:t>שלפיה יש להטיל עליו ענישה מוחשית ומרתיעה</w:t>
      </w:r>
      <w:r>
        <w:rPr>
          <w:rtl w:val="true"/>
        </w:rPr>
        <w:t xml:space="preserve">; </w:t>
      </w:r>
      <w:r>
        <w:rPr>
          <w:rtl w:val="true"/>
        </w:rPr>
        <w:t>זאת לנוכח קביעתו של בית המשפט כי יש למקם את עונשו בחלק התחתון של מתחם העונש ההולם שקבע בעניינו</w:t>
      </w:r>
      <w:r>
        <w:rPr>
          <w:rtl w:val="true"/>
        </w:rPr>
        <w:t xml:space="preserve">, </w:t>
      </w:r>
      <w:r>
        <w:rPr>
          <w:rtl w:val="true"/>
        </w:rPr>
        <w:t>בהיעדר עבר פלילי למערער ומשעה שזהו מאסרו הראשון</w:t>
      </w:r>
      <w:r>
        <w:rPr>
          <w:rtl w:val="true"/>
        </w:rPr>
        <w:t xml:space="preserve">. </w:t>
      </w:r>
      <w:r>
        <w:rPr>
          <w:rtl w:val="true"/>
        </w:rPr>
        <w:t xml:space="preserve">כן טוען המערער כי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 xml:space="preserve">אף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הטיעונים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למקם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בתחתית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טען המערער כי יש להעמיד את עונשו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בלבד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מצידה טענה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אין אופק שיקומי בעניינו של המערער ומשכך אין לשעות להמלצת שירות המבחן לדחות את הדיון בארבעה חודשים</w:t>
      </w:r>
      <w:r>
        <w:rPr>
          <w:rtl w:val="true"/>
        </w:rPr>
        <w:t xml:space="preserve">, </w:t>
      </w:r>
      <w:r>
        <w:rPr>
          <w:rtl w:val="true"/>
        </w:rPr>
        <w:t>מאחר שדחיית הדיון עלולה לייצר ציפייה שלא במקומה אצל המערער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העונש שהוטל על המערער הוא הולם ואין להתערב בו</w:t>
      </w:r>
      <w:r>
        <w:rPr>
          <w:rtl w:val="true"/>
        </w:rPr>
        <w:t xml:space="preserve">. </w:t>
      </w:r>
      <w:r>
        <w:rPr>
          <w:rtl w:val="true"/>
        </w:rPr>
        <w:t>זאת בהינתן שבית המשפט המחוזי התחשב בכלל הנסיבות המקילות בעניינו של המערער</w:t>
      </w:r>
      <w:r>
        <w:rPr>
          <w:rtl w:val="true"/>
        </w:rPr>
        <w:t xml:space="preserve">, </w:t>
      </w:r>
      <w:r>
        <w:rPr>
          <w:rtl w:val="true"/>
        </w:rPr>
        <w:t>לא גזר עליו קנס בשל מצבו הכלכלי</w:t>
      </w:r>
      <w:r>
        <w:rPr>
          <w:rtl w:val="true"/>
        </w:rPr>
        <w:t xml:space="preserve">, </w:t>
      </w:r>
      <w:r>
        <w:rPr>
          <w:rtl w:val="true"/>
        </w:rPr>
        <w:t xml:space="preserve">ומיקם את עונשו בחלקו התחתון של מתחם </w:t>
      </w:r>
      <w:r>
        <w:rPr>
          <w:rFonts w:ascii="Century" w:hAnsi="Century" w:cs="Century"/>
          <w:sz w:val="22"/>
          <w:sz w:val="22"/>
          <w:rtl w:val="true"/>
        </w:rPr>
        <w:t>העונש ההולם שקבע</w:t>
      </w:r>
      <w:r>
        <w:rPr>
          <w:rtl w:val="true"/>
        </w:rPr>
        <w:t xml:space="preserve">. </w:t>
      </w:r>
      <w:r>
        <w:rPr>
          <w:rtl w:val="true"/>
        </w:rPr>
        <w:t>מסקנה זו מתחזקת לגישת המשיבה</w:t>
      </w:r>
      <w:r>
        <w:rPr>
          <w:rtl w:val="true"/>
        </w:rPr>
        <w:t xml:space="preserve">, </w:t>
      </w:r>
      <w:r>
        <w:rPr>
          <w:rtl w:val="true"/>
        </w:rPr>
        <w:t>על רקע הפסיקה המייחסת לעבירות נשק חומרה יתרה ומחייבת הטלת מאסר בפועל גם על מי שזו לו הרשעתו הראשונה</w:t>
      </w:r>
      <w:r>
        <w:rPr>
          <w:rtl w:val="true"/>
        </w:rPr>
        <w:t xml:space="preserve">; </w:t>
      </w:r>
      <w:r>
        <w:rPr>
          <w:rtl w:val="true"/>
        </w:rPr>
        <w:t>ובשל היותן של עבירות נשק משום מכת מדינה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אקדים ואומר כבר כעת כי לא ראיתי תוחלת בדחיית הדיון </w:t>
      </w:r>
      <w:r>
        <w:rPr>
          <w:rtl w:val="true"/>
        </w:rPr>
        <w:t>לצורך השתלבות המערער בהליך טיפולי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כהצעת שירות המבחן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מתסקיר שירות המבחן העדכני עולה כי אין כל יסוד להניח לעת הזו שקיים אפיק שיקומי בעניינו של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 השינוי ככל שחל בגישתו הוא ראשוני בלבד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שילובו של המערער בהליך שיקומי לא מהווה הצדקה לדחיית מועד הדיון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ולדחיית תחילת ריצוי עונש המאסר בפועל שהושת עליו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בהתאמה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אך עם זאת ברי כי הוא רצוי ומבורך במסגרת מאסרו</w:t>
      </w:r>
      <w:r>
        <w:rPr>
          <w:sz w:val="28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8"/>
        </w:rPr>
      </w:pPr>
      <w:r>
        <w:rPr>
          <w:sz w:val="28"/>
          <w:sz w:val="28"/>
          <w:rtl w:val="true"/>
        </w:rPr>
        <w:t>אשר לערעור גופו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כלל ידוע הוא שערכאת הערעור אינה גוזרת מחדש את דינו של אדם שהורשע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ואינה נוטה להתערב בעונש שהושת על ידי הערכאה הדיונית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 בנסיבות שבהן העונש חורג באופן קיצוני מהענישה המקובלת במקרים דומים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או כאשר נפלה טעות בולטת בגזר הדין </w:t>
      </w:r>
      <w:r>
        <w:rPr>
          <w:sz w:val="28"/>
          <w:rtl w:val="true"/>
        </w:rPr>
        <w:t>(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837/17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25.10.2017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6971/13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David;Times New Roman"/>
          <w:sz w:val="20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23.9.2014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17-16</w:t>
      </w:r>
      <w:r>
        <w:rPr>
          <w:rtl w:val="true"/>
        </w:rPr>
        <w:t xml:space="preserve"> (</w:t>
      </w:r>
      <w:r>
        <w:rPr/>
        <w:t>13.5.2013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(</w:t>
      </w:r>
      <w:r>
        <w:rPr/>
        <w:t>25.6.2012</w:t>
      </w:r>
      <w:r>
        <w:rPr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לאחר שעיינתי במכלול החומר שבכתב והוספתי והיטיתי אוזן לטענות הצדדים בעל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הגעתי לכלל דעה כי העונש שהוטל על המערער הוא ראוי והולם בנסיבות המקרה ומשכך דין הערעור להידחות</w:t>
      </w:r>
      <w:r>
        <w:rPr>
          <w:sz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z w:val="28"/>
          <w:sz w:val="28"/>
          <w:rtl w:val="true"/>
        </w:rPr>
        <w:t>הגבוהה במיוחד לשלום הציבור וביטחונו הטמונה בנשיאה והחזקה של נשק</w:t>
      </w:r>
      <w:r>
        <w:rPr>
          <w:rFonts w:cs="Times New Roman;Times New Roman" w:ascii="Times New Roman;Times New Roman" w:hAnsi="Times New Roman;Times New Roman"/>
          <w:sz w:val="28"/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מחתרתי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למכירת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וגדיעתו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למיגורם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המתרחשים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במקומותינו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בתדירות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מדאיגה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מתאפשרים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הימצאותם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עבריינים</w:t>
      </w:r>
      <w:r>
        <w:rPr>
          <w:rtl w:val="true"/>
        </w:rPr>
        <w:t>" 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19.</w:t>
      </w:r>
      <w:r>
        <w:rPr/>
        <w:t>1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לסכנה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מהן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ברירת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26.</w:t>
      </w:r>
      <w:r>
        <w:rPr/>
        <w:t>7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8</w:t>
      </w:r>
      <w:r>
        <w:rPr/>
        <w:t>.</w:t>
      </w:r>
      <w:r>
        <w:rPr/>
        <w:t>3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סמארה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29.11.2018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12.12.2017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3877/16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באלי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17.11.2016</w:t>
      </w:r>
      <w:r>
        <w:rPr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עוואודה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30.12.2009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Times New Roman;Times New Roman"/>
          <w:spacing w:val="0"/>
          <w:szCs w:val="20"/>
        </w:rPr>
      </w:pPr>
      <w:r>
        <w:rPr>
          <w:rtl w:val="true"/>
        </w:rPr>
        <w:t>"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;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שבמערכתו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'".</w:t>
      </w:r>
    </w:p>
    <w:p>
      <w:pPr>
        <w:pStyle w:val="Ruller41"/>
        <w:spacing w:lineRule="auto" w:line="240"/>
        <w:ind w:end="0"/>
        <w:jc w:val="both"/>
        <w:rPr>
          <w:rFonts w:cs="Times New Roman;Times New Roman"/>
          <w:spacing w:val="0"/>
          <w:szCs w:val="20"/>
        </w:rPr>
      </w:pPr>
      <w:r>
        <w:rPr>
          <w:rFonts w:cs="Times New Roman;Times New Roman"/>
          <w:spacing w:val="0"/>
          <w:szCs w:val="20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32,000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שועפאט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למושבו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מחתרתי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מתרחשים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גזר דינו של בית המשפט המחוזי מבוסס ומנומק היטב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וניכר כי נלקחו בחשבון כלל השיקולים הרלבנטיים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בית המשפט התחשב </w:t>
      </w:r>
      <w:r>
        <w:rPr>
          <w:rtl w:val="true"/>
        </w:rPr>
        <w:t>בכל אותן נסיבות מקילות שהמערער טוען להן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נטילת אחריותו על מעשיו שחסכה זמן שיפוטי</w:t>
      </w:r>
      <w:r>
        <w:rPr>
          <w:sz w:val="28"/>
          <w:rtl w:val="true"/>
        </w:rPr>
        <w:t xml:space="preserve">; </w:t>
      </w:r>
      <w:r>
        <w:rPr>
          <w:rtl w:val="true"/>
        </w:rPr>
        <w:t>הפגיעה הצפויה למערער מעונש מאסר בפועל</w:t>
      </w:r>
      <w:r>
        <w:rPr>
          <w:rtl w:val="true"/>
        </w:rPr>
        <w:t xml:space="preserve">, </w:t>
      </w:r>
      <w:r>
        <w:rPr>
          <w:rtl w:val="true"/>
        </w:rPr>
        <w:t>לרבות בשל גילו ומצבו המשפחתי</w:t>
      </w:r>
      <w:r>
        <w:rPr>
          <w:rtl w:val="true"/>
        </w:rPr>
        <w:t xml:space="preserve">; </w:t>
      </w:r>
      <w:r>
        <w:rPr>
          <w:rtl w:val="true"/>
        </w:rPr>
        <w:t>העובדה שהנשק היה ברשותו כשעה וחצי בלבד</w:t>
      </w:r>
      <w:r>
        <w:rPr>
          <w:rtl w:val="true"/>
        </w:rPr>
        <w:t xml:space="preserve">; </w:t>
      </w:r>
      <w:r>
        <w:rPr>
          <w:rtl w:val="true"/>
        </w:rPr>
        <w:t>שהיית המערער בתחילה במעצר מאחורי סורג ובריח ובהמשך באיזוק אלקטרוני</w:t>
      </w:r>
      <w:r>
        <w:rPr>
          <w:rtl w:val="true"/>
        </w:rPr>
        <w:t xml:space="preserve">, </w:t>
      </w:r>
      <w:r>
        <w:rPr>
          <w:rtl w:val="true"/>
        </w:rPr>
        <w:t>כשידוע כי תנאי מעצר קשים מתנאי מאסר</w:t>
      </w:r>
      <w:r>
        <w:rPr>
          <w:rtl w:val="true"/>
        </w:rPr>
        <w:t xml:space="preserve">; </w:t>
      </w:r>
      <w:r>
        <w:rPr>
          <w:rtl w:val="true"/>
        </w:rPr>
        <w:t>שהייתו הנוכחית תחת תנאים מגבילים</w:t>
      </w:r>
      <w:r>
        <w:rPr>
          <w:rtl w:val="true"/>
        </w:rPr>
        <w:t xml:space="preserve">; </w:t>
      </w:r>
      <w:r>
        <w:rPr>
          <w:rtl w:val="true"/>
        </w:rPr>
        <w:t>והיעדר עבר פלילי</w:t>
      </w:r>
      <w:r>
        <w:rPr>
          <w:rtl w:val="true"/>
        </w:rPr>
        <w:t>.</w:t>
      </w:r>
      <w:r>
        <w:rPr>
          <w:color w:val="FF0000"/>
          <w:rtl w:val="true"/>
        </w:rPr>
        <w:t xml:space="preserve"> </w:t>
      </w:r>
      <w:r>
        <w:rPr>
          <w:rtl w:val="true"/>
        </w:rPr>
        <w:t>לנוכח נסיבות מקילות אלו קבע בית המשפט כי יש לגזור על המערער עונש מאסר בחלק הנמוך של מתחם העונש שקבע</w:t>
      </w:r>
      <w:r>
        <w:rPr>
          <w:rtl w:val="true"/>
        </w:rPr>
        <w:t xml:space="preserve">, </w:t>
      </w:r>
      <w:r>
        <w:rPr>
          <w:rtl w:val="true"/>
        </w:rPr>
        <w:t>גם אם לא בתחתית המתחם</w:t>
      </w:r>
      <w:r>
        <w:rPr>
          <w:rtl w:val="true"/>
        </w:rPr>
        <w:t xml:space="preserve">, </w:t>
      </w:r>
      <w:r>
        <w:rPr>
          <w:rtl w:val="true"/>
        </w:rPr>
        <w:t>וכך אכן עשה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אם תישמע דעתי נדחה את הערעור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spacing w:lineRule="auto" w:line="240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1"/>
        <w:spacing w:lineRule="auto" w:line="240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spacing w:lineRule="auto" w:line="240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1"/>
        <w:spacing w:lineRule="auto" w:line="240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18.8.2019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18.7.2019</w:t>
      </w:r>
      <w:r>
        <w:rPr>
          <w:rtl w:val="true"/>
        </w:rPr>
        <w:t xml:space="preserve">). </w:t>
      </w:r>
      <w:bookmarkEnd w:id="15"/>
    </w:p>
    <w:p>
      <w:pPr>
        <w:pStyle w:val="Ruller41"/>
        <w:spacing w:lineRule="auto" w:line="240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Ruller41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spacing w:lineRule="auto" w:line="240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19025640</w:t>
      </w:r>
      <w:r>
        <w:rPr>
          <w:sz w:val="16"/>
          <w:rtl w:val="true"/>
        </w:rPr>
        <w:t>_</w:t>
      </w:r>
      <w:r>
        <w:rPr>
          <w:sz w:val="16"/>
        </w:rPr>
        <w:t>G04.docx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הפ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54678313-2564/19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2564/19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איברהים אזברגה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20875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case/24208755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case/22195685" TargetMode="External"/><Relationship Id="rId12" Type="http://schemas.openxmlformats.org/officeDocument/2006/relationships/hyperlink" Target="http://www.nevo.co.il/case/8291746" TargetMode="External"/><Relationship Id="rId13" Type="http://schemas.openxmlformats.org/officeDocument/2006/relationships/hyperlink" Target="http://www.nevo.co.il/case/5594306" TargetMode="External"/><Relationship Id="rId14" Type="http://schemas.openxmlformats.org/officeDocument/2006/relationships/hyperlink" Target="http://www.nevo.co.il/case/6247428" TargetMode="External"/><Relationship Id="rId15" Type="http://schemas.openxmlformats.org/officeDocument/2006/relationships/hyperlink" Target="http://www.nevo.co.il/case/21474520" TargetMode="External"/><Relationship Id="rId16" Type="http://schemas.openxmlformats.org/officeDocument/2006/relationships/hyperlink" Target="http://www.nevo.co.il/case/23850962" TargetMode="External"/><Relationship Id="rId17" Type="http://schemas.openxmlformats.org/officeDocument/2006/relationships/hyperlink" Target="http://www.nevo.co.il/case/23509035" TargetMode="External"/><Relationship Id="rId18" Type="http://schemas.openxmlformats.org/officeDocument/2006/relationships/hyperlink" Target="http://www.nevo.co.il/case/24140726" TargetMode="External"/><Relationship Id="rId19" Type="http://schemas.openxmlformats.org/officeDocument/2006/relationships/hyperlink" Target="http://www.nevo.co.il/case/21946424" TargetMode="External"/><Relationship Id="rId20" Type="http://schemas.openxmlformats.org/officeDocument/2006/relationships/hyperlink" Target="http://www.nevo.co.il/case/21474168" TargetMode="External"/><Relationship Id="rId21" Type="http://schemas.openxmlformats.org/officeDocument/2006/relationships/hyperlink" Target="http://www.nevo.co.il/case/6000182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2019-07-22T07:51:00Z</dcterms:created>
  <dc:creator>h4</dc:creator>
  <dc:description/>
  <cp:keywords/>
  <dc:language>en-IL</dc:language>
  <cp:lastModifiedBy>orly</cp:lastModifiedBy>
  <cp:lastPrinted>2019-07-18T13:33:00Z</cp:lastPrinted>
  <dcterms:modified xsi:type="dcterms:W3CDTF">2019-07-22T07:51:00Z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איברהים אזברגה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24208755:2;22195685;8291746;5594306;6247428;21474520;23850962;23509035;24140726;21946424;21474168;6000182</vt:lpwstr>
  </property>
  <property fmtid="{D5CDD505-2E9C-101B-9397-08002B2CF9AE}" pid="9" name="CITY">
    <vt:lpwstr/>
  </property>
  <property fmtid="{D5CDD505-2E9C-101B-9397-08002B2CF9AE}" pid="10" name="DATE">
    <vt:lpwstr>20190718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ברון;ג' קרא</vt:lpwstr>
  </property>
  <property fmtid="{D5CDD505-2E9C-101B-9397-08002B2CF9AE}" pid="14" name="LAWLISTTMP1">
    <vt:lpwstr>70301/144.b:2;144.a</vt:lpwstr>
  </property>
  <property fmtid="{D5CDD505-2E9C-101B-9397-08002B2CF9AE}" pid="15" name="LAWYER">
    <vt:lpwstr>נגה בן סידי;שאדי נאטור;ברכה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</vt:lpwstr>
  </property>
  <property fmtid="{D5CDD505-2E9C-101B-9397-08002B2CF9AE}" pid="59" name="PADIDATE">
    <vt:lpwstr>20190722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2564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410120190718</vt:lpwstr>
  </property>
  <property fmtid="{D5CDD505-2E9C-101B-9397-08002B2CF9AE}" pid="69" name="TYPE_N_DATE">
    <vt:lpwstr>41020190718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