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2579/20</w:t>
            </w:r>
          </w:p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4344/20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2579/20</w:t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והמשיבה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4344/20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/>
                <w:rtl w:val="true"/>
              </w:rPr>
              <w:t>המשיב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2579/20</w:t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והמערער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4344/20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גפן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אוחנה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שכנגד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50553-10-18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10.3.2020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>'</w:t>
            </w:r>
            <w:r>
              <w:rPr>
                <w:sz w:val="24"/>
                <w:sz w:val="24"/>
                <w:szCs w:val="24"/>
                <w:rtl w:val="true"/>
              </w:rPr>
              <w:t>ורג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אזולאי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4568"/>
        <w:gridCol w:w="565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56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19.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2021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56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2579/20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4344/20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חתוקה</w:t>
            </w:r>
          </w:p>
          <w:p>
            <w:pPr>
              <w:pStyle w:val="BodyRuller1"/>
              <w:ind w:end="0"/>
              <w:jc w:val="start"/>
              <w:rPr>
                <w:sz w:val="10"/>
                <w:szCs w:val="16"/>
              </w:rPr>
            </w:pPr>
            <w:r>
              <w:rPr>
                <w:sz w:val="10"/>
                <w:szCs w:val="16"/>
                <w:rtl w:val="true"/>
              </w:rPr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2579/20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4344/20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יאיר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נדשי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413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452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מופלג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מאופיינת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באכזריות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אכזרית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המעצורים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לתלישת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אוזן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ממקומה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3,000</w:t>
      </w:r>
      <w:r>
        <w:rPr>
          <w:rFonts w:cs="FrankRuehl"/>
          <w:sz w:val="24"/>
          <w:szCs w:val="26"/>
          <w:rtl w:val="true"/>
        </w:rPr>
        <w:t xml:space="preserve"> ₪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30,000</w:t>
      </w:r>
      <w:r>
        <w:rPr>
          <w:rFonts w:cs="FrankRuehl"/>
          <w:sz w:val="24"/>
          <w:szCs w:val="26"/>
          <w:rtl w:val="true"/>
        </w:rPr>
        <w:t xml:space="preserve"> ₪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בזדון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שהטילה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הבולטת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נקמנות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אירוסיו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לשעבר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שתלש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אוזנו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באכזריות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זכוכית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נכנס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אגרופים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ובבטנו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לפריקת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כעסיו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ותסכולו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מופלגת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מסוכנות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להתנהגותו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ושכל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חטאו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באירוסיו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הנקמה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מצביע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בעתיד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תדיר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הנקמה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התנהלותו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רסן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ואימפולסיבי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והסלימו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תלישתה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בשלמותה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אוזנו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שהטיל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אכזריות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בהשוואה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מופלג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מאופיינת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באכזריות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אכזרית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המעצורים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לתלישת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אוזן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ממקומה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האכזריות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המאפיינת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אוזנו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שבוצעה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במפתיע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התגרות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הנקמני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בבסיסה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להוסיף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המסוכנות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ברכושו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מעניק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הוסט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ממסלולו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ולחשיבות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בהרתעתו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אזולאי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10.3.2020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50553-10-18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4344/20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tl w:val="true"/>
        </w:rPr>
        <w:t xml:space="preserve">)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2579/20</w:t>
      </w:r>
      <w:r>
        <w:rPr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המערער הורשע ביום </w:t>
      </w:r>
      <w:r>
        <w:rPr/>
        <w:t>7.1.2020</w:t>
      </w:r>
      <w:r>
        <w:rPr>
          <w:rtl w:val="true"/>
        </w:rPr>
        <w:t xml:space="preserve"> </w:t>
      </w:r>
      <w:r>
        <w:rPr>
          <w:rtl w:val="true"/>
        </w:rPr>
        <w:t>בעבירות חבלה בכוונה מחמירה</w:t>
      </w:r>
      <w:r>
        <w:rPr>
          <w:rtl w:val="true"/>
        </w:rPr>
        <w:t xml:space="preserve">, </w:t>
      </w:r>
      <w:r>
        <w:rPr>
          <w:rtl w:val="true"/>
        </w:rPr>
        <w:t xml:space="preserve">חבלה במזיד ברכב והיזק בזדון לפי </w:t>
      </w:r>
      <w:hyperlink r:id="rId8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9">
        <w:r>
          <w:rPr>
            <w:rStyle w:val="Hyperlink"/>
          </w:rPr>
          <w:t>413</w:t>
        </w:r>
        <w:r>
          <w:rPr>
            <w:rStyle w:val="Hyperlink"/>
            <w:rtl w:val="true"/>
          </w:rPr>
          <w:t>ה</w:t>
        </w:r>
      </w:hyperlink>
      <w:r>
        <w:rPr>
          <w:rtl w:val="true"/>
        </w:rPr>
        <w:t xml:space="preserve"> ו</w:t>
      </w:r>
      <w:r>
        <w:rPr>
          <w:rtl w:val="true"/>
        </w:rPr>
        <w:t>-</w:t>
      </w:r>
      <w:hyperlink r:id="rId10">
        <w:r>
          <w:rPr>
            <w:rStyle w:val="Hyperlink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במאפיה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, </w:t>
      </w:r>
      <w:r>
        <w:rPr>
          <w:rtl w:val="true"/>
        </w:rPr>
        <w:t>והקשר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eastAsia="Arial TUR;Arial" w:cs="Arial TUR;Arial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</w:t>
      </w:r>
      <w:r>
        <w:rPr>
          <w:rtl w:val="true"/>
        </w:rPr>
        <w:t xml:space="preserve">'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להינשא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' </w:t>
      </w:r>
      <w:r>
        <w:rPr>
          <w:rtl w:val="true"/>
        </w:rPr>
        <w:t>בעין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יפה</w:t>
      </w:r>
      <w:r>
        <w:rPr>
          <w:rtl w:val="true"/>
        </w:rPr>
        <w:t xml:space="preserve">, </w:t>
      </w:r>
      <w:r>
        <w:rPr>
          <w:rtl w:val="true"/>
        </w:rPr>
        <w:t>והחליט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12.10.2018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במאפיה</w:t>
      </w:r>
      <w:r>
        <w:rPr>
          <w:rtl w:val="true"/>
        </w:rPr>
        <w:t xml:space="preserve">, </w:t>
      </w:r>
      <w:r>
        <w:rPr>
          <w:rtl w:val="true"/>
        </w:rPr>
        <w:t>קפץ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נעץ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באוזנו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שתלש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ממקומה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".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השומר</w:t>
      </w:r>
      <w:r>
        <w:rPr>
          <w:rtl w:val="true"/>
        </w:rPr>
        <w:t xml:space="preserve">, </w:t>
      </w:r>
      <w:r>
        <w:rPr>
          <w:rtl w:val="true"/>
        </w:rPr>
        <w:t>והמאבטח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הזכוכית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באגרופים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מהמאפיה</w:t>
      </w:r>
      <w:r>
        <w:rPr>
          <w:rtl w:val="true"/>
        </w:rPr>
        <w:t xml:space="preserve">. </w:t>
      </w:r>
      <w:r>
        <w:rPr>
          <w:rtl w:val="true"/>
        </w:rPr>
        <w:t>בדרכו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המשאית</w:t>
      </w:r>
      <w:r>
        <w:rPr>
          <w:rtl w:val="true"/>
        </w:rPr>
        <w:t xml:space="preserve">, </w:t>
      </w:r>
      <w:r>
        <w:rPr>
          <w:rtl w:val="true"/>
        </w:rPr>
        <w:t>ירד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ברזל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הקדמית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והאחורית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בית המשפט המחוזי ראה במעשיו של המערער פגיעה נדירה בחומרתה ובאכזריותה בשורת ערכים מוגנים</w:t>
      </w:r>
      <w:r>
        <w:rPr>
          <w:rtl w:val="true"/>
        </w:rPr>
        <w:t xml:space="preserve">, </w:t>
      </w:r>
      <w:r>
        <w:rPr>
          <w:rtl w:val="true"/>
        </w:rPr>
        <w:t>בהם הזכות לשלמות הגוף</w:t>
      </w:r>
      <w:r>
        <w:rPr>
          <w:rtl w:val="true"/>
        </w:rPr>
        <w:t xml:space="preserve">, </w:t>
      </w:r>
      <w:r>
        <w:rPr>
          <w:rtl w:val="true"/>
        </w:rPr>
        <w:t>הזכות לחיים והזכות לקניין</w:t>
      </w:r>
      <w:r>
        <w:rPr>
          <w:rtl w:val="true"/>
        </w:rPr>
        <w:t xml:space="preserve">. </w:t>
      </w:r>
      <w:r>
        <w:rPr>
          <w:rtl w:val="true"/>
        </w:rPr>
        <w:t>עוד נקבע כי הפגיעה הייתה חמורה משהמעשים הותירו את המתלונן עם נכות צמיתה קשה ביותר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בפני בית משפט קמא הונח תסקיר נפגע עבירה בעניינו של המתלונן</w:t>
      </w:r>
      <w:r>
        <w:rPr>
          <w:rtl w:val="true"/>
        </w:rPr>
        <w:t xml:space="preserve">, </w:t>
      </w:r>
      <w:r>
        <w:rPr>
          <w:rtl w:val="true"/>
        </w:rPr>
        <w:t>וכן מכתבים מאת המתלונן והוריו</w:t>
      </w:r>
      <w:r>
        <w:rPr>
          <w:rtl w:val="true"/>
        </w:rPr>
        <w:t xml:space="preserve">. </w:t>
      </w:r>
      <w:r>
        <w:rPr>
          <w:rtl w:val="true"/>
        </w:rPr>
        <w:t>ממסמכים אלה עולה כי מעשי המערער גרמו למתלונן לנזקים קשים ביותר</w:t>
      </w:r>
      <w:r>
        <w:rPr>
          <w:rtl w:val="true"/>
        </w:rPr>
        <w:t xml:space="preserve">. </w:t>
      </w:r>
      <w:r>
        <w:rPr>
          <w:rtl w:val="true"/>
        </w:rPr>
        <w:t>על פי התסקיר והמכתבים</w:t>
      </w:r>
      <w:r>
        <w:rPr>
          <w:rtl w:val="true"/>
        </w:rPr>
        <w:t xml:space="preserve">, </w:t>
      </w:r>
      <w:r>
        <w:rPr>
          <w:rtl w:val="true"/>
        </w:rPr>
        <w:t>המתלונן עבר ניתוח לתפירת האוזן</w:t>
      </w:r>
      <w:r>
        <w:rPr>
          <w:rtl w:val="true"/>
        </w:rPr>
        <w:t xml:space="preserve">, </w:t>
      </w:r>
      <w:r>
        <w:rPr>
          <w:rtl w:val="true"/>
        </w:rPr>
        <w:t>ואולם האוזן לא נקלטה</w:t>
      </w:r>
      <w:r>
        <w:rPr>
          <w:rtl w:val="true"/>
        </w:rPr>
        <w:t xml:space="preserve">. </w:t>
      </w:r>
      <w:r>
        <w:rPr>
          <w:rtl w:val="true"/>
        </w:rPr>
        <w:t>מאז עבר המתלונן מספר ניתוחים נוספים</w:t>
      </w:r>
      <w:r>
        <w:rPr>
          <w:rtl w:val="true"/>
        </w:rPr>
        <w:t xml:space="preserve">. </w:t>
      </w:r>
      <w:r>
        <w:rPr>
          <w:rtl w:val="true"/>
        </w:rPr>
        <w:t>לדברי המתלונן</w:t>
      </w:r>
      <w:r>
        <w:rPr>
          <w:rtl w:val="true"/>
        </w:rPr>
        <w:t xml:space="preserve">, </w:t>
      </w:r>
      <w:r>
        <w:rPr>
          <w:rtl w:val="true"/>
        </w:rPr>
        <w:t>הוא אינו יוצא מביתו ללא ליווי אחד מהוריו מאז האירוע</w:t>
      </w:r>
      <w:r>
        <w:rPr>
          <w:rtl w:val="true"/>
        </w:rPr>
        <w:t xml:space="preserve">, </w:t>
      </w:r>
      <w:r>
        <w:rPr>
          <w:rtl w:val="true"/>
        </w:rPr>
        <w:t>ואביו עזב את עבודתו לתקופה של כשנה בשל הצורך להשגיח עליו</w:t>
      </w:r>
      <w:r>
        <w:rPr>
          <w:rtl w:val="true"/>
        </w:rPr>
        <w:t xml:space="preserve">. </w:t>
      </w:r>
      <w:r>
        <w:rPr>
          <w:rtl w:val="true"/>
        </w:rPr>
        <w:t>משפחת המתלונן סובלת מקשיים כלכליים עקב הפסקת עבודתו של אביו</w:t>
      </w:r>
      <w:r>
        <w:rPr>
          <w:rtl w:val="true"/>
        </w:rPr>
        <w:t xml:space="preserve">. </w:t>
      </w:r>
      <w:r>
        <w:rPr>
          <w:rtl w:val="true"/>
        </w:rPr>
        <w:t>בשל מצבו הפיזי והנפשי הירוד</w:t>
      </w:r>
      <w:r>
        <w:rPr>
          <w:rtl w:val="true"/>
        </w:rPr>
        <w:t xml:space="preserve">, </w:t>
      </w:r>
      <w:r>
        <w:rPr>
          <w:rtl w:val="true"/>
        </w:rPr>
        <w:t>ובשל חשש מפגיעה חוזרת מצד המערער</w:t>
      </w:r>
      <w:r>
        <w:rPr>
          <w:rtl w:val="true"/>
        </w:rPr>
        <w:t xml:space="preserve">, </w:t>
      </w:r>
      <w:r>
        <w:rPr>
          <w:rtl w:val="true"/>
        </w:rPr>
        <w:t>נפרד המתלונן מא</w:t>
      </w:r>
      <w:r>
        <w:rPr>
          <w:rtl w:val="true"/>
        </w:rPr>
        <w:t xml:space="preserve">' </w:t>
      </w:r>
      <w:r>
        <w:rPr>
          <w:rtl w:val="true"/>
        </w:rPr>
        <w:t>וביטל את חתונתם המתוכננת</w:t>
      </w:r>
      <w:r>
        <w:rPr>
          <w:rtl w:val="true"/>
        </w:rPr>
        <w:t xml:space="preserve">. </w:t>
      </w:r>
      <w:r>
        <w:rPr>
          <w:rtl w:val="true"/>
        </w:rPr>
        <w:t>עוד עולה מן התסקיר כי המתלונן אובחן כסובל מתסמונת דיכאונית</w:t>
      </w:r>
      <w:r>
        <w:rPr>
          <w:rtl w:val="true"/>
        </w:rPr>
        <w:t>-</w:t>
      </w:r>
      <w:r>
        <w:rPr>
          <w:rtl w:val="true"/>
        </w:rPr>
        <w:t>חרדתית</w:t>
      </w:r>
      <w:r>
        <w:rPr>
          <w:rtl w:val="true"/>
        </w:rPr>
        <w:t xml:space="preserve">, </w:t>
      </w:r>
      <w:r>
        <w:rPr>
          <w:rtl w:val="true"/>
        </w:rPr>
        <w:t>מתקשה בוויסות רגשי מאז האירוע ואף קיבל טיפול תרופתי</w:t>
      </w:r>
      <w:r>
        <w:rPr>
          <w:rtl w:val="true"/>
        </w:rPr>
        <w:t xml:space="preserve">. </w:t>
      </w:r>
      <w:r>
        <w:rPr>
          <w:rtl w:val="true"/>
        </w:rPr>
        <w:t>שירות המבחן ציין כי הפגיעה הפיזית נראית לעין</w:t>
      </w:r>
      <w:r>
        <w:rPr>
          <w:rtl w:val="true"/>
        </w:rPr>
        <w:t xml:space="preserve">, </w:t>
      </w:r>
      <w:r>
        <w:rPr>
          <w:rtl w:val="true"/>
        </w:rPr>
        <w:t>והעריך כי היא גרמה לנזק בדימוי הגוף של המתלונן וכתוצאה מכך לפגיעה בתפקודו היומיומי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בית משפט קמא מצא כי כלל העבירות בוצעו במסגרת תכנית עבריינית אחת</w:t>
      </w:r>
      <w:r>
        <w:rPr>
          <w:rtl w:val="true"/>
        </w:rPr>
        <w:t xml:space="preserve">, </w:t>
      </w:r>
      <w:r>
        <w:rPr>
          <w:rtl w:val="true"/>
        </w:rPr>
        <w:t>ובהתאם קבע מתחם עונש הולם כולל</w:t>
      </w:r>
      <w:r>
        <w:rPr>
          <w:rtl w:val="true"/>
        </w:rPr>
        <w:t xml:space="preserve">, </w:t>
      </w:r>
      <w:r>
        <w:rPr>
          <w:rtl w:val="true"/>
        </w:rPr>
        <w:t>לכל העבירות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העמיד את מתחם העונש ההולם על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בעת גזירת העונש בתוך המתחם</w:t>
      </w:r>
      <w:r>
        <w:rPr>
          <w:rtl w:val="true"/>
        </w:rPr>
        <w:t xml:space="preserve">, </w:t>
      </w:r>
      <w:r>
        <w:rPr>
          <w:rtl w:val="true"/>
        </w:rPr>
        <w:t>נתן בית המשפט דעתו על הנסיבות המשפחתיות הקשות של המערער</w:t>
      </w:r>
      <w:r>
        <w:rPr>
          <w:rtl w:val="true"/>
        </w:rPr>
        <w:t xml:space="preserve">. </w:t>
      </w:r>
      <w:r>
        <w:rPr>
          <w:rtl w:val="true"/>
        </w:rPr>
        <w:t>כן נתן בית המשפט דעתו על עברו הפלילי</w:t>
      </w:r>
      <w:r>
        <w:rPr>
          <w:rtl w:val="true"/>
        </w:rPr>
        <w:t xml:space="preserve">, </w:t>
      </w:r>
      <w:r>
        <w:rPr>
          <w:rtl w:val="true"/>
        </w:rPr>
        <w:t>הכולל שלוש הרשעות</w:t>
      </w:r>
      <w:r>
        <w:rPr>
          <w:rtl w:val="true"/>
        </w:rPr>
        <w:t xml:space="preserve">, </w:t>
      </w:r>
      <w:r>
        <w:rPr>
          <w:rtl w:val="true"/>
        </w:rPr>
        <w:t xml:space="preserve">בהן הרשעה בביצוע עבירות של חדירה לחומר מחשב ופעולות אסורות בתוכנה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המחשב</w:t>
      </w:r>
      <w:r>
        <w:rPr>
          <w:rtl w:val="true"/>
        </w:rPr>
        <w:t xml:space="preserve">), </w:t>
      </w:r>
      <w:r>
        <w:rPr>
          <w:rtl w:val="true"/>
        </w:rPr>
        <w:t>עבירות שבוצעו</w:t>
      </w:r>
      <w:r>
        <w:rPr>
          <w:rtl w:val="true"/>
        </w:rPr>
        <w:t xml:space="preserve">, </w:t>
      </w:r>
      <w:r>
        <w:rPr>
          <w:rtl w:val="true"/>
        </w:rPr>
        <w:t xml:space="preserve">על פי פסק הדין שניתן בעניין בשנת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ממניע נקמני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מצא בית המשפט המחוזי להתחשב בשיקולי הרתעה ובצורך להעביר מסר לפיו לא ניתן להשלים עם פתרון סכסוכים באלימות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גזר בית המשפט את דינו של המערער כאמור 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וכן למאסר מותנה</w:t>
      </w:r>
      <w:r>
        <w:rPr>
          <w:rtl w:val="true"/>
        </w:rPr>
        <w:t xml:space="preserve">, </w:t>
      </w:r>
      <w:r>
        <w:rPr>
          <w:rtl w:val="true"/>
        </w:rPr>
        <w:t>קנס ופיצויים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4344/20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הערעור הופנה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הן כלפי הרשעת המערער והן כלפי חומרת העונש</w:t>
      </w:r>
      <w:r>
        <w:rPr>
          <w:rtl w:val="true"/>
        </w:rPr>
        <w:t xml:space="preserve">. </w:t>
      </w:r>
      <w:r>
        <w:rPr>
          <w:rtl w:val="true"/>
        </w:rPr>
        <w:t>בעקבות הערותינו במהלך הדיון</w:t>
      </w:r>
      <w:r>
        <w:rPr>
          <w:rtl w:val="true"/>
        </w:rPr>
        <w:t xml:space="preserve">, </w:t>
      </w:r>
      <w:r>
        <w:rPr>
          <w:rtl w:val="true"/>
        </w:rPr>
        <w:t>חזר בו המערער מן הערעור ביחס להכרעת הדין</w:t>
      </w:r>
      <w:r>
        <w:rPr>
          <w:rtl w:val="true"/>
        </w:rPr>
        <w:t xml:space="preserve">. </w:t>
      </w:r>
      <w:r>
        <w:rPr>
          <w:rtl w:val="true"/>
        </w:rPr>
        <w:t>ערעורו מתמקד כעת בחומרת העונש שנגזר עליו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נטען כי מתחם העונש ההולם אשר נקבע בעניינו של המערער שגוי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בית משפט קמא לא העניק משקל לכך שבמהלך אירוע גרימת החבלה</w:t>
      </w:r>
      <w:r>
        <w:rPr>
          <w:rtl w:val="true"/>
        </w:rPr>
        <w:t xml:space="preserve">, </w:t>
      </w:r>
      <w:r>
        <w:rPr>
          <w:rtl w:val="true"/>
        </w:rPr>
        <w:t>לא נעשה שימוש בכלי נשק</w:t>
      </w:r>
      <w:r>
        <w:rPr>
          <w:rtl w:val="true"/>
        </w:rPr>
        <w:t xml:space="preserve">; </w:t>
      </w:r>
      <w:r>
        <w:rPr>
          <w:rtl w:val="true"/>
        </w:rPr>
        <w:t>כי העונשים הנהוגים בעבירת חבלה בכוונה מחמירה בנסיבות שבהן לא נעשה שימוש בנשק הם קלים יותר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מזה אשר נגזר על המערער</w:t>
      </w:r>
      <w:r>
        <w:rPr>
          <w:rtl w:val="true"/>
        </w:rPr>
        <w:t xml:space="preserve">; </w:t>
      </w:r>
      <w:r>
        <w:rPr>
          <w:rtl w:val="true"/>
        </w:rPr>
        <w:t>וכי בעבר נקבעו מתחמי ענישה מקלים יותר ביחס לנאשמים אשר גרמו לחבלה חמורה תוך שימוש בנשק</w:t>
      </w:r>
      <w:r>
        <w:rPr>
          <w:rtl w:val="true"/>
        </w:rPr>
        <w:t xml:space="preserve">, </w:t>
      </w:r>
      <w:r>
        <w:rPr>
          <w:rtl w:val="true"/>
        </w:rPr>
        <w:t>בנסיבות שהן לשיטתו חמורות יותר מאלה בהן ביצע המערער את המעשים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ביחס לגזירת העונש בתוך המתחם</w:t>
      </w:r>
      <w:r>
        <w:rPr>
          <w:rtl w:val="true"/>
        </w:rPr>
        <w:t xml:space="preserve">, </w:t>
      </w:r>
      <w:r>
        <w:rPr>
          <w:rtl w:val="true"/>
        </w:rPr>
        <w:t>נטען כי שגה בית המשפט המחוזי כאשר לא ייחס משקל לתקופת המעצר הממושכת בה שהה המערער עד למתן גזר הדין</w:t>
      </w:r>
      <w:r>
        <w:rPr>
          <w:rtl w:val="true"/>
        </w:rPr>
        <w:t xml:space="preserve">; </w:t>
      </w:r>
      <w:r>
        <w:rPr>
          <w:rtl w:val="true"/>
        </w:rPr>
        <w:t>כי היה מקום לייחס משקל לדברי החרטה שהביע המערער בחקירתו במשטרה</w:t>
      </w:r>
      <w:r>
        <w:rPr>
          <w:rtl w:val="true"/>
        </w:rPr>
        <w:t xml:space="preserve">; </w:t>
      </w:r>
      <w:r>
        <w:rPr>
          <w:rtl w:val="true"/>
        </w:rPr>
        <w:t xml:space="preserve">וכי לא היה מקום לייחס משקל לתסקיר שנערך בעניינו בתיק עבירות המחשב משנת </w:t>
      </w:r>
      <w:r>
        <w:rPr/>
        <w:t>2010</w:t>
      </w:r>
      <w:r>
        <w:rPr>
          <w:rtl w:val="true"/>
        </w:rPr>
        <w:t xml:space="preserve">. </w:t>
      </w:r>
      <w:r>
        <w:rPr>
          <w:rtl w:val="true"/>
        </w:rPr>
        <w:t xml:space="preserve">עוד נטען כי ניתן משקל רב מדי לשיקולי הרתעה </w:t>
      </w:r>
      <w:r>
        <w:rPr>
          <w:rtl w:val="true"/>
        </w:rPr>
        <w:t>–</w:t>
      </w:r>
      <w:r>
        <w:rPr>
          <w:rtl w:val="true"/>
        </w:rPr>
        <w:t xml:space="preserve"> הן הרתעת המערער והן הרתעת הרבים </w:t>
      </w:r>
      <w:r>
        <w:rPr>
          <w:rtl w:val="true"/>
        </w:rPr>
        <w:t>–</w:t>
      </w:r>
      <w:r>
        <w:rPr>
          <w:rtl w:val="true"/>
        </w:rPr>
        <w:t xml:space="preserve"> שעה שבית המשפט לא פירט כיצד הטלת העונש תביא להרתעה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2579/20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בערעורה</w:t>
      </w:r>
      <w:r>
        <w:rPr>
          <w:rtl w:val="true"/>
        </w:rPr>
        <w:t xml:space="preserve">, </w:t>
      </w:r>
      <w:r>
        <w:rPr>
          <w:rtl w:val="true"/>
        </w:rPr>
        <w:t>טוענת המדינה כי מתחם העונש שנקבע על ידי בית המשפט המחוזי נמוך</w:t>
      </w:r>
      <w:r>
        <w:rPr>
          <w:rtl w:val="true"/>
        </w:rPr>
        <w:t xml:space="preserve">, </w:t>
      </w:r>
      <w:r>
        <w:rPr>
          <w:rtl w:val="true"/>
        </w:rPr>
        <w:t>וכי גם העונש אשר נגזר על המערער בגדרו של מתחם זה חורג לקולא ממתחמי הענישה המקובלים בנסיבות דומות</w:t>
      </w:r>
      <w:r>
        <w:rPr>
          <w:rtl w:val="true"/>
        </w:rPr>
        <w:t xml:space="preserve">. </w:t>
      </w:r>
      <w:r>
        <w:rPr>
          <w:rtl w:val="true"/>
        </w:rPr>
        <w:t xml:space="preserve">נטען כי מתחם ענישה בן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שנקבע על ידי בית המשפט המחוזי</w:t>
      </w:r>
      <w:r>
        <w:rPr>
          <w:rtl w:val="true"/>
        </w:rPr>
        <w:t xml:space="preserve">, </w:t>
      </w:r>
      <w:r>
        <w:rPr>
          <w:rtl w:val="true"/>
        </w:rPr>
        <w:t>חוטא לעיקרון ההלימה</w:t>
      </w:r>
      <w:r>
        <w:rPr>
          <w:rtl w:val="true"/>
        </w:rPr>
        <w:t xml:space="preserve">, </w:t>
      </w:r>
      <w:r>
        <w:rPr>
          <w:rtl w:val="true"/>
        </w:rPr>
        <w:t xml:space="preserve">וכי היה מקום לקבוע מתחם עונש של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; </w:t>
      </w:r>
      <w:r>
        <w:rPr>
          <w:rtl w:val="true"/>
        </w:rPr>
        <w:t>כי המתחם שנקבע אינו נותן ביטוי לנסיבות ביצוע העבירות ולערכים המוגנים שנפגעו</w:t>
      </w:r>
      <w:r>
        <w:rPr>
          <w:rtl w:val="true"/>
        </w:rPr>
        <w:t xml:space="preserve">; </w:t>
      </w:r>
      <w:r>
        <w:rPr>
          <w:rtl w:val="true"/>
        </w:rPr>
        <w:t>וכי גם גזירת עונש הקרוב לרבע מהעונש המרבי הקבוע לעבירה אינה הולמת את טיב הנזקים שנגרמו למתלונן</w:t>
      </w:r>
      <w:r>
        <w:rPr>
          <w:rtl w:val="true"/>
        </w:rPr>
        <w:t xml:space="preserve">. </w:t>
      </w:r>
      <w:r>
        <w:rPr>
          <w:rtl w:val="true"/>
        </w:rPr>
        <w:t>עוד נטען כי לא ניתן די משקל למסוכנותו של המערער כפי שמשתקפת מן המעשים בהם הורשע</w:t>
      </w:r>
      <w:r>
        <w:rPr>
          <w:rtl w:val="true"/>
        </w:rPr>
        <w:t xml:space="preserve">; </w:t>
      </w:r>
      <w:r>
        <w:rPr>
          <w:rtl w:val="true"/>
        </w:rPr>
        <w:t>וכי עברו הפלילי מלמד אף הוא על דפוסי אישיות נקמניים וחסרי מעצורים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טוענת המדינה כי היה מקום לגזור על המערער עונש מאסר מחמיר יותר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בדיון לפנינו</w:t>
      </w:r>
      <w:r>
        <w:rPr>
          <w:rtl w:val="true"/>
        </w:rPr>
        <w:t xml:space="preserve">, </w:t>
      </w:r>
      <w:r>
        <w:rPr>
          <w:rtl w:val="true"/>
        </w:rPr>
        <w:t>הדגישה באת כוח המדינה את הנזקים הקשים והמרובים אשר נגרמו למתלונן</w:t>
      </w:r>
      <w:r>
        <w:rPr>
          <w:rtl w:val="true"/>
        </w:rPr>
        <w:t xml:space="preserve">, </w:t>
      </w:r>
      <w:r>
        <w:rPr>
          <w:rtl w:val="true"/>
        </w:rPr>
        <w:t xml:space="preserve">שהפך לדבריה להיות </w:t>
      </w:r>
      <w:r>
        <w:rPr>
          <w:rtl w:val="true"/>
        </w:rPr>
        <w:t>"</w:t>
      </w:r>
      <w:r>
        <w:rPr>
          <w:rtl w:val="true"/>
        </w:rPr>
        <w:t>צל של אדם</w:t>
      </w:r>
      <w:r>
        <w:rPr>
          <w:rtl w:val="true"/>
        </w:rPr>
        <w:t xml:space="preserve">". </w:t>
      </w:r>
      <w:r>
        <w:rPr>
          <w:rtl w:val="true"/>
        </w:rPr>
        <w:t>עוד טענה</w:t>
      </w:r>
      <w:r>
        <w:rPr>
          <w:rtl w:val="true"/>
        </w:rPr>
        <w:t xml:space="preserve">, </w:t>
      </w:r>
      <w:r>
        <w:rPr>
          <w:rtl w:val="true"/>
        </w:rPr>
        <w:t>כי הפיצוי שנגזר על המערער טרם שולם</w:t>
      </w:r>
      <w:r>
        <w:rPr>
          <w:rtl w:val="true"/>
        </w:rPr>
        <w:t xml:space="preserve">, </w:t>
      </w:r>
      <w:r>
        <w:rPr>
          <w:rtl w:val="true"/>
        </w:rPr>
        <w:t>חרף היותו דרוש למתלונן על מנת לשקם את חייו</w:t>
      </w:r>
      <w:r>
        <w:rPr>
          <w:rtl w:val="true"/>
        </w:rPr>
        <w:t xml:space="preserve">. </w:t>
      </w:r>
      <w:r>
        <w:rPr>
          <w:rtl w:val="true"/>
        </w:rPr>
        <w:t>בא כוח המערער שב והפנה לענישה מקלה שהוטלה בעניינם של מי שהורשעו בביצוע עבירות דומות</w:t>
      </w:r>
      <w:r>
        <w:rPr>
          <w:rtl w:val="true"/>
        </w:rPr>
        <w:t xml:space="preserve">, </w:t>
      </w:r>
      <w:r>
        <w:rPr>
          <w:rtl w:val="true"/>
        </w:rPr>
        <w:t>בנסיבות חמורות יותר לכאורה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לאחר עיון בערעורים על נספחיהם</w:t>
      </w:r>
      <w:r>
        <w:rPr>
          <w:rtl w:val="true"/>
        </w:rPr>
        <w:t xml:space="preserve">, </w:t>
      </w:r>
      <w:r>
        <w:rPr>
          <w:rtl w:val="true"/>
        </w:rPr>
        <w:t>ולאחר שמיעת טענות הצדדים</w:t>
      </w:r>
      <w:r>
        <w:rPr>
          <w:rtl w:val="true"/>
        </w:rPr>
        <w:t xml:space="preserve">, </w:t>
      </w:r>
      <w:r>
        <w:rPr>
          <w:rtl w:val="true"/>
        </w:rPr>
        <w:t>הגענו לכלל מסקנה כי דין ערעור המדינה להתקבל</w:t>
      </w:r>
      <w:r>
        <w:rPr>
          <w:rtl w:val="true"/>
        </w:rPr>
        <w:t xml:space="preserve">. </w:t>
      </w:r>
      <w:r>
        <w:rPr>
          <w:rtl w:val="true"/>
        </w:rPr>
        <w:t>מאליו מובן</w:t>
      </w:r>
      <w:r>
        <w:rPr>
          <w:rtl w:val="true"/>
        </w:rPr>
        <w:t xml:space="preserve">, </w:t>
      </w:r>
      <w:r>
        <w:rPr>
          <w:rtl w:val="true"/>
        </w:rPr>
        <w:t>כי ערעור המערער נדחה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הלכה פסוקה היא כי ערכאת הערעור לא תתערב בעונש שהטילה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בנסיבות חריגות שבהן נפלה בגזר דינה של הערכאה הדיונית טעות מהותית הבולטת על פניה או שהעונש חורג באופן קיצוני מרמת הענישה המקובלת או הראויה בנסיבות דומות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3498/19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זרבאילוב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(</w:t>
      </w:r>
      <w:r>
        <w:rPr/>
        <w:t>15.9.2020</w:t>
      </w:r>
      <w:r>
        <w:rPr>
          <w:rtl w:val="true"/>
        </w:rPr>
        <w:t xml:space="preserve">)).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מצאנו כי העונש שנגזר על המערער בענייננו בא בגדר אותם מצבים חריגים</w:t>
      </w:r>
      <w:r>
        <w:rPr>
          <w:rtl w:val="true"/>
        </w:rPr>
        <w:t xml:space="preserve">. </w:t>
      </w:r>
      <w:r>
        <w:rPr>
          <w:rtl w:val="true"/>
        </w:rPr>
        <w:t>גזר דינו של בית המשפט המחוזי לא נתן משקל מספק לחומרת המעשים בהם הורשע המערער</w:t>
      </w:r>
      <w:r>
        <w:rPr>
          <w:rtl w:val="true"/>
        </w:rPr>
        <w:t xml:space="preserve">, </w:t>
      </w:r>
      <w:r>
        <w:rPr>
          <w:rtl w:val="true"/>
        </w:rPr>
        <w:t>לתוצאתם הקשה</w:t>
      </w:r>
      <w:r>
        <w:rPr>
          <w:rtl w:val="true"/>
        </w:rPr>
        <w:t xml:space="preserve">, </w:t>
      </w:r>
      <w:r>
        <w:rPr>
          <w:rtl w:val="true"/>
        </w:rPr>
        <w:t>לנסיבות ביצועם</w:t>
      </w:r>
      <w:r>
        <w:rPr>
          <w:rtl w:val="true"/>
        </w:rPr>
        <w:t xml:space="preserve">, </w:t>
      </w:r>
      <w:r>
        <w:rPr>
          <w:rtl w:val="true"/>
        </w:rPr>
        <w:t>ובמיוחד לאכזריות וחייתיות המעשים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לא ניתן דיי משקל למניע אשר עמד ברקע למעשים וכן לצורך בהרתעת המערער מהתנהגות דומה בעתיד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מהכרעת הדין ומגזר הדין שניתנו בבית המשפט המחוזי</w:t>
      </w:r>
      <w:r>
        <w:rPr>
          <w:rtl w:val="true"/>
        </w:rPr>
        <w:t xml:space="preserve">, </w:t>
      </w:r>
      <w:r>
        <w:rPr>
          <w:rtl w:val="true"/>
        </w:rPr>
        <w:t>עולה כי המערער תכנן את מעשה התקיפה וביצע את המעשים מתוך יצר של נקמנות</w:t>
      </w:r>
      <w:r>
        <w:rPr>
          <w:rtl w:val="true"/>
        </w:rPr>
        <w:t xml:space="preserve">, </w:t>
      </w:r>
      <w:r>
        <w:rPr>
          <w:rtl w:val="true"/>
        </w:rPr>
        <w:t>ומפני שלא יכול היה לשאת את עובדת אירוסיו של המתלונן לבת זוגו לשעבר</w:t>
      </w:r>
      <w:r>
        <w:rPr>
          <w:rtl w:val="true"/>
        </w:rPr>
        <w:t xml:space="preserve">. </w:t>
      </w:r>
      <w:r>
        <w:rPr>
          <w:rtl w:val="true"/>
        </w:rPr>
        <w:t>גם לאחר שתלש את אוזנו של המתלונן באכזריות רבה והיה מודע לתוצאת מעשהו</w:t>
      </w:r>
      <w:r>
        <w:rPr>
          <w:rtl w:val="true"/>
        </w:rPr>
        <w:t xml:space="preserve">, </w:t>
      </w:r>
      <w:r>
        <w:rPr>
          <w:rtl w:val="true"/>
        </w:rPr>
        <w:t>וגם לאחר שהמתלונן נס על נפשו מפניו</w:t>
      </w:r>
      <w:r>
        <w:rPr>
          <w:rtl w:val="true"/>
        </w:rPr>
        <w:t xml:space="preserve">, </w:t>
      </w:r>
      <w:r>
        <w:rPr>
          <w:rtl w:val="true"/>
        </w:rPr>
        <w:t>לא הרפה ממנו המערער</w:t>
      </w:r>
      <w:r>
        <w:rPr>
          <w:rtl w:val="true"/>
        </w:rPr>
        <w:t xml:space="preserve">. </w:t>
      </w:r>
      <w:r>
        <w:rPr>
          <w:rtl w:val="true"/>
        </w:rPr>
        <w:t>הוא שבר את זכוכית העמדה בה הסתתר המתלונן באמצעות מוט</w:t>
      </w:r>
      <w:r>
        <w:rPr>
          <w:rtl w:val="true"/>
        </w:rPr>
        <w:t xml:space="preserve">, </w:t>
      </w:r>
      <w:r>
        <w:rPr>
          <w:rtl w:val="true"/>
        </w:rPr>
        <w:t>נכנס לעמדה ותקף אותו באמצעות אגרופים בפניו ובבטנו</w:t>
      </w:r>
      <w:r>
        <w:rPr>
          <w:rtl w:val="true"/>
        </w:rPr>
        <w:t xml:space="preserve">. </w:t>
      </w:r>
      <w:r>
        <w:rPr>
          <w:rtl w:val="true"/>
        </w:rPr>
        <w:t>גם רכבו של המתלונן שימש יעד לפריקת כעסיו ותסכולו של המערער</w:t>
      </w:r>
      <w:r>
        <w:rPr>
          <w:rtl w:val="true"/>
        </w:rPr>
        <w:t xml:space="preserve">. </w:t>
      </w:r>
      <w:r>
        <w:rPr>
          <w:rtl w:val="true"/>
        </w:rPr>
        <w:t>העובדה שיצר נקמה כזה</w:t>
      </w:r>
      <w:r>
        <w:rPr>
          <w:rtl w:val="true"/>
        </w:rPr>
        <w:t xml:space="preserve">, </w:t>
      </w:r>
      <w:r>
        <w:rPr>
          <w:rtl w:val="true"/>
        </w:rPr>
        <w:t>יש בו כדי להניע אדם לבצע פעולת חבלה כה מופלגת בחומרתה</w:t>
      </w:r>
      <w:r>
        <w:rPr>
          <w:rtl w:val="true"/>
        </w:rPr>
        <w:t xml:space="preserve">, </w:t>
      </w:r>
      <w:r>
        <w:rPr>
          <w:rtl w:val="true"/>
        </w:rPr>
        <w:t>מעידה על מסוכנות רבה</w:t>
      </w:r>
      <w:r>
        <w:rPr>
          <w:rtl w:val="true"/>
        </w:rPr>
        <w:t xml:space="preserve">, </w:t>
      </w:r>
      <w:r>
        <w:rPr>
          <w:rtl w:val="true"/>
        </w:rPr>
        <w:t>בפרט בהתחשב בכך שהמתלונן לא עשה דבר שהוביל להתנהגותו האלימה של המערער</w:t>
      </w:r>
      <w:r>
        <w:rPr>
          <w:rtl w:val="true"/>
        </w:rPr>
        <w:t xml:space="preserve">, </w:t>
      </w:r>
      <w:r>
        <w:rPr>
          <w:rtl w:val="true"/>
        </w:rPr>
        <w:t>ושכל חטאו התמצה באירוסיו למי שהייתה בת זוגו לשעבר של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מצאנו בהקשר זה לדחות מכל וכל את טענת בא כוח המערער</w:t>
      </w:r>
      <w:r>
        <w:rPr>
          <w:rtl w:val="true"/>
        </w:rPr>
        <w:t xml:space="preserve">, </w:t>
      </w:r>
      <w:r>
        <w:rPr>
          <w:rtl w:val="true"/>
        </w:rPr>
        <w:t>כאילו לא הוצגו נימוקים המצדיקים החמרה עם המערער מטעמי הרתעה</w:t>
      </w:r>
      <w:r>
        <w:rPr>
          <w:rtl w:val="true"/>
        </w:rPr>
        <w:t xml:space="preserve">. </w:t>
      </w:r>
      <w:r>
        <w:rPr>
          <w:rtl w:val="true"/>
        </w:rPr>
        <w:t>מניע הנקמה העומד בבסיס מעשה החבלה החמור</w:t>
      </w:r>
      <w:r>
        <w:rPr>
          <w:rtl w:val="true"/>
        </w:rPr>
        <w:t xml:space="preserve">, </w:t>
      </w:r>
      <w:r>
        <w:rPr>
          <w:rtl w:val="true"/>
        </w:rPr>
        <w:t xml:space="preserve">מצביע על המשקל הרב שיש לייחס לשיקול הרתעת המערער מהתנהגות דומה בעתיד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9965/17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29.4.2018</w:t>
      </w:r>
      <w:r>
        <w:rPr>
          <w:rtl w:val="true"/>
        </w:rPr>
        <w:t xml:space="preserve">)). </w:t>
      </w:r>
      <w:r>
        <w:rPr>
          <w:rtl w:val="true"/>
        </w:rPr>
        <w:t>הדברים נכונים ביתר שאת</w:t>
      </w:r>
      <w:r>
        <w:rPr>
          <w:rtl w:val="true"/>
        </w:rPr>
        <w:t xml:space="preserve">, </w:t>
      </w:r>
      <w:r>
        <w:rPr>
          <w:rtl w:val="true"/>
        </w:rPr>
        <w:t>שעה שהמערער מונע תדיר מיצר הנקמה עד כי דומה כי מניע זה שולט במערער בכלל התנהלותו</w:t>
      </w:r>
      <w:r>
        <w:rPr>
          <w:rtl w:val="true"/>
        </w:rPr>
        <w:t xml:space="preserve">. </w:t>
      </w:r>
      <w:r>
        <w:rPr>
          <w:rtl w:val="true"/>
        </w:rPr>
        <w:t xml:space="preserve">הדבר בא לידי ביטוי בביצוע העבירות בתיק המחשבים בו הורשע המערער בעבר </w:t>
      </w:r>
      <w:r>
        <w:rPr>
          <w:rtl w:val="true"/>
        </w:rPr>
        <w:t>–</w:t>
      </w:r>
      <w:r>
        <w:rPr>
          <w:rtl w:val="true"/>
        </w:rPr>
        <w:t xml:space="preserve"> שגם אז הונע המערער ממניע של נקמה</w:t>
      </w:r>
      <w:r>
        <w:rPr>
          <w:rtl w:val="true"/>
        </w:rPr>
        <w:t xml:space="preserve">. </w:t>
      </w:r>
      <w:r>
        <w:rPr>
          <w:rtl w:val="true"/>
        </w:rPr>
        <w:t>מכל זאת</w:t>
      </w:r>
      <w:r>
        <w:rPr>
          <w:rtl w:val="true"/>
        </w:rPr>
        <w:t xml:space="preserve">, </w:t>
      </w:r>
      <w:r>
        <w:rPr>
          <w:rtl w:val="true"/>
        </w:rPr>
        <w:t>עולה דמותו של המערער כאדם אלים</w:t>
      </w:r>
      <w:r>
        <w:rPr>
          <w:rtl w:val="true"/>
        </w:rPr>
        <w:t xml:space="preserve">, </w:t>
      </w:r>
      <w:r>
        <w:rPr>
          <w:rtl w:val="true"/>
        </w:rPr>
        <w:t>חסר רסן ואימפולסיבי</w:t>
      </w:r>
      <w:r>
        <w:rPr>
          <w:rtl w:val="true"/>
        </w:rPr>
        <w:t xml:space="preserve">, </w:t>
      </w:r>
      <w:r>
        <w:rPr>
          <w:rtl w:val="true"/>
        </w:rPr>
        <w:t>אשר פועל מתוך יצר נקמה בלתי נשלט ושמעשיו הלכו והסלימו עם השנים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 אין לטעמנו ממש בטענה כי העובדה שהמערער לא עשה שימוש בנשק בעת תלישתה בשלמותה של אוזנו של המתלונן</w:t>
      </w:r>
      <w:r>
        <w:rPr>
          <w:rtl w:val="true"/>
        </w:rPr>
        <w:t xml:space="preserve">, </w:t>
      </w:r>
      <w:r>
        <w:rPr>
          <w:rtl w:val="true"/>
        </w:rPr>
        <w:t>אלא השתמש בשיניו על מנת להטיל בו את המום</w:t>
      </w:r>
      <w:r>
        <w:rPr>
          <w:rtl w:val="true"/>
        </w:rPr>
        <w:t xml:space="preserve">, </w:t>
      </w:r>
      <w:r>
        <w:rPr>
          <w:rtl w:val="true"/>
        </w:rPr>
        <w:t>מהווה נסיבה מקלה כלשהי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השימוש בשיניים על מנת להטיל מום מהסוג שהטיל המערער במתלונן מעיד על אכזריות מיוחדת</w:t>
      </w:r>
      <w:r>
        <w:rPr>
          <w:rtl w:val="true"/>
        </w:rPr>
        <w:t xml:space="preserve">, </w:t>
      </w:r>
      <w:r>
        <w:rPr>
          <w:rtl w:val="true"/>
        </w:rPr>
        <w:t>אף בהשוואה להטלת מום דומה באמצעות נשק</w:t>
      </w:r>
      <w:r>
        <w:rPr>
          <w:rtl w:val="true"/>
        </w:rPr>
        <w:t xml:space="preserve">. </w:t>
      </w:r>
      <w:r>
        <w:rPr>
          <w:rtl w:val="true"/>
        </w:rPr>
        <w:t>החומרה הטמונה בשימוש בנשק לצורכי תקיפה נעוצה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בעובדה ששימוש כזה עשוי להגדיל את הנזקים הנגזרים מהתקיפה</w:t>
      </w:r>
      <w:r>
        <w:rPr>
          <w:rtl w:val="true"/>
        </w:rPr>
        <w:t xml:space="preserve">. </w:t>
      </w:r>
      <w:r>
        <w:rPr>
          <w:rtl w:val="true"/>
        </w:rPr>
        <w:t>עצם בחירתו של אדם שלא להשתמש בכלי נשק בעת תקיפה אינה יכולה להוות נסיבה מקלה משמעותית</w:t>
      </w:r>
      <w:r>
        <w:rPr>
          <w:rtl w:val="true"/>
        </w:rPr>
        <w:t xml:space="preserve">, </w:t>
      </w:r>
      <w:r>
        <w:rPr>
          <w:rtl w:val="true"/>
        </w:rPr>
        <w:t>אם הנזק שנגרם בסופו של דבר הוא כה מופלג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גם תקיפה באמצעות איברי גוף בלבד</w:t>
      </w:r>
      <w:r>
        <w:rPr>
          <w:rtl w:val="true"/>
        </w:rPr>
        <w:t xml:space="preserve">, </w:t>
      </w:r>
      <w:r>
        <w:rPr>
          <w:rtl w:val="true"/>
        </w:rPr>
        <w:t>יכול שתהיה מאופיינת באכזריות רבה</w:t>
      </w:r>
      <w:r>
        <w:rPr>
          <w:rtl w:val="true"/>
        </w:rPr>
        <w:t xml:space="preserve">, </w:t>
      </w:r>
      <w:r>
        <w:rPr>
          <w:rtl w:val="true"/>
        </w:rPr>
        <w:t>ולמעשה בנסיבות מסוימות יתכן כי תקיפה כזו אף תהיה אכזרית במיוחד</w:t>
      </w:r>
      <w:r>
        <w:rPr>
          <w:rtl w:val="true"/>
        </w:rPr>
        <w:t xml:space="preserve">, </w:t>
      </w:r>
      <w:r>
        <w:rPr>
          <w:rtl w:val="true"/>
        </w:rPr>
        <w:t xml:space="preserve">בשל אופייה החייתי וחסר המעצורים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7167/02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ריאבקין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9.6.2003</w:t>
      </w:r>
      <w:r>
        <w:rPr>
          <w:rtl w:val="true"/>
        </w:rPr>
        <w:t xml:space="preserve">)).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בפרט בהינתן שהתקיפה גרמה לתלישת האוזן ממקומה</w:t>
      </w:r>
      <w:r>
        <w:rPr>
          <w:rtl w:val="true"/>
        </w:rPr>
        <w:t xml:space="preserve">, </w:t>
      </w:r>
      <w:r>
        <w:rPr>
          <w:rtl w:val="true"/>
        </w:rPr>
        <w:t>נזק חמור ביותר לכל הדעות</w:t>
      </w:r>
      <w:r>
        <w:rPr>
          <w:rtl w:val="true"/>
        </w:rPr>
        <w:t xml:space="preserve">, </w:t>
      </w:r>
      <w:r>
        <w:rPr>
          <w:rtl w:val="true"/>
        </w:rPr>
        <w:t xml:space="preserve">אשר יכול היה להיגרם גם תוך שימוש בנשק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15">
        <w:r>
          <w:rPr>
            <w:rStyle w:val="Hyperlink"/>
          </w:rPr>
          <w:t>5307/17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חלאג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12.7.2018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חלאג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)). </w:t>
      </w:r>
      <w:r>
        <w:rPr>
          <w:rtl w:val="true"/>
        </w:rPr>
        <w:t>האכזריות המאפיינת תקיפה הכוללת את תלישת אוזנו של המתלונן באמצעות השיניים בלבד</w:t>
      </w:r>
      <w:r>
        <w:rPr>
          <w:rtl w:val="true"/>
        </w:rPr>
        <w:t xml:space="preserve">, </w:t>
      </w:r>
      <w:r>
        <w:rPr>
          <w:rtl w:val="true"/>
        </w:rPr>
        <w:t>אשר בוצעה במפתיע</w:t>
      </w:r>
      <w:r>
        <w:rPr>
          <w:rtl w:val="true"/>
        </w:rPr>
        <w:t xml:space="preserve">, </w:t>
      </w:r>
      <w:r>
        <w:rPr>
          <w:rtl w:val="true"/>
        </w:rPr>
        <w:t>ללא התגרות ובפרט נוכח המניע הנקמני שעמד בבסיס תכנונה</w:t>
      </w:r>
      <w:r>
        <w:rPr>
          <w:rtl w:val="true"/>
        </w:rPr>
        <w:t xml:space="preserve">, </w:t>
      </w:r>
      <w:r>
        <w:rPr>
          <w:rtl w:val="true"/>
        </w:rPr>
        <w:t>מצדיקה אם כן אף היא החמרה בעונשו של 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לכל זאת יש להוסיף</w:t>
      </w:r>
      <w:r>
        <w:rPr>
          <w:rtl w:val="true"/>
        </w:rPr>
        <w:t xml:space="preserve">, </w:t>
      </w:r>
      <w:r>
        <w:rPr>
          <w:rtl w:val="true"/>
        </w:rPr>
        <w:t>כי המערער לא הורשע בעבירת חבלה בכוונה מחמירה בלבד</w:t>
      </w:r>
      <w:r>
        <w:rPr>
          <w:rtl w:val="true"/>
        </w:rPr>
        <w:t xml:space="preserve">, </w:t>
      </w:r>
      <w:r>
        <w:rPr>
          <w:rtl w:val="true"/>
        </w:rPr>
        <w:t>כי אם גם בעבירות של חבלה במזיד ברכב ושל היזק בזדון</w:t>
      </w:r>
      <w:r>
        <w:rPr>
          <w:rtl w:val="true"/>
        </w:rPr>
        <w:t xml:space="preserve">, </w:t>
      </w:r>
      <w:r>
        <w:rPr>
          <w:rtl w:val="true"/>
        </w:rPr>
        <w:t>אשר גם בהן יש כדי ללמד על המסוכנות הנשקפת ממנו</w:t>
      </w:r>
      <w:r>
        <w:rPr>
          <w:rtl w:val="true"/>
        </w:rPr>
        <w:t xml:space="preserve">. </w:t>
      </w:r>
      <w:r>
        <w:rPr>
          <w:rtl w:val="true"/>
        </w:rPr>
        <w:t>לא מצאנו כי בית משפט קמא העניק דיי משקל לכך שהמערער לא הסתפק בהטלת מום במתלונן</w:t>
      </w:r>
      <w:r>
        <w:rPr>
          <w:rtl w:val="true"/>
        </w:rPr>
        <w:t xml:space="preserve">, </w:t>
      </w:r>
      <w:r>
        <w:rPr>
          <w:rtl w:val="true"/>
        </w:rPr>
        <w:t>אלא המשיך במסע ההרס ובחר לחבל ברכושו של המתלונן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מן המקובץ עולה כי העונש שנגזר על המערער אינו מעניק ביטוי הולם לנסיבות ביצוע העבירות</w:t>
      </w:r>
      <w:r>
        <w:rPr>
          <w:rtl w:val="true"/>
        </w:rPr>
        <w:t xml:space="preserve">, </w:t>
      </w:r>
      <w:r>
        <w:rPr>
          <w:rtl w:val="true"/>
        </w:rPr>
        <w:t>לתוצאה הקשה שנגרמה למתלונן שמסלול חייו הוסט ממסלולו בעקבות פגיעתו הרעה של המערער</w:t>
      </w:r>
      <w:r>
        <w:rPr>
          <w:rtl w:val="true"/>
        </w:rPr>
        <w:t xml:space="preserve">, </w:t>
      </w:r>
      <w:r>
        <w:rPr>
          <w:rtl w:val="true"/>
        </w:rPr>
        <w:t>למניע שהוביל את המערער לבצע את המעשים וכן לחשיבות בהרתעתו</w:t>
      </w:r>
      <w:r>
        <w:rPr>
          <w:rtl w:val="true"/>
        </w:rPr>
        <w:t xml:space="preserve">. </w:t>
      </w:r>
      <w:r>
        <w:rPr>
          <w:rtl w:val="true"/>
        </w:rPr>
        <w:t>משמצאנו כי העונש חורג ממדיניות הענישה הנוהגת והראויה</w:t>
      </w:r>
      <w:r>
        <w:rPr>
          <w:rtl w:val="true"/>
        </w:rPr>
        <w:t xml:space="preserve">, </w:t>
      </w:r>
      <w:r>
        <w:rPr>
          <w:rtl w:val="true"/>
        </w:rPr>
        <w:t xml:space="preserve">בעבירות בהן הורשע המערער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חלאג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7701/14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16.5.2016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8855/12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אלזידאה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24.12.2013</w:t>
      </w:r>
      <w:r>
        <w:rPr>
          <w:rtl w:val="true"/>
        </w:rPr>
        <w:t xml:space="preserve">)), </w:t>
      </w:r>
      <w:r>
        <w:rPr>
          <w:rtl w:val="true"/>
        </w:rPr>
        <w:t>ראינו להחמיר בעונשו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לאור מכלול השיקולים שפורטו</w:t>
      </w:r>
      <w:r>
        <w:rPr>
          <w:rtl w:val="true"/>
        </w:rPr>
        <w:t xml:space="preserve">, </w:t>
      </w:r>
      <w:r>
        <w:rPr>
          <w:rtl w:val="true"/>
        </w:rPr>
        <w:t>בשים לב לכך שערכאת הערעור אינה נוהגת למצות את הדין</w:t>
      </w:r>
      <w:r>
        <w:rPr>
          <w:rtl w:val="true"/>
        </w:rPr>
        <w:t xml:space="preserve">, </w:t>
      </w:r>
      <w:r>
        <w:rPr>
          <w:rtl w:val="true"/>
        </w:rPr>
        <w:t>ובשים לב לכך שהמערער נטל לבסוף אחריות על אשר עשה</w:t>
      </w:r>
      <w:r>
        <w:rPr>
          <w:rtl w:val="true"/>
        </w:rPr>
        <w:t xml:space="preserve">, </w:t>
      </w:r>
      <w:r>
        <w:rPr>
          <w:rtl w:val="true"/>
        </w:rPr>
        <w:t>החלטנו לקבל את ערעור המדינה ביחס לרכיב המאסר בעונשו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ולהעמיד את עונשו על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יתר חלקי גזר הדין יעמדו בעינם</w:t>
      </w:r>
      <w:r>
        <w:rPr>
          <w:rtl w:val="true"/>
        </w:rPr>
        <w:t xml:space="preserve">. </w:t>
      </w:r>
      <w:r>
        <w:rPr>
          <w:rtl w:val="true"/>
        </w:rPr>
        <w:t>ערעור המערער נדחה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bookmarkStart w:id="17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בסיוון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13.5.2021</w:t>
      </w:r>
      <w:r>
        <w:rPr>
          <w:rFonts w:cs="Century" w:ascii="Century" w:hAnsi="Century"/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20025790</w:t>
      </w:r>
      <w:r>
        <w:rPr>
          <w:sz w:val="16"/>
          <w:rtl w:val="true"/>
        </w:rPr>
        <w:t>_</w:t>
      </w:r>
      <w:r>
        <w:rPr>
          <w:sz w:val="16"/>
        </w:rPr>
        <w:t>Q05.docx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8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ג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קרא </w:t>
      </w:r>
      <w:r>
        <w:rPr>
          <w:rFonts w:cs="David" w:ascii="David" w:hAnsi="David"/>
          <w:color w:val="000000"/>
          <w:szCs w:val="22"/>
        </w:rPr>
        <w:t>54678313-2579/20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2579/20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גפן אוחנה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0"/>
        <w:szCs w:val="2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sz w:val="20"/>
      <w:szCs w:val="20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/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07331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29.a.1" TargetMode="External"/><Relationship Id="rId5" Type="http://schemas.openxmlformats.org/officeDocument/2006/relationships/hyperlink" Target="http://www.nevo.co.il/law/70301/413e" TargetMode="External"/><Relationship Id="rId6" Type="http://schemas.openxmlformats.org/officeDocument/2006/relationships/hyperlink" Target="http://www.nevo.co.il/law/70301/452" TargetMode="External"/><Relationship Id="rId7" Type="http://schemas.openxmlformats.org/officeDocument/2006/relationships/hyperlink" Target="http://www.nevo.co.il/case/25073312" TargetMode="External"/><Relationship Id="rId8" Type="http://schemas.openxmlformats.org/officeDocument/2006/relationships/hyperlink" Target="http://www.nevo.co.il/law/70301/329.a.1" TargetMode="External"/><Relationship Id="rId9" Type="http://schemas.openxmlformats.org/officeDocument/2006/relationships/hyperlink" Target="http://www.nevo.co.il/law/70301/413e" TargetMode="External"/><Relationship Id="rId10" Type="http://schemas.openxmlformats.org/officeDocument/2006/relationships/hyperlink" Target="http://www.nevo.co.il/law/70301/45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5723369" TargetMode="External"/><Relationship Id="rId13" Type="http://schemas.openxmlformats.org/officeDocument/2006/relationships/hyperlink" Target="http://www.nevo.co.il/case/23751289" TargetMode="External"/><Relationship Id="rId14" Type="http://schemas.openxmlformats.org/officeDocument/2006/relationships/hyperlink" Target="http://www.nevo.co.il/case/5799611" TargetMode="External"/><Relationship Id="rId15" Type="http://schemas.openxmlformats.org/officeDocument/2006/relationships/hyperlink" Target="http://www.nevo.co.il/case/22797351" TargetMode="External"/><Relationship Id="rId16" Type="http://schemas.openxmlformats.org/officeDocument/2006/relationships/hyperlink" Target="http://www.nevo.co.il/case/18653966" TargetMode="External"/><Relationship Id="rId17" Type="http://schemas.openxmlformats.org/officeDocument/2006/relationships/hyperlink" Target="http://www.nevo.co.il/case/5581334" TargetMode="External"/><Relationship Id="rId18" Type="http://schemas.openxmlformats.org/officeDocument/2006/relationships/hyperlink" Target="https://supreme.court.gov.il/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2021-05-18T09:46:00Z</dcterms:created>
  <dc:creator>h4</dc:creator>
  <dc:description/>
  <cp:keywords/>
  <dc:language>en-IL</dc:language>
  <cp:lastModifiedBy>orly</cp:lastModifiedBy>
  <cp:lastPrinted>2021-05-13T16:02:00Z</cp:lastPrinted>
  <dcterms:modified xsi:type="dcterms:W3CDTF">2021-05-18T09:46:00Z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גפן אוחנה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25073312:2;25723369;23751289;5799611;22797351;18653966;5581334</vt:lpwstr>
  </property>
  <property fmtid="{D5CDD505-2E9C-101B-9397-08002B2CF9AE}" pid="9" name="CITY">
    <vt:lpwstr/>
  </property>
  <property fmtid="{D5CDD505-2E9C-101B-9397-08002B2CF9AE}" pid="10" name="DATE">
    <vt:lpwstr>20210513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ג' קרא;ד' מינץ;ע' גרוסקופף</vt:lpwstr>
  </property>
  <property fmtid="{D5CDD505-2E9C-101B-9397-08002B2CF9AE}" pid="14" name="LAWLISTTMP1">
    <vt:lpwstr>70301/329.a.1;413e;452</vt:lpwstr>
  </property>
  <property fmtid="{D5CDD505-2E9C-101B-9397-08002B2CF9AE}" pid="15" name="LAWYER">
    <vt:lpwstr>יאיר נדשי;שרית חתוקה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דיון פלילי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ערעור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1446;1446;504</vt:lpwstr>
  </property>
  <property fmtid="{D5CDD505-2E9C-101B-9397-08002B2CF9AE}" pid="48" name="NOSE31">
    <vt:lpwstr>מדיניות ענישה: עבירות אלימות</vt:lpwstr>
  </property>
  <property fmtid="{D5CDD505-2E9C-101B-9397-08002B2CF9AE}" pid="49" name="NOSE310">
    <vt:lpwstr/>
  </property>
  <property fmtid="{D5CDD505-2E9C-101B-9397-08002B2CF9AE}" pid="50" name="NOSE32">
    <vt:lpwstr>שיקולי ענישה</vt:lpwstr>
  </property>
  <property fmtid="{D5CDD505-2E9C-101B-9397-08002B2CF9AE}" pid="51" name="NOSE33">
    <vt:lpwstr>התערבות במידת העונש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8984;15506;15230</vt:lpwstr>
  </property>
  <property fmtid="{D5CDD505-2E9C-101B-9397-08002B2CF9AE}" pid="59" name="PADIDATE">
    <vt:lpwstr>20210518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2579;4344</vt:lpwstr>
  </property>
  <property fmtid="{D5CDD505-2E9C-101B-9397-08002B2CF9AE}" pid="65" name="PROCYEAR">
    <vt:lpwstr>20;20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410120210513</vt:lpwstr>
  </property>
  <property fmtid="{D5CDD505-2E9C-101B-9397-08002B2CF9AE}" pid="69" name="TYPE_N_DATE">
    <vt:lpwstr>41020210513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