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2581/19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2651/19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2581/19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2651/19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2581/19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2651/19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שכנגד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15477-07-17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רפי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כרמי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ושירלי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426"/>
        <w:gridCol w:w="707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42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18.11.</w:t>
            </w:r>
            <w:r>
              <w:rPr>
                <w:sz w:val="24"/>
                <w:szCs w:val="24"/>
              </w:rPr>
              <w:t>2019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70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2581/19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2651/19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ברהום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2581/19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2651/19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פינקלשטיין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</w:rPr>
          <w:t>245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355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40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יד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פסק כי עונש המאסר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שהושת על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2581/19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הרשעתו בביצוע עבירות מין בשתי קטינות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אחת מהן בת 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נותן ביטוי למכלול הנסיבות לחומרה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וחורג ממדיניות הענישה הנוהגת במידה המצדיקה התערבות מתונה כך שהמערער ירצה </w:t>
      </w:r>
      <w:r>
        <w:rPr>
          <w:rFonts w:cs="Times New Roman" w:ascii="Times New Roman" w:hAnsi="Times New Roman"/>
          <w:spacing w:val="0"/>
          <w:sz w:val="24"/>
          <w:szCs w:val="26"/>
        </w:rPr>
        <w:t>6.5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הפיצוי שנפסק הוגדל נוכח הצורך בטיפול בקטינות ובהיותו חורג ממדיניות הענישה הראויה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דרכי ענישה – פיצויים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2581/19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והמשיב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2651/19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הורשע בביצוע מעשים מגונים בשתי קטינות שטרם מלאו להן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 בהסכמתן החופשית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כשאחת מהן בת 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בעבירה של הדחה בחקירה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בשל כך נדון המערער לעונש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מותנה ופיצוי למתלוננות בסך כולל של </w:t>
      </w:r>
      <w:r>
        <w:rPr>
          <w:rFonts w:cs="Times New Roman" w:ascii="Times New Roman" w:hAnsi="Times New Roman"/>
          <w:spacing w:val="0"/>
          <w:sz w:val="24"/>
          <w:szCs w:val="26"/>
        </w:rPr>
        <w:t>47,000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ערער על חומרת העונש והמדינה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המערערת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2651/19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והמשיבה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2581/19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מערערת על קולתו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קרא ובהסכמת השופטים מזוז וגרוסקופף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2581/19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2651/19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 במקרים חריגים תתערב ערכאת הערעור במידת העונש שנגזר בערכאה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שבו נפלה טעות מהותית בגזר דין או כאשר העונש שנגזר חורג באופן בולט ממדיניות הענישה הנוהגת או הראויה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 עונשו של המערער נוטה לקולה וחורג ממדיניות הענישה הנוהגת והראויה במידה המצדיקה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 נפסק אודות הצורך במדיניות ענישה מחמירה כלפי מי שמבצע עבירות מין בקטינים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כל שכן בקטינים בני 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מתוך רצון לבטא סלידה חברתית מעבירות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הכרה בנזקים החמורים שמסבות עבירות אלו והאינטרס הציבורי בהרתעת עבריינים פוטנציאליים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עניינו של המערער מאופיין במצבור נסיבות המחייבות החמרת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במעשים מגונים ברף חומרה גבוה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 בוצעו במי שהיתה באותה עת בתו החורגת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הפרת בטחונה האישי על ידי מי שאמור היה לדאוג לשלומה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ביצע במתלוננת עבירות מין בגילאים שבהם החלה התפתחותה המינית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במעשים שביצע המערער לאורך מספר שנים ובשתי קטינות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 דרדרו את מצבה הנפשי של המתלוננת וזרעו הרס בחייה ובחיי משפחתה כולה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למתלוננת השניה נגרם נזק נפשי משמעותי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ביצע גם עבירה של הדחה בחקירה בניסיון להדוף מעליו את הסיכון שבחקירה ובדין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נוסף על כל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בעבירות לגביהן קבע המחוקק עונש מזערי כעונש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העומד על רבע העונש המירבי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 האמור עולה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 של המערער מקל יתר על המידה ואינו נותן ביטוי למכלול נסיבות חומרה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משבוצעו המעשים לאורך שנים יש ליתן משקל מוגבל לנסיבת העדר עבר פלילי ומן העבר 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 העבירות בשתי קטינות מעיד על המסוכנות הנשקפת מהמערער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גם אין מקום ליתן משקל נוסף להרס התא המשפחתי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משזו תולדה ישירה וטבעית של מעשיו הקשים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מקום להקלה בעונש בטענה כי מעשי המערער לא לוו באלימות או בסחיטה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האמור יש הצדקה להחמרה מתונה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הכלל לפיו אין ערכאת הערעור ממצה את מלוא חומרת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ובהתחשב בשינוי לרעה במצבו הבריאותי של המערער לאחר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ובמשמעות החיובית שיש בחזרתו מהערעור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 בה ראשית של נטילת אחריות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עונשו של המערער יועמד על </w:t>
      </w:r>
      <w:r>
        <w:rPr>
          <w:rFonts w:cs="Times New Roman" w:ascii="Times New Roman" w:hAnsi="Times New Roman"/>
          <w:spacing w:val="0"/>
          <w:sz w:val="24"/>
          <w:szCs w:val="26"/>
        </w:rPr>
        <w:t>6.5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מתקיים החריג להימנעות ערכאת הערעור מלהתערב בשיקול דעת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כאשר נוכח הצורך בטיפול משמעותי הפיצוי שנפסק חורג שיעור הפיצוי ממדיניות הענישה הראויה ויש להעמידו על סך כולל של </w:t>
      </w:r>
      <w:r>
        <w:rPr>
          <w:rFonts w:cs="Times New Roman" w:ascii="Times New Roman" w:hAnsi="Times New Roman"/>
          <w:spacing w:val="0"/>
          <w:sz w:val="24"/>
          <w:szCs w:val="26"/>
        </w:rPr>
        <w:t>75,000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כרמל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b/>
          <w:b/>
          <w:spacing w:val="0"/>
          <w:sz w:val="28"/>
          <w:sz w:val="28"/>
          <w:rtl w:val="true"/>
        </w:rPr>
        <w:t>ו</w:t>
      </w:r>
      <w:r>
        <w:rPr>
          <w:rFonts w:cs="Century" w:ascii="Century" w:hAnsi="Century"/>
          <w:b/>
          <w:spacing w:val="0"/>
          <w:sz w:val="28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רנר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26.2.2019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תפ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15477-07-17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2581/19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והמשיב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2651/19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שמיעת 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בביצוע מעשים מגונים בשתי קטינות שטרם מלאו להן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בהסכמתן החופשית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כשאחת מהן בת 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בעבירה של הדחה בחקירה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בהתאמה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עבירות לפי 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בנסיבות 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עבירות לפי 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בנסיבות 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עבירה לפי 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בשל כך נדון המערער לעונש של חמש שנות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מאסר מותנה ופיצוי למתלוננות בסך כולל של </w:t>
      </w:r>
      <w:r>
        <w:rPr>
          <w:rFonts w:cs="Century" w:ascii="Century" w:hAnsi="Century"/>
        </w:rPr>
        <w:t>47,000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ערער על חומרת העונש והמדינה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המערערת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2651/19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והמשיבה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2581/19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מצידה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מערערת על קולתו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המחזיק שלושה אישומים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ייחס למערער עבירות של ניסיון מעשה סדום בקטינה בשבע הזדמנויות שונות ושל ומעשים מגונים רבים שביצע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פי הנטען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במשך שלוש שנים בבתה מנישואיה הקודמים של אשתו באותה עת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מאז היותה בת אחת עשרה ועד שמלאו לה ארבע עשרה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כמו כן יוחסו לו מספר עבירות של מעשים מגונים בחברתהּ של המתלוננת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ועבירה של הדחה בחקירה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כפר בכל המיוחס לו ולאחר שמיעת ראיות זוכה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מחמת הספק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מעבירות של ניסיון למעשה סדום במתלוננת והורשע בריבוי עבירות של מעשים מגונים בקטינה בת משפחה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שלא מלאו לה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ושלא בהסכמתה החופשית וביתר העבירות שיוחסו לו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כלפי שתי המתלוננות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בהכרעת הדין נקבע כי זיכויו של המערער מהעבירות של ניסיון מעשה הסדום מושתת על ספק בשאלה האם היה ניסיון חדירה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וספק אשר יוחס לתיאור מפי המתלוננת בשל גילה הצעיר בעת ההתרחשויות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שהודגש כי אין בכך כדי לגרוע ממהימנותה וכדי להקים ספק בכל הנוגע למעשים האחרים שביצע בה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בתמצית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תיאור מעשיו של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באישום הראשון הורשע המערער בכך שבשישה מקרים נשכב במיטה ליד המתלוננת לאחר שפשט את בגדיו בפלג גופו התחתון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הפשיל את תחתוניה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נצמד לגופה מאחור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ליטף את חזה ואת איבר מינה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חיבק אותה בחוזקה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התנועע והתנשף בעוד היא קופאת במקומה עד שהצליחה לחמוק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במקרה האחרון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נעמד המערער ליד המיטה כשהוא ערום בפלג גופו התחתון והורה למתלוננת להביט באיבר מינו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במקרה נוסף נצמד המערער לגופה של המתלוננת מאחור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כשהוא בתחתונים בלבד ובמספר רב של מקרים נהג המערער להתבונן במתלוננת בעת שהתקלחה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באישום השני הורשע המערער במעשים מגונים שביצע במתלוננת השניה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חברתה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בעת שהיתה כבת ארבע עשרה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בכך שבמועד לא ידוע נישק אותה בפיה ללא הסכמתה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במועד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חיבק המערער את המתלוננת השניה כשהוא לבוש בתחתונים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נישק אותה בפיה בניגוד לרצונה ונצמד לגופה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בנסותה לחמוק מהמערער מעדה על המיטה בחדר והמערער הצמיד את גופו לגופה ונישק אותה שוב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ובמספר הזדמנויות נוספות נגע בישבנה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באישום השלישי הורשע המערער בהדחה בחקירה בשל כך שלאחר שנודע לו על פתיחת חקירה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פנה אל אמה של המתלוננת ואשתו באותה 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כשהוא מפציר בה כי תגרום למתלוננות לפנות למשטרה ולטעון כי שיקרו והעלילו עליו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b/>
          <w:bCs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קבע מתחם עונש הולם לכל אחד מן האישומים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באישום הראשון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מספר חודשי מאסר בפועל עד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באישום השני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ומאסר מותנה עד מספר חודשי מאסר באישום השלישי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b/>
          <w:bCs/>
        </w:rPr>
      </w:pPr>
      <w:r>
        <w:rPr>
          <w:rFonts w:cs="Century" w:ascii="Century" w:hAnsi="Century"/>
          <w:b/>
          <w:bCs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בקביעת מתחמי הענישה בגין עבירות המין התייחס בית המשפט לערכים המוגנים שנפגעו במעשיו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למידת הפגיעה בהם ולמדיניות הענישה המגוונת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 לנסיבות של כל מקרה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עמד בית המשפט על נסיבות הקשורות בביצוע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 זה ביצוע המעשים במשך מספר שנים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פער הגילאים הגדול בינו לבין כל אחת מן המתלוננות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היות המתלוננת בתו החורגת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שעליה אמור היה להגן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וביצוע המעשים בבית 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מקום שהיה אמור להיות מוגן עבור המתלוננת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ביצוע המעשים במתלוננת השניה תוך מודעותו לנסיבות חייה הקשות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והפגיעה הקשה בשתי המתלוננת כעולה מתסקירי נפגעות העבירה שהוגשו לעיונו של בית המשפט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קבע עונש כולל כשבמכלול שיקוליו התייחס לזיכוי המערער מעבירות של ניסיון לביצוע מעשי סדום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להיעדר נטילת אחריות למעשים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לאחר שהורשע בביצועם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להיעדר עבר פלילי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לגילו 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שהיה בן </w:t>
      </w:r>
      <w:r>
        <w:rPr>
          <w:rFonts w:cs="Century" w:ascii="Century" w:hAnsi="Century"/>
        </w:rPr>
        <w:t>65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בעת גזירת הדין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לניתוק הקשר עם בנו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המשותף לו ולאמה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כתוצאה מן המעשים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צדדים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מלכתחילה הפנה המערער את ערעורו כלפי הכרעת הדין וכלפי גזר הדין גם יחד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לאחר הדיון שהתקיים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ולאור הערותינו חזר בו מערעורו על הכרעת הדין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בכל הנוגע לגזר הדין עתר המערער להקלה משמעותית בעונש המאסר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שהוא 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מפליג בחומרתו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קמא שגה בהתייחסו למדיניות הענישה הנוהגת משהמעשים בהם הורשע לא היו כרוכים בפגיעה פיזית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התרחשו על פני זמן רב ולא נלוו להם איומים או סחיטה</w:t>
      </w:r>
      <w:r>
        <w:rPr>
          <w:rFonts w:cs="Century" w:ascii="Century" w:hAnsi="Century"/>
          <w:rtl w:val="true"/>
        </w:rPr>
        <w:t xml:space="preserve">.  </w:t>
      </w:r>
      <w:r>
        <w:rPr>
          <w:rFonts w:ascii="Century" w:hAnsi="Century" w:cs="Century"/>
          <w:rtl w:val="true"/>
        </w:rPr>
        <w:t>עוד טען כי עבירת ההדחה בחקירה לא נעשתה בנסיבות מחמירות וכי הוא הורשע בביצועה בשל הרשעתו בעבירות המין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ביחס לפגיעה במתלוננות טען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השתיים סבלו מבעיות רגשיות ונפשיות עוד קודם לכן וקשה להפריד בין אלו לבין הנזק שנגרם להן בשל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הדגיש כי הוא נעדר עבר פלילי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בשל גילו המתקדם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כשהוא בן </w:t>
      </w:r>
      <w:r>
        <w:rPr>
          <w:rFonts w:cs="Century" w:ascii="Century" w:hAnsi="Century"/>
        </w:rPr>
        <w:t>65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קשה עליו השהייה בבית הכלא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הוא צפוי להשתחרר בגיל מבוגר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במהלך מאסרו עבר התקף לב שהצריך ניתוח דחוף והשתלת קוצב לב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היה מקום ליתן משקל להתפרקות התא המשפחתי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לניתוק מבנו הקטן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למצבו הכלכלי הקשה כמו גם לכך ששהה במעצר בפיקוח אלקטרוני במשך שנה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סברה כי עונשו של המערער אינו הולם את חומרת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נמוך באופן קיצוני וסוטה מפסיקתו של בית משפט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הראוי למערער בשל מעשיו הוא עונש מאסר ממושך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כפל העונש שהוטל עליו יחד עם הגדלת הפיצוי למתלוננות לכדי פיצוי משמעותי שיאפשר להן לשקם את חייהן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את עמדתה העונשית נימקה המדינה בחומרת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המצויים ברף העליון של המעשים המגונים משבוצעו בקטינה שהיתה בתו החורגת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חוזר ונשנה במשך שלוש שנים וכללו פגיעה בקטינה נוספת במספר הזדמנויות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בביצוע של עבירת הדחה בחקירה עם גילוי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המשקפת את אופיו העברייני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בנזק הנפשי העמוק שגרם המערער למתלוננות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כעולה מתסקירי נפגעות העבירה שהוגשו בעניינן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בהיעדר ביטוי עונשי לחובה להטיל עונש מזערי בכל עבירה ועבירה מעבירות המין שבהן הורשע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בביצוע מעשים מגונים בקטינה נוספת ועבירה של הדחה בחקירה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בצורך בהרתעה אישית כלפי המערער בשל מסוכנותו הנלמדת מכך שביצע את המעשים בשתי קטינות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בהעדר הנמקה בגזר הדין ביחס לאופן קביעת העונש הכולל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חרף הוראת 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sz w:val="24"/>
          <w:szCs w:val="24"/>
        </w:rPr>
      </w:pPr>
      <w:r>
        <w:rPr>
          <w:rFonts w:cs="Miriam" w:ascii="Century" w:hAnsi="Century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sz w:val="24"/>
          <w:szCs w:val="24"/>
        </w:rPr>
      </w:pPr>
      <w:r>
        <w:rPr>
          <w:rFonts w:ascii="Century" w:hAnsi="Century" w:cs="Miriam"/>
          <w:sz w:val="24"/>
          <w:sz w:val="24"/>
          <w:szCs w:val="24"/>
          <w:rtl w:val="true"/>
        </w:rPr>
        <w:t>דיון</w:t>
      </w:r>
      <w:r>
        <w:rPr>
          <w:rFonts w:ascii="Century" w:hAnsi="Century" w:eastAsia="Century" w:cs="Century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שעיינתי בטענות הצדדים בכתב ובעל 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בהכרעת הדין ובגזר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בתסקירי נפגעות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במכתבה של המתלוננת שהוגש במהלך הדיון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במסמכים הרפואיים שהוגשו בעניינה כמו גם במסמכים הרפואיים בעניינו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לחבריי לדחות את הערעור על חומרת העונש ולקבל את ערעור המדינה על קולתו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נקודת המוצא היא כי רק במקרים חריגים תתערב ערכאת הערעור במידת העונש שנגזר בערכאה הדיונית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חריגים אלו מתקיימים במקרה שבו נפלה טעות מהותית בגזר דין או כאשר העונש שנגזר חורג באופן בולט ממדיניות הענישה הנוהגת או הראויה במקרים דומים </w:t>
      </w:r>
      <w:r>
        <w:rPr>
          <w:rFonts w:cs="Century" w:ascii="Century" w:hAnsi="Century"/>
          <w:rtl w:val="true"/>
        </w:rPr>
        <w:t>(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2538/19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13.11.2019</w:t>
      </w:r>
      <w:r>
        <w:rPr>
          <w:rFonts w:cs="Century" w:ascii="Century" w:hAnsi="Century"/>
          <w:rtl w:val="true"/>
        </w:rPr>
        <w:t xml:space="preserve">); 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8290/16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28.11.2017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בעניין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באתי לכלל דעה כי עונשו של המערער נוטה לקולה וחורג ממדיניות הענישה הנוהגת והראויה במידה המצדיקה את התערבותנו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משפט זה חזר ועמד על הצורך במדיניות ענישה מחמירה כלפי מי שמבצע עבירות מין בקטינים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כל שכן בקטינים בני 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מתוך רצון לבטא סלידה חברתית מעבירות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הכרה בנזקים החמורים שמסבות עבירות אלו והאינטרס הציבורי בהרתעת עבריינים פוטנציאליים </w:t>
      </w:r>
      <w:r>
        <w:rPr>
          <w:rFonts w:cs="Century" w:ascii="Century" w:hAnsi="Century"/>
          <w:rtl w:val="true"/>
        </w:rPr>
        <w:t>(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2538/19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; 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8290/19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מדיניות עונשית זו באה לידי ביטוי בפסיקה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למשל</w:t>
      </w:r>
      <w:r>
        <w:rPr>
          <w:rFonts w:cs="Century" w:ascii="Century" w:hAnsi="Century"/>
          <w:rtl w:val="true"/>
        </w:rPr>
        <w:t xml:space="preserve">, 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2491/19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23.10.2019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שבו נדחה ערעור על חומרת עונש של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בהסדר טיעון בגין מעשים מגונים לאורך שנים בקטינה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בתה של בת זוגו של המערער באותו ענין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מאז היותה כבת עשר וחצי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וכך 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פ </w:t>
      </w:r>
      <w:r>
        <w:rPr>
          <w:rFonts w:cs="Century" w:ascii="Century" w:hAnsi="Century"/>
        </w:rPr>
        <w:t>8290/16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שבו הועמד עונשו של המשיב שם על </w:t>
      </w:r>
      <w:r>
        <w:rPr>
          <w:rFonts w:cs="Century" w:ascii="Century" w:hAnsi="Century"/>
        </w:rPr>
        <w:t>64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תחת </w:t>
      </w: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בגין מעשים מגונים שביצע המשיב בבתו ובאחייניתו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עניינו של המערער כאן מאופיין במצבור נסיבות המחייבות החמרת הענישה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 במעשים מגונים ברף חומרה גבוה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המעשים בוצעו במי שהיתה באותה עת בתו החורגת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הפרת בטחונה האישי בביתה שלה על ידי מי שאמור היה לדאוג לשלומה ולדרוש בטובתה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ביצע במתלוננת עבירות מין בגילאים שבהם החלה התפתחותה המינית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כל המשתמע מכך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רביעית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מדובר במקרה חד פעמי אלא במעשים שאותם ביצע המערער לאורך מספר שנים ובשתי קטינות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חמישית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הנזק הרב שהסב המערער לקטינות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מעשיו דרדרו את מצבה הנפשי של המתלוננת בצורה דרסטית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זרעו הרס וחורבן בנפשה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בחייה ובחיי משפחתה כולה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שעולה מתסקיר נפגעת 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מן המסמכים הרפואיים שהוגשו וממכתבה שהוגש לעיוננו עולה תיאור התמודדותה הנפשית שהשלכותיה נוגעות גם למצבה הבריאותי</w:t>
      </w:r>
      <w:r>
        <w:rPr>
          <w:rFonts w:cs="Century" w:ascii="Century" w:hAnsi="Century"/>
          <w:rtl w:val="true"/>
        </w:rPr>
        <w:t xml:space="preserve">- </w:t>
      </w:r>
      <w:r>
        <w:rPr>
          <w:rFonts w:ascii="Century" w:hAnsi="Century" w:cs="Century"/>
          <w:rtl w:val="true"/>
        </w:rPr>
        <w:t>הפיזי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 כל אלה כפה עליה המערער במעשיו ואלו רודפים אותה יום ולילה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שעה אחר שעה</w:t>
      </w:r>
      <w:r>
        <w:rPr>
          <w:rFonts w:cs="Century" w:ascii="Century" w:hAnsi="Century"/>
          <w:rtl w:val="true"/>
        </w:rPr>
        <w:t xml:space="preserve">.  </w:t>
      </w:r>
      <w:r>
        <w:rPr>
          <w:rFonts w:ascii="Century" w:hAnsi="Century" w:cs="Century"/>
          <w:rtl w:val="true"/>
        </w:rPr>
        <w:t>כך גם למתלוננת השניה נגרם נזק נפשי משמעותי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ושביעית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נוסף על עבירות המין ביצע המערער עבירה של הדחה בחקירה בניסיון להדוף מעליו את הסיכון שבחקירה ובדין הפלילי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נוסף על כל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 בעבירות לגביהן קבע המחוקק עונש מזערי כעונש חובה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העומד על רבע העונש המירבי </w:t>
      </w:r>
      <w:r>
        <w:rPr>
          <w:rFonts w:cs="Century" w:ascii="Century" w:hAnsi="Century"/>
          <w:rtl w:val="true"/>
        </w:rPr>
        <w:t>(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). 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עונשו של המערער מקל יתר על המידה ואינו נותן ביטוי למכלול נסיבות חומרה אלו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בהקשר זה יצוין כי משבוצעו המעשים לאורך שנים יש ליתן משקל מוגבל לנסיבת העדר עבר פלילי </w:t>
      </w:r>
      <w:r>
        <w:rPr>
          <w:rFonts w:cs="Century" w:ascii="Century" w:hAnsi="Century"/>
          <w:rtl w:val="true"/>
        </w:rPr>
        <w:t>(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7307/18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11.11.2019</w:t>
      </w:r>
      <w:r>
        <w:rPr>
          <w:rFonts w:cs="Century" w:ascii="Century" w:hAnsi="Century"/>
          <w:rtl w:val="true"/>
        </w:rPr>
        <w:t xml:space="preserve">)) </w:t>
      </w:r>
      <w:r>
        <w:rPr>
          <w:rFonts w:ascii="Century" w:hAnsi="Century" w:cs="Century"/>
          <w:rtl w:val="true"/>
        </w:rPr>
        <w:t>ומן העבר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ביצוע העבירות בשתי קטינות מעיד על המסוכנות הנשקפת מן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פ </w:t>
      </w:r>
      <w:r>
        <w:rPr>
          <w:rFonts w:cs="Century" w:ascii="Century" w:hAnsi="Century"/>
        </w:rPr>
        <w:t>8290/19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כך גם אין מקום ליתן משקל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מעבר לזה שכבר ניתן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להרס התא המשפחתי ולניתוק מבנו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המשותף לו ולאמה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משזו תולדה ישירה וטבעית של מעשיו הקשים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שתוצאתם מעגלי הרס רחבים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גם יש לדחות את הטענה כי מעשיו לא לוו באלימות או בסחיטה וכיוצא באלו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כנימוק להקלה בעונש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מעשיו של המערער קשים וחמורים גם מבלי נלוו אליהם מעשה אלימות פיסית או איום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מטבע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פגיעה בקטינות או בקטינים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כל שכן שעה שפגיעה זו נעשית בתוככי התא המשפחתי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פעמים רבות אינה מצריכה כל שימוש באלימות או באמצעי כפייה אחרים משדי בניצול פערי הכוחות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בגיל ובמעמד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ובמלכוד שבו נתונים נפגעי העבירה בשל השלכות המעשים עליהם כמו גם המשמעויות מרחיקות הלכת הכרוכות בחשיפת המעשים שנעשים בהם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להבטיח העדר התנגדות ושתיקה מצידם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אירע גם בעניינה של המתלוננת 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כל תימה בכך שמעשיו של המערער בה נחשפו רק לאחר שהוסיף וביצע עבירות מין גם בחברתה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המתלוננת השניה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קטינה שאינה בת משפחה שלא היתה נתונה במלכוד שבו היתה נתונה המתלוננת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ואשר פנייתה למתלוננת היא שהביאה לחשיפתם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אלה מצדיקים החמרה בעונשו של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ההחמרה בעונשו של המערער תהא החמרה מתונה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הכלל הנקוט בידינו ולפיו אין ערכאת הערעור ממצה את מלוא חומרת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בהתחשב בשינוי לרעה במצבו הבריאותי של המערער לאחר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שעולה מן המסמכים הרפואיים שהוגשו לעיוננו ובהתחשב במשמעות החיובית שיש בחזרתו מן הערעור על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שיש בה ראשיתה של נטילת אחריות כלפי המתלוננות ובייחוד כלפי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לחברי כי עונשו של המערער יועמד על שש וחצי שנות מאסר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גם בעניין הפיצוי שנפסק למתלוננות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מתקיים החריג להימנעות ערכאת הערעור מלהתערב בשיקול דעת הערכאה הדיונית בפסיקת שיעור הפיצוי </w:t>
      </w:r>
      <w:r>
        <w:rPr>
          <w:rFonts w:cs="Century" w:ascii="Century" w:hAnsi="Century"/>
          <w:rtl w:val="true"/>
        </w:rPr>
        <w:t>(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2538/19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; 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7307/18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לאור התמונה העולה מתסקירי נפגעות העבירה באשר לצורך בטיפול משמעותי על מנת ליתן בידן של המתלוננות אפשרות להתמודד טוב יותר עם הנזק הכבד שגרם להן המערער במעשיו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חורג שיעור הפיצוי ממדיניות הענישה הראויה ויש להגדילו ולהעמידו על סך כולל של </w:t>
      </w:r>
      <w:r>
        <w:rPr>
          <w:rFonts w:cs="Century" w:ascii="Century" w:hAnsi="Century"/>
        </w:rPr>
        <w:t>75,000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לחבריי לדחות את ערעור המערער על חומרת העונש ולקבל את ערעור המדינה על קולתו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שעונשו של המערער יועמד על שש וחצי שנות מאסר והפיצוי הכולל למתלוננות יועמד על </w:t>
      </w:r>
      <w:r>
        <w:rPr>
          <w:rFonts w:cs="Century" w:ascii="Century" w:hAnsi="Century"/>
        </w:rPr>
        <w:t>75,000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מתוכו </w:t>
      </w:r>
      <w:r>
        <w:rPr>
          <w:rFonts w:cs="Century" w:ascii="Century" w:hAnsi="Century"/>
        </w:rPr>
        <w:t>60,000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למתלוננת 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למתלוננת השניה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bookmarkStart w:id="16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בכסלו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4.12.2019</w:t>
      </w:r>
      <w:r>
        <w:rPr>
          <w:rFonts w:cs="Century" w:ascii="Century" w:hAnsi="Century"/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bookmarkStart w:id="17" w:name="Start_Write"/>
      <w:bookmarkEnd w:id="17"/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19025810</w:t>
      </w:r>
      <w:r>
        <w:rPr>
          <w:sz w:val="16"/>
          <w:rtl w:val="true"/>
        </w:rPr>
        <w:t>_</w:t>
      </w:r>
      <w:r>
        <w:rPr>
          <w:sz w:val="16"/>
        </w:rPr>
        <w:t>Q05.docx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54678313-2581/19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2581/19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45.a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8.b" TargetMode="External"/><Relationship Id="rId7" Type="http://schemas.openxmlformats.org/officeDocument/2006/relationships/hyperlink" Target="http://www.nevo.co.il/law/70301/351.c.2" TargetMode="External"/><Relationship Id="rId8" Type="http://schemas.openxmlformats.org/officeDocument/2006/relationships/hyperlink" Target="http://www.nevo.co.il/law/70301/355" TargetMode="External"/><Relationship Id="rId9" Type="http://schemas.openxmlformats.org/officeDocument/2006/relationships/hyperlink" Target="http://www.nevo.co.il/law/70301/40jd.4" TargetMode="External"/><Relationship Id="rId10" Type="http://schemas.openxmlformats.org/officeDocument/2006/relationships/hyperlink" Target="http://www.nevo.co.il/law/70301/351.c.2" TargetMode="External"/><Relationship Id="rId11" Type="http://schemas.openxmlformats.org/officeDocument/2006/relationships/hyperlink" Target="http://www.nevo.co.il/law/70301/348.b" TargetMode="External"/><Relationship Id="rId12" Type="http://schemas.openxmlformats.org/officeDocument/2006/relationships/hyperlink" Target="http://www.nevo.co.il/law/70301/345.b.1" TargetMode="External"/><Relationship Id="rId13" Type="http://schemas.openxmlformats.org/officeDocument/2006/relationships/hyperlink" Target="http://www.nevo.co.il/law/70301/348.b" TargetMode="External"/><Relationship Id="rId14" Type="http://schemas.openxmlformats.org/officeDocument/2006/relationships/hyperlink" Target="http://www.nevo.co.il/law/70301/345.b.1" TargetMode="External"/><Relationship Id="rId15" Type="http://schemas.openxmlformats.org/officeDocument/2006/relationships/hyperlink" Target="http://www.nevo.co.il/law/70301/345.a.1" TargetMode="External"/><Relationship Id="rId16" Type="http://schemas.openxmlformats.org/officeDocument/2006/relationships/hyperlink" Target="http://www.nevo.co.il/law/70301/245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jd.4" TargetMode="External"/><Relationship Id="rId19" Type="http://schemas.openxmlformats.org/officeDocument/2006/relationships/hyperlink" Target="http://www.nevo.co.il/case/25608114" TargetMode="External"/><Relationship Id="rId20" Type="http://schemas.openxmlformats.org/officeDocument/2006/relationships/hyperlink" Target="http://www.nevo.co.il/case/22302916" TargetMode="External"/><Relationship Id="rId21" Type="http://schemas.openxmlformats.org/officeDocument/2006/relationships/hyperlink" Target="http://www.nevo.co.il/case/25608114" TargetMode="External"/><Relationship Id="rId22" Type="http://schemas.openxmlformats.org/officeDocument/2006/relationships/hyperlink" Target="http://www.nevo.co.il/case/22302916" TargetMode="External"/><Relationship Id="rId23" Type="http://schemas.openxmlformats.org/officeDocument/2006/relationships/hyperlink" Target="http://www.nevo.co.il/case/25604300" TargetMode="External"/><Relationship Id="rId24" Type="http://schemas.openxmlformats.org/officeDocument/2006/relationships/hyperlink" Target="http://www.nevo.co.il/law/70301/355" TargetMode="External"/><Relationship Id="rId25" Type="http://schemas.openxmlformats.org/officeDocument/2006/relationships/hyperlink" Target="http://www.nevo.co.il/case/25059769" TargetMode="External"/><Relationship Id="rId26" Type="http://schemas.openxmlformats.org/officeDocument/2006/relationships/hyperlink" Target="http://www.nevo.co.il/case/25608114" TargetMode="External"/><Relationship Id="rId27" Type="http://schemas.openxmlformats.org/officeDocument/2006/relationships/hyperlink" Target="http://www.nevo.co.il/case/25059769" TargetMode="External"/><Relationship Id="rId28" Type="http://schemas.openxmlformats.org/officeDocument/2006/relationships/hyperlink" Target="http://supreme.court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2022-08-31T13:18:00Z</dcterms:created>
  <dc:creator> </dc:creator>
  <dc:description/>
  <cp:keywords/>
  <dc:language>en-IL</dc:language>
  <cp:lastModifiedBy>h11</cp:lastModifiedBy>
  <cp:lastPrinted>2019-12-04T12:05:00Z</cp:lastPrinted>
  <dcterms:modified xsi:type="dcterms:W3CDTF">2022-08-31T13:18:00Z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CASESLISTTMP1">
    <vt:lpwstr>25608114:3;22302916:2;25604300;25059769:2</vt:lpwstr>
  </property>
  <property fmtid="{D5CDD505-2E9C-101B-9397-08002B2CF9AE}" pid="5" name="DATE">
    <vt:lpwstr>20191204</vt:lpwstr>
  </property>
  <property fmtid="{D5CDD505-2E9C-101B-9397-08002B2CF9AE}" pid="6" name="ISABSTRACT">
    <vt:lpwstr>Y</vt:lpwstr>
  </property>
  <property fmtid="{D5CDD505-2E9C-101B-9397-08002B2CF9AE}" pid="7" name="JUDGE">
    <vt:lpwstr>מ' מזוז;ג' קרא;ע' גרוסקופף</vt:lpwstr>
  </property>
  <property fmtid="{D5CDD505-2E9C-101B-9397-08002B2CF9AE}" pid="8" name="LAWLISTTMP1">
    <vt:lpwstr>70301/351.c.2;348.b:2;345.b.1:2;345.a.1;245.a;40jd.4;355</vt:lpwstr>
  </property>
  <property fmtid="{D5CDD505-2E9C-101B-9397-08002B2CF9AE}" pid="9" name="LAWYER">
    <vt:lpwstr>נילי פינקלשטיין;דוד ברהום</vt:lpwstr>
  </property>
  <property fmtid="{D5CDD505-2E9C-101B-9397-08002B2CF9AE}" pid="10" name="METAKZER">
    <vt:lpwstr>פאני</vt:lpwstr>
  </property>
  <property fmtid="{D5CDD505-2E9C-101B-9397-08002B2CF9AE}" pid="11" name="NOSE11">
    <vt:lpwstr>עונשין</vt:lpwstr>
  </property>
  <property fmtid="{D5CDD505-2E9C-101B-9397-08002B2CF9AE}" pid="12" name="NOSE12">
    <vt:lpwstr>עונשין</vt:lpwstr>
  </property>
  <property fmtid="{D5CDD505-2E9C-101B-9397-08002B2CF9AE}" pid="13" name="NOSE13">
    <vt:lpwstr>עונשין</vt:lpwstr>
  </property>
  <property fmtid="{D5CDD505-2E9C-101B-9397-08002B2CF9AE}" pid="14" name="NOSE14">
    <vt:lpwstr>עונשין</vt:lpwstr>
  </property>
  <property fmtid="{D5CDD505-2E9C-101B-9397-08002B2CF9AE}" pid="15" name="NOSE15">
    <vt:lpwstr>עונשין</vt:lpwstr>
  </property>
  <property fmtid="{D5CDD505-2E9C-101B-9397-08002B2CF9AE}" pid="16" name="NOSE1ID">
    <vt:lpwstr>77;77;77;77;77</vt:lpwstr>
  </property>
  <property fmtid="{D5CDD505-2E9C-101B-9397-08002B2CF9AE}" pid="17" name="NOSE21">
    <vt:lpwstr>ענישה</vt:lpwstr>
  </property>
  <property fmtid="{D5CDD505-2E9C-101B-9397-08002B2CF9AE}" pid="18" name="NOSE22">
    <vt:lpwstr>ענישה</vt:lpwstr>
  </property>
  <property fmtid="{D5CDD505-2E9C-101B-9397-08002B2CF9AE}" pid="19" name="NOSE23">
    <vt:lpwstr>ענישה</vt:lpwstr>
  </property>
  <property fmtid="{D5CDD505-2E9C-101B-9397-08002B2CF9AE}" pid="20" name="NOSE24">
    <vt:lpwstr>דרכי ענישה</vt:lpwstr>
  </property>
  <property fmtid="{D5CDD505-2E9C-101B-9397-08002B2CF9AE}" pid="21" name="NOSE25">
    <vt:lpwstr>ענישה</vt:lpwstr>
  </property>
  <property fmtid="{D5CDD505-2E9C-101B-9397-08002B2CF9AE}" pid="22" name="NOSE2ID">
    <vt:lpwstr>1446;1446;1446;1430;1446</vt:lpwstr>
  </property>
  <property fmtid="{D5CDD505-2E9C-101B-9397-08002B2CF9AE}" pid="23" name="NOSE31">
    <vt:lpwstr>מדיניות ענישה: עבירות מין בקטינים</vt:lpwstr>
  </property>
  <property fmtid="{D5CDD505-2E9C-101B-9397-08002B2CF9AE}" pid="24" name="NOSE32">
    <vt:lpwstr>מדיניות ענישה: עבירות מין במשפחה</vt:lpwstr>
  </property>
  <property fmtid="{D5CDD505-2E9C-101B-9397-08002B2CF9AE}" pid="25" name="NOSE33">
    <vt:lpwstr>מדיניות ענישה: שיקולים לחומרה</vt:lpwstr>
  </property>
  <property fmtid="{D5CDD505-2E9C-101B-9397-08002B2CF9AE}" pid="26" name="NOSE34">
    <vt:lpwstr>פיצויים</vt:lpwstr>
  </property>
  <property fmtid="{D5CDD505-2E9C-101B-9397-08002B2CF9AE}" pid="27" name="NOSE35">
    <vt:lpwstr>התערבות ערכאת הערעור</vt:lpwstr>
  </property>
  <property fmtid="{D5CDD505-2E9C-101B-9397-08002B2CF9AE}" pid="28" name="NOSE3ID">
    <vt:lpwstr>16970;16241;8995;15604;8978</vt:lpwstr>
  </property>
  <property fmtid="{D5CDD505-2E9C-101B-9397-08002B2CF9AE}" pid="29" name="PADIDATE">
    <vt:lpwstr>20191205</vt:lpwstr>
  </property>
  <property fmtid="{D5CDD505-2E9C-101B-9397-08002B2CF9AE}" pid="30" name="PADIMAIL">
    <vt:lpwstr>YES</vt:lpwstr>
  </property>
  <property fmtid="{D5CDD505-2E9C-101B-9397-08002B2CF9AE}" pid="31" name="PROCESS">
    <vt:lpwstr>עפ;עפ</vt:lpwstr>
  </property>
  <property fmtid="{D5CDD505-2E9C-101B-9397-08002B2CF9AE}" pid="32" name="PROCNUM">
    <vt:lpwstr>2581;2651</vt:lpwstr>
  </property>
  <property fmtid="{D5CDD505-2E9C-101B-9397-08002B2CF9AE}" pid="33" name="PROCYEAR">
    <vt:lpwstr>19;19</vt:lpwstr>
  </property>
  <property fmtid="{D5CDD505-2E9C-101B-9397-08002B2CF9AE}" pid="34" name="PSAKDIN">
    <vt:lpwstr>פסק-דין</vt:lpwstr>
  </property>
  <property fmtid="{D5CDD505-2E9C-101B-9397-08002B2CF9AE}" pid="35" name="TYPE">
    <vt:lpwstr>1</vt:lpwstr>
  </property>
  <property fmtid="{D5CDD505-2E9C-101B-9397-08002B2CF9AE}" pid="36" name="TYPE_ABS_DATE">
    <vt:lpwstr>410120191204</vt:lpwstr>
  </property>
  <property fmtid="{D5CDD505-2E9C-101B-9397-08002B2CF9AE}" pid="37" name="TYPE_N_DATE">
    <vt:lpwstr>41020191204</vt:lpwstr>
  </property>
  <property fmtid="{D5CDD505-2E9C-101B-9397-08002B2CF9AE}" pid="38" name="WORDNUMPAGES">
    <vt:lpwstr>9</vt:lpwstr>
  </property>
</Properties>
</file>