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2599/16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במסגרת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34025-10-14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צלניקר</w:t>
            </w:r>
          </w:p>
        </w:tc>
      </w:tr>
    </w:tbl>
    <w:p>
      <w:pPr>
        <w:pStyle w:val="Ruller31"/>
        <w:ind w:end="0"/>
        <w:jc w:val="start"/>
        <w:rPr>
          <w:sz w:val="6"/>
          <w:szCs w:val="12"/>
        </w:rPr>
      </w:pPr>
      <w:r>
        <w:rPr>
          <w:sz w:val="6"/>
          <w:szCs w:val="1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הגרעינית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בבנותיו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לאשורו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היחשפות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הגרעינית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והופנו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בהתאכזרות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ומזוויעה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בחשיבותם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בזכותם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לאוטונומיה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בטראומות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שתוכנו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15.2.2016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34025-10-14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בגדרו הושת על המערער עונש מאסר בפועל לתקופה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ופיצוי כספי לשתי המתלוננות בסכום כולל של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בשנית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>אשר תוקן פעמיים</w:t>
      </w:r>
      <w:r>
        <w:rPr>
          <w:rtl w:val="true"/>
        </w:rPr>
        <w:t xml:space="preserve">, </w:t>
      </w:r>
      <w:r>
        <w:rPr>
          <w:rtl w:val="true"/>
        </w:rPr>
        <w:t>היו למערער ולאשתו ארבעה ילדים</w:t>
      </w:r>
      <w:r>
        <w:rPr>
          <w:rtl w:val="true"/>
        </w:rPr>
        <w:t xml:space="preserve">. </w:t>
      </w:r>
      <w:r>
        <w:rPr>
          <w:rtl w:val="true"/>
        </w:rPr>
        <w:t>בין ילדיהם נמנות מתלוננת א</w:t>
      </w:r>
      <w:r>
        <w:rPr>
          <w:rtl w:val="true"/>
        </w:rPr>
        <w:t>' (</w:t>
      </w:r>
      <w:r>
        <w:rPr>
          <w:rtl w:val="true"/>
        </w:rPr>
        <w:t xml:space="preserve">ילידת שנת </w:t>
      </w:r>
      <w:r>
        <w:rPr/>
        <w:t>2003</w:t>
      </w:r>
      <w:r>
        <w:rPr>
          <w:rtl w:val="true"/>
        </w:rPr>
        <w:t xml:space="preserve">) </w:t>
      </w:r>
      <w:r>
        <w:rPr>
          <w:rtl w:val="true"/>
        </w:rPr>
        <w:t>ומתלוננת ב</w:t>
      </w:r>
      <w:r>
        <w:rPr>
          <w:rtl w:val="true"/>
        </w:rPr>
        <w:t>' (</w:t>
      </w:r>
      <w:r>
        <w:rPr>
          <w:rtl w:val="true"/>
        </w:rPr>
        <w:t xml:space="preserve">ילידת שנת </w:t>
      </w:r>
      <w:r>
        <w:rPr/>
        <w:t>2001</w:t>
      </w:r>
      <w:r>
        <w:rPr>
          <w:rtl w:val="true"/>
        </w:rPr>
        <w:t xml:space="preserve">). </w:t>
      </w:r>
      <w:r>
        <w:rPr>
          <w:rtl w:val="true"/>
        </w:rPr>
        <w:t>כתב האישום המתוקן בשנית</w:t>
      </w:r>
      <w:r>
        <w:rPr>
          <w:rtl w:val="true"/>
        </w:rPr>
        <w:t xml:space="preserve">, </w:t>
      </w:r>
      <w:r>
        <w:rPr>
          <w:rtl w:val="true"/>
        </w:rPr>
        <w:t>אשר בעובדות המפורטות בו הודה המערער</w:t>
      </w:r>
      <w:r>
        <w:rPr>
          <w:rtl w:val="true"/>
        </w:rPr>
        <w:t xml:space="preserve">, </w:t>
      </w:r>
      <w:r>
        <w:rPr>
          <w:rtl w:val="true"/>
        </w:rPr>
        <w:t>מגולל שלושה אישומים שתמציתם תובא להלן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במהלך חודש ספטמבר 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שהה המערער בחופשה ביחד עם שתי המתלוננות ובתו הנוספת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מתלוננת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שהייתה באותה עת כבת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שכבה במיטה בסמוך למערער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שהחלה להירדם הפשיל המערער את מכנסיה ואת תחתוניה וליטף את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חזר על מעשה זה במספר הזדמנויות נוספות בביתם ובמקומות אחרים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במקרה אחר שאירע במהלך חודש אוגוסט </w:t>
      </w:r>
      <w:r>
        <w:rPr>
          <w:rFonts w:cs="Century" w:ascii="Century" w:hAnsi="Century"/>
          <w:sz w:val="22"/>
        </w:rPr>
        <w:t>2014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שכבה מתלוננת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על הספה בסלון ביתה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התיישב בסמוך אליה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כיסה אותה בשמיכה והניח את רגליה על רגליו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המתלוננת שיכלה את רגליה והצמידה אותן בחוזקה זו לזו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המערער פישק אותן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הפשיל את מכנסיה ואת תחתוניה וליטף את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במקרה 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שעה שמתלוננת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נחה בחדרה בעודה שוכבת על ביטנה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נכנס המערער לחדר ונעל את הדלת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הפשיל את מכנסיה ואת תחתוניה וליטף את 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 נשכב המערער על גבו והשכיב את מתלוננת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נגע בישבנה וחיכך את איבר מינו באיבר מינה עד שהגיע לפורקן מיני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חזר על מעשה זה לכל הפחות עוד פעם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במועד שאינו ידוע במדויק למשיבה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מעשים אלה בוצעו לשם גירוי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סיפוק או ביזוי מיניים ושלא בהסכמתה החופשית של מתלוננת א</w:t>
      </w:r>
      <w:r>
        <w:rPr>
          <w:rFonts w:cs="Century" w:ascii="Century" w:hAnsi="Century"/>
          <w:sz w:val="22"/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 xml:space="preserve">המערער הואשם בגינם בעבירות מין במשפחה ובידי אחראי על חסר ישע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מעשים מגונים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בנסיבות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hyperlink r:id="rId13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4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במהלך החודשים ספטמבר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אוקטובר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 מתלוננת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בביתה היא ישנה בחדרה כאשר היא שכובה על ביטנה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נכנס אל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ניגש למיטתה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ואת תחתוניה והתיישב עליה באזור ישבנה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נגע באיבר מינה ובישבנה של מתלוננת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באמצעות ידו או באמצעות איבר מינו החשוף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שרעש שנשמע מחוץ לחדר גרם לו לחדול ממעשיו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במספר מועדים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ליטף המערער את איבר מינה של מתלוננת ב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בחודש אוגוסט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 המערער ובני משפחתו בחופשה בצפון הארץ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שמתלוננת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שכבה במיטה על ביטנה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אליה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ליטף את רגליה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ואת תחתוניה וליטף בידו את איבר מינה ואת ישבנה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חדל ממעשיו רק כאשר היא פנתה אליו באומרה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בהזדמנות נוספת נהג המערער בכלי רכבו ביחד עם שתי המתלוננות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מתלוננת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ישנה במושב האחורי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הושיט את ידו לאחור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ואת תחתוניה וליטף את 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אחר שבו שהו בני המשפחה בבית מלון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המערער אל מתלוננת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ששכבה על המיטה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ואת 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ליטף את איבר מינה ובהמשך חיכך את איבר מינו החשוף באיבר מינה עד שהגיע לפורקן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חזר על מעשה זה לכל הפחות בעוד פעם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 למשיבה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מעשים אלה בוצעו לשם גירוי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סיפוק או ביזוי מיניים ושלא בהסכמתה החופשית של מתלוננת ב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גם בגין מעשים אלה המערער הואשם בעבירות מין במשפחה ובידי אחראי על חסר ישע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מעשים מגונים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17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8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במהלך חודש אוגוסט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 המערער ובני משפחתו בבית הסבים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מתלוננת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שכבה בסלון הבית כאשר היא מכוסה בשמיכה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התיישב בסמוך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את ידו אל מתחת לשמיכה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ואת תחתוניה וליטף את 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שישבה מתלוננת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המיטה באחד החדרים בבית הסבים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המערער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נעל את הדלת ואמר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שאף אחד לא יפריע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הוא הפציר בה כי תלך לישון וברגע שהחלה לעצום את עיניה הוא ניסה להפשיל את מכנסיה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ניסתה למנוע זאת בכך ששיכלה את רגליה והצמידה אותן בחוזקה זו לזו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המערער הפעיל מידה של כוח והצליח להפשיל את מכנסיה ואת תחתוניה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נגע באיבר מינה הן באמצעות אצבעו והן באמצעות לשונו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הרים את חולצתה ואת חזיית הילדים שלבשה וליקק את שדהּ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ניסה לפתוח את 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מתלוננת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סגרה בחוזקה את שיניה ואת 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המערער הצליח לפתוח אותם והחדיר את איבר מינו אל פיה למשך שתי שניות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בשעה שהמשיך ללטף את 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חדל ממעשיו אלה רק למשמע קול מחוץ לחדר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במקרה אחר שאירע במהלך 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המערער לחדרה של מתלוננת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בעת שנחה במיטתה ושכבה על ביטנה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הפשיל את מכנסיה ותחתוניה ונגע באיבר מינה באמצעות אצבעו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הפך אותה על צידה לכיוון הקיר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נשכב בצמוד לישבנה בעודו עירום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התחכך בה ונגע באיבר מינה באמצעות אצבעותיו עד כי הגיע לפורקן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מעשים אלה בוצעו לשם גירוי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ביזוי או סיפוק מיניים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בגינם הואשם בעבירות מין במשפחה ובידי אחראי על חסר ישע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מעשים מגונים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לפי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21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2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והן בעבירות מין במשפחה ובידי אחראי על חסר ישע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מעשה סדום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בנסיבות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25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6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הסדר הטיעון תוקן כתב האישום פעמיים</w:t>
      </w:r>
      <w:r>
        <w:rPr>
          <w:rtl w:val="true"/>
        </w:rPr>
        <w:t xml:space="preserve">. </w:t>
      </w:r>
      <w:r>
        <w:rPr>
          <w:rtl w:val="true"/>
        </w:rPr>
        <w:t xml:space="preserve">לבסוף הודה המערער בעובדות כתב האישום המתוקן בשנית וביום </w:t>
      </w:r>
      <w:r>
        <w:rPr/>
        <w:t>21.9.2015</w:t>
      </w:r>
      <w:r>
        <w:rPr>
          <w:rtl w:val="true"/>
        </w:rPr>
        <w:t xml:space="preserve"> </w:t>
      </w:r>
      <w:r>
        <w:rPr>
          <w:rtl w:val="true"/>
        </w:rPr>
        <w:t>הורשע בעבירות האמורות</w:t>
      </w:r>
      <w:r>
        <w:rPr>
          <w:rtl w:val="true"/>
        </w:rPr>
        <w:t xml:space="preserve">. </w:t>
      </w:r>
      <w:r>
        <w:rPr>
          <w:rtl w:val="true"/>
        </w:rPr>
        <w:t>ההסדר נותר פתוח לעניין העונש ובית המשפט הורה על קבלת תסקיר נפגעות העבירה ותסקיר שירות המבחן בעניינו של המערער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אירעה טעות והמשיבה העבירה לידי עורכת תסקיר נפגעות העבירה את כתב האישום המתוקן לראשונה לצד כתב האישום המתוקן בשנית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התנגד בא</w:t>
      </w:r>
      <w:r>
        <w:rPr>
          <w:rtl w:val="true"/>
        </w:rPr>
        <w:t>-</w:t>
      </w:r>
      <w:r>
        <w:rPr>
          <w:rtl w:val="true"/>
        </w:rPr>
        <w:t>כוח המערער לקבלת התסקיר בטענה כי הוא מבוסס על עובדות בלתי מוסכמות החורגות מהסדר הטיעון</w:t>
      </w:r>
      <w:r>
        <w:rPr>
          <w:rtl w:val="true"/>
        </w:rPr>
        <w:t xml:space="preserve">; </w:t>
      </w:r>
      <w:r>
        <w:rPr>
          <w:rtl w:val="true"/>
        </w:rPr>
        <w:t>כי הוא כולל תמליל חקירת המתלוננות על ידי חוקרת ילדים</w:t>
      </w:r>
      <w:r>
        <w:rPr>
          <w:rtl w:val="true"/>
        </w:rPr>
        <w:t xml:space="preserve">; </w:t>
      </w:r>
      <w:r>
        <w:rPr>
          <w:rtl w:val="true"/>
        </w:rPr>
        <w:t>כי הוא הושפע באופן בולט מעמדת אימן של המתלוננות</w:t>
      </w:r>
      <w:r>
        <w:rPr>
          <w:rtl w:val="true"/>
        </w:rPr>
        <w:t xml:space="preserve">. </w:t>
      </w:r>
      <w:r>
        <w:rPr>
          <w:rtl w:val="true"/>
        </w:rPr>
        <w:t>לבקשת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בהודעת הבהרה מיום </w:t>
      </w:r>
      <w:r>
        <w:rPr/>
        <w:t>30.12.2015</w:t>
      </w:r>
      <w:r>
        <w:rPr>
          <w:rtl w:val="true"/>
        </w:rPr>
        <w:t xml:space="preserve"> </w:t>
      </w:r>
      <w:r>
        <w:rPr>
          <w:rtl w:val="true"/>
        </w:rPr>
        <w:t>הדגישה עורכת התסקיר כי המידע הנוסף שהתקבל במסגרת כתב האישום המקורי אינו משנה את ההערכה שבתסקיר</w:t>
      </w:r>
      <w:r>
        <w:rPr>
          <w:rtl w:val="true"/>
        </w:rPr>
        <w:t xml:space="preserve">, </w:t>
      </w:r>
      <w:r>
        <w:rPr>
          <w:rtl w:val="true"/>
        </w:rPr>
        <w:t>מכיוון שהתסקיר נועד להביא לפני בית המשפט תמונת מצב על הנזק שנגרם למתלוננות כתוצאה מהעבירות שבוצעו כלפיהן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הסדר הטיעון אינו משנה את חווייתן של הנפגעות ואת הפגיעה בהן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 בית המשפט כי גם אם התסקיר אינו תואם במדויק את האמור בכתב האישום המתוקן בשנית</w:t>
      </w:r>
      <w:r>
        <w:rPr>
          <w:rtl w:val="true"/>
        </w:rPr>
        <w:t xml:space="preserve">, </w:t>
      </w:r>
      <w:r>
        <w:rPr>
          <w:rtl w:val="true"/>
        </w:rPr>
        <w:t>אין בכך כדי להוריד ממשקלו</w:t>
      </w:r>
      <w:r>
        <w:rPr>
          <w:rtl w:val="true"/>
        </w:rPr>
        <w:t xml:space="preserve">, </w:t>
      </w:r>
      <w:r>
        <w:rPr>
          <w:rtl w:val="true"/>
        </w:rPr>
        <w:t>ובוודאי שאינו מצדיק את אי</w:t>
      </w:r>
      <w:r>
        <w:rPr>
          <w:rtl w:val="true"/>
        </w:rPr>
        <w:t>-</w:t>
      </w:r>
      <w:r>
        <w:rPr>
          <w:rtl w:val="true"/>
        </w:rPr>
        <w:t>קבלת התסקיר לתיק בית 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ולגופו של עניין</w:t>
      </w:r>
      <w:r>
        <w:rPr>
          <w:rtl w:val="true"/>
        </w:rPr>
        <w:t xml:space="preserve">, </w:t>
      </w:r>
      <w:r>
        <w:rPr>
          <w:rtl w:val="true"/>
        </w:rPr>
        <w:t xml:space="preserve">מתסקיר נפגעות העבירה מיום </w:t>
      </w:r>
      <w:r>
        <w:rPr/>
        <w:t>11.11.2015</w:t>
      </w:r>
      <w:r>
        <w:rPr>
          <w:rtl w:val="true"/>
        </w:rPr>
        <w:t xml:space="preserve"> </w:t>
      </w:r>
      <w:r>
        <w:rPr>
          <w:rtl w:val="true"/>
        </w:rPr>
        <w:t>עלה כי עד לקרות האירועים משפחת המערער הייתה משפחה נורמטיבית</w:t>
      </w:r>
      <w:r>
        <w:rPr>
          <w:rtl w:val="true"/>
        </w:rPr>
        <w:t xml:space="preserve">, </w:t>
      </w:r>
      <w:r>
        <w:rPr>
          <w:rtl w:val="true"/>
        </w:rPr>
        <w:t>אשר התרסקה לנוכח הפגיעות המיניות וחשיפתן</w:t>
      </w:r>
      <w:r>
        <w:rPr>
          <w:rtl w:val="true"/>
        </w:rPr>
        <w:t xml:space="preserve">. </w:t>
      </w:r>
      <w:r>
        <w:rPr>
          <w:rtl w:val="true"/>
        </w:rPr>
        <w:t>המתלוננות פגועות קשות ממעשי אביהן שלא ראה את צרכיהן והן אף חשופות למצוקתה של האֵם על רקע התרחשות האירועים</w:t>
      </w:r>
      <w:r>
        <w:rPr>
          <w:rtl w:val="true"/>
        </w:rPr>
        <w:t xml:space="preserve">. </w:t>
      </w:r>
      <w:r>
        <w:rPr>
          <w:rtl w:val="true"/>
        </w:rPr>
        <w:t>להתרשמות עורכת התסקיר קיים חשש ממשי לכך שהמתלוננות תפתחנה דפוסים פתולוגיים על רקע הפגיעה בתחושת האמון שלהן</w:t>
      </w:r>
      <w:r>
        <w:rPr>
          <w:rtl w:val="true"/>
        </w:rPr>
        <w:t xml:space="preserve">. </w:t>
      </w:r>
      <w:r>
        <w:rPr>
          <w:rtl w:val="true"/>
        </w:rPr>
        <w:t>מתלוננת א</w:t>
      </w:r>
      <w:r>
        <w:rPr>
          <w:rtl w:val="true"/>
        </w:rPr>
        <w:t xml:space="preserve">' </w:t>
      </w:r>
      <w:r>
        <w:rPr>
          <w:rtl w:val="true"/>
        </w:rPr>
        <w:t>נמצאת במצוקה ממשית</w:t>
      </w:r>
      <w:r>
        <w:rPr>
          <w:rtl w:val="true"/>
        </w:rPr>
        <w:t xml:space="preserve">, </w:t>
      </w:r>
      <w:r>
        <w:rPr>
          <w:rtl w:val="true"/>
        </w:rPr>
        <w:t>הן בשל הטראומה שחוותה כתוצאה ממעשי המערער והן מפאת ייסורי המצפון על כך שחשיפת המעשים הובילה לפירוק המשפחה</w:t>
      </w:r>
      <w:r>
        <w:rPr>
          <w:rtl w:val="true"/>
        </w:rPr>
        <w:t xml:space="preserve">. </w:t>
      </w:r>
      <w:r>
        <w:rPr>
          <w:rtl w:val="true"/>
        </w:rPr>
        <w:t>היא סובלת מפוסט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התקפי חרדה</w:t>
      </w:r>
      <w:r>
        <w:rPr>
          <w:rtl w:val="true"/>
        </w:rPr>
        <w:t xml:space="preserve">, </w:t>
      </w:r>
      <w:r>
        <w:rPr>
          <w:rtl w:val="true"/>
        </w:rPr>
        <w:t>סיוטים ועוד</w:t>
      </w:r>
      <w:r>
        <w:rPr>
          <w:rtl w:val="true"/>
        </w:rPr>
        <w:t xml:space="preserve">. </w:t>
      </w:r>
      <w:r>
        <w:rPr>
          <w:rtl w:val="true"/>
        </w:rPr>
        <w:t>נגרמים לה נזקים אישיים</w:t>
      </w:r>
      <w:r>
        <w:rPr>
          <w:rtl w:val="true"/>
        </w:rPr>
        <w:t xml:space="preserve">, </w:t>
      </w:r>
      <w:r>
        <w:rPr>
          <w:rtl w:val="true"/>
        </w:rPr>
        <w:t>חברתיים ולימודיים משמעותיים שעלולים להשפיע באופן שלילי על התפתחותה</w:t>
      </w:r>
      <w:r>
        <w:rPr>
          <w:rtl w:val="true"/>
        </w:rPr>
        <w:t xml:space="preserve">. </w:t>
      </w:r>
      <w:r>
        <w:rPr>
          <w:rtl w:val="true"/>
        </w:rPr>
        <w:t>כן קיים בעניינה חשש כי תבצע מעשה אובדני</w:t>
      </w:r>
      <w:r>
        <w:rPr>
          <w:rtl w:val="true"/>
        </w:rPr>
        <w:t xml:space="preserve">, </w:t>
      </w:r>
      <w:r>
        <w:rPr>
          <w:rtl w:val="true"/>
        </w:rPr>
        <w:t>כפי שכבר ניסתה בעבר</w:t>
      </w:r>
      <w:r>
        <w:rPr>
          <w:rtl w:val="true"/>
        </w:rPr>
        <w:t xml:space="preserve">. </w:t>
      </w:r>
      <w:r>
        <w:rPr>
          <w:rtl w:val="true"/>
        </w:rPr>
        <w:t>מתלוננת ב</w:t>
      </w:r>
      <w:r>
        <w:rPr>
          <w:rtl w:val="true"/>
        </w:rPr>
        <w:t xml:space="preserve">' </w:t>
      </w:r>
      <w:r>
        <w:rPr>
          <w:rtl w:val="true"/>
        </w:rPr>
        <w:t>מתמודדת עם הפגיעה באמצעות ניתוק רגשי והדחקת האירועים</w:t>
      </w:r>
      <w:r>
        <w:rPr>
          <w:rtl w:val="true"/>
        </w:rPr>
        <w:t xml:space="preserve">, </w:t>
      </w:r>
      <w:r>
        <w:rPr>
          <w:rtl w:val="true"/>
        </w:rPr>
        <w:t>ולהתרשמות עורכת התסקיר</w:t>
      </w:r>
      <w:r>
        <w:rPr>
          <w:rtl w:val="true"/>
        </w:rPr>
        <w:t xml:space="preserve">, </w:t>
      </w:r>
      <w:r>
        <w:rPr>
          <w:rtl w:val="true"/>
        </w:rPr>
        <w:t>דרך התמודדות זו מציבה אותה בסיכון גבוה להיחשפות לנזקים רגשיים ונפשיים</w:t>
      </w:r>
      <w:r>
        <w:rPr>
          <w:rtl w:val="true"/>
        </w:rPr>
        <w:t xml:space="preserve">. </w:t>
      </w:r>
      <w:r>
        <w:rPr>
          <w:rtl w:val="true"/>
        </w:rPr>
        <w:t>היא אף סובלת מתחושות אשם על כך שלא עלה בידה למנוע מאחותה הצעירה את הפגיעה המינית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 לתסקיר נפגעות העבירה נערך גם דו</w:t>
      </w:r>
      <w:r>
        <w:rPr>
          <w:rtl w:val="true"/>
        </w:rPr>
        <w:t>"</w:t>
      </w:r>
      <w:r>
        <w:rPr>
          <w:rtl w:val="true"/>
        </w:rPr>
        <w:t>ח פסיכו</w:t>
      </w:r>
      <w:r>
        <w:rPr>
          <w:rtl w:val="true"/>
        </w:rPr>
        <w:t>-</w:t>
      </w:r>
      <w:r>
        <w:rPr>
          <w:rtl w:val="true"/>
        </w:rPr>
        <w:t>סוציאלי בעניין המתלוננות</w:t>
      </w:r>
      <w:r>
        <w:rPr>
          <w:rtl w:val="true"/>
        </w:rPr>
        <w:t xml:space="preserve">, </w:t>
      </w:r>
      <w:r>
        <w:rPr>
          <w:rtl w:val="true"/>
        </w:rPr>
        <w:t>מטעם שירותי הרווחה בישוב שבו מתגוררת המשפחה</w:t>
      </w:r>
      <w:r>
        <w:rPr>
          <w:rtl w:val="true"/>
        </w:rPr>
        <w:t xml:space="preserve">.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 הצטיירה תמונה דומה לאמור בתסקיר</w:t>
      </w:r>
      <w:r>
        <w:rPr>
          <w:rtl w:val="true"/>
        </w:rPr>
        <w:t xml:space="preserve">, </w:t>
      </w:r>
      <w:r>
        <w:rPr>
          <w:rtl w:val="true"/>
        </w:rPr>
        <w:t>לפיה שתי המתלוננות אהודות על סביבתן</w:t>
      </w:r>
      <w:r>
        <w:rPr>
          <w:rtl w:val="true"/>
        </w:rPr>
        <w:t xml:space="preserve">, </w:t>
      </w:r>
      <w:r>
        <w:rPr>
          <w:rtl w:val="true"/>
        </w:rPr>
        <w:t>מדחיקות את הטראומה ומנסות להעמיד פנים שחייהן כשורה</w:t>
      </w:r>
      <w:r>
        <w:rPr>
          <w:rtl w:val="true"/>
        </w:rPr>
        <w:t xml:space="preserve">, </w:t>
      </w:r>
      <w:r>
        <w:rPr>
          <w:rtl w:val="true"/>
        </w:rPr>
        <w:t>אך ניכר כי הן סובלות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ובאשר למערער</w:t>
      </w:r>
      <w:r>
        <w:rPr>
          <w:rtl w:val="true"/>
        </w:rPr>
        <w:t xml:space="preserve">, </w:t>
      </w:r>
      <w:r>
        <w:rPr>
          <w:rtl w:val="true"/>
        </w:rPr>
        <w:t xml:space="preserve">מתסקיר שירות המבחן לגביו מיום </w:t>
      </w:r>
      <w:r>
        <w:rPr/>
        <w:t>29.11.2015</w:t>
      </w:r>
      <w:r>
        <w:rPr>
          <w:rtl w:val="true"/>
        </w:rPr>
        <w:t xml:space="preserve"> </w:t>
      </w:r>
      <w:r>
        <w:rPr>
          <w:rtl w:val="true"/>
        </w:rPr>
        <w:t xml:space="preserve">עלה כי המערער כבן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התגרש מאשתו בשל האירועים המתוארים</w:t>
      </w:r>
      <w:r>
        <w:rPr>
          <w:rtl w:val="true"/>
        </w:rPr>
        <w:t xml:space="preserve">. </w:t>
      </w:r>
      <w:r>
        <w:rPr>
          <w:rtl w:val="true"/>
        </w:rPr>
        <w:t>עד למעצרו הוא שירת כקצין בחיל האוויר</w:t>
      </w:r>
      <w:r>
        <w:rPr>
          <w:rtl w:val="true"/>
        </w:rPr>
        <w:t xml:space="preserve">, </w:t>
      </w:r>
      <w:r>
        <w:rPr>
          <w:rtl w:val="true"/>
        </w:rPr>
        <w:t>ביצע תפקידים משמעותיים במהלך הקריירה הצבאית</w:t>
      </w:r>
      <w:r>
        <w:rPr>
          <w:rtl w:val="true"/>
        </w:rPr>
        <w:t xml:space="preserve">, </w:t>
      </w:r>
      <w:r>
        <w:rPr>
          <w:rtl w:val="true"/>
        </w:rPr>
        <w:t>הוא משכיל ובעל יכולות קוגניטיביות גבוהות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נסיבות חייו אינן פשוטות</w:t>
      </w:r>
      <w:r>
        <w:rPr>
          <w:rtl w:val="true"/>
        </w:rPr>
        <w:t xml:space="preserve">. </w:t>
      </w:r>
      <w:r>
        <w:rPr>
          <w:rtl w:val="true"/>
        </w:rPr>
        <w:t>אמו טופלה במהלך השנים במסגרות טיפוליות בתחום בריאות הנפש</w:t>
      </w:r>
      <w:r>
        <w:rPr>
          <w:rtl w:val="true"/>
        </w:rPr>
        <w:t xml:space="preserve">, </w:t>
      </w:r>
      <w:r>
        <w:rPr>
          <w:rtl w:val="true"/>
        </w:rPr>
        <w:t>לכן הוא חווה חסך באהבה וביחס אימהי וגדל בתנאים רגשיים שהקשו עליו לפתח תחושת ביטחון ויציבות</w:t>
      </w:r>
      <w:r>
        <w:rPr>
          <w:rtl w:val="true"/>
        </w:rPr>
        <w:t xml:space="preserve">. </w:t>
      </w:r>
      <w:r>
        <w:rPr>
          <w:rtl w:val="true"/>
        </w:rPr>
        <w:t>הוא הודה בפגיעה בבנותיו משעה שהחלו להופיע אצלן סימני מיניות ראשונים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רמת הסיכון של המערער להישנות עבירות המין היא גבוהה</w:t>
      </w:r>
      <w:r>
        <w:rPr>
          <w:rtl w:val="true"/>
        </w:rPr>
        <w:t xml:space="preserve">. </w:t>
      </w:r>
      <w:r>
        <w:rPr>
          <w:rtl w:val="true"/>
        </w:rPr>
        <w:t>להתרשמות השירות המערער עודנו מתקשה להגיע להכרה הבסיסית הנדרשת לצורך עריכת שינוי בדפוסי חשיבתו והתנהגותו</w:t>
      </w:r>
      <w:r>
        <w:rPr>
          <w:rtl w:val="true"/>
        </w:rPr>
        <w:t xml:space="preserve">. </w:t>
      </w:r>
      <w:r>
        <w:rPr>
          <w:rtl w:val="true"/>
        </w:rPr>
        <w:t>שירות המבחן לא בא בהמלצה להפנותו להליך טיפולי מחוץ לכותלי בית הסוהר והמליץ על ענישה מוחשית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לבקשת המערער ובהסכמת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3.1.2016</w:t>
      </w:r>
      <w:r>
        <w:rPr>
          <w:rtl w:val="true"/>
        </w:rPr>
        <w:t xml:space="preserve"> </w:t>
      </w:r>
      <w:r>
        <w:rPr>
          <w:rtl w:val="true"/>
        </w:rPr>
        <w:t>הוגשה לבית המשפט חוות דעת פסיכולוגית בעניינו של המערער</w:t>
      </w:r>
      <w:r>
        <w:rPr>
          <w:rtl w:val="true"/>
        </w:rPr>
        <w:t xml:space="preserve">, </w:t>
      </w:r>
      <w:r>
        <w:rPr>
          <w:rtl w:val="true"/>
        </w:rPr>
        <w:t>מטעם ד</w:t>
      </w:r>
      <w:r>
        <w:rPr>
          <w:rtl w:val="true"/>
        </w:rPr>
        <w:t>"</w:t>
      </w:r>
      <w:r>
        <w:rPr>
          <w:rtl w:val="true"/>
        </w:rPr>
        <w:t xml:space="preserve">ר נמרוד שני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מנהל קליני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התחלה חדשה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מרכז טיפול ואבחון לאוכלוסיות עוברי 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שני העריך את רמת מסוכנותו של המערער לטווח הארוך כנמוכה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התמודד בילדותו עם קשיים רגשיים וכך גם במהלך שירותו הצבאי הוא חווה אירועים שאינם פשוטים כמו השפלה מצד מפקדו ואובדן של חברים שנפלו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צוין כי המערער אינו בעל משיכה מינית חריגה אך ראוי שיתחיל בהליך טיפולי בהקדם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 עמד בית המשפט המחוזי על חומרתן המיוחדת של עבירות המין</w:t>
      </w:r>
      <w:r>
        <w:rPr>
          <w:rtl w:val="true"/>
        </w:rPr>
        <w:t xml:space="preserve">, </w:t>
      </w:r>
      <w:r>
        <w:rPr>
          <w:rtl w:val="true"/>
        </w:rPr>
        <w:t>כל שכן כאשר הן מבוצעות נגד קטינים ובפרט קטינים בני משפחה</w:t>
      </w:r>
      <w:r>
        <w:rPr>
          <w:rtl w:val="true"/>
        </w:rPr>
        <w:t xml:space="preserve">. </w:t>
      </w:r>
      <w:r>
        <w:rPr>
          <w:rtl w:val="true"/>
        </w:rPr>
        <w:t>הוטעם כי בעבירות מעין אלו נדרשת ענישה משמעותית ומרתיעה אשר תשקף את הסלידה העמוקה של החברה מהן</w:t>
      </w:r>
      <w:r>
        <w:rPr>
          <w:rtl w:val="true"/>
        </w:rPr>
        <w:t xml:space="preserve">. </w:t>
      </w:r>
      <w:r>
        <w:rPr>
          <w:rtl w:val="true"/>
        </w:rPr>
        <w:t>המערער פגע בגופן ובנפשן של בנותיו במשך כשנתיים ובאופן חוזר ונשנה</w:t>
      </w:r>
      <w:r>
        <w:rPr>
          <w:rtl w:val="true"/>
        </w:rPr>
        <w:t xml:space="preserve">, </w:t>
      </w:r>
      <w:r>
        <w:rPr>
          <w:rtl w:val="true"/>
        </w:rPr>
        <w:t>תוך ניצול של מרותו כאב ושל תלות המתלוננות בו</w:t>
      </w:r>
      <w:r>
        <w:rPr>
          <w:rtl w:val="true"/>
        </w:rPr>
        <w:t xml:space="preserve">, </w:t>
      </w:r>
      <w:r>
        <w:rPr>
          <w:rtl w:val="true"/>
        </w:rPr>
        <w:t>זאת כדי לספק את צרכיו המיניים</w:t>
      </w:r>
      <w:r>
        <w:rPr>
          <w:rtl w:val="true"/>
        </w:rPr>
        <w:t xml:space="preserve">. </w:t>
      </w:r>
      <w:r>
        <w:rPr>
          <w:rtl w:val="true"/>
        </w:rPr>
        <w:t>חומרת המעשים אף הלכה והחריפה ככל שנקף הזמן</w:t>
      </w:r>
      <w:r>
        <w:rPr>
          <w:rtl w:val="true"/>
        </w:rPr>
        <w:t xml:space="preserve">. </w:t>
      </w:r>
      <w:r>
        <w:rPr>
          <w:rtl w:val="true"/>
        </w:rPr>
        <w:t>אף על פי שכל אחת מהעבירות כשלעצמה</w:t>
      </w:r>
      <w:r>
        <w:rPr>
          <w:rtl w:val="true"/>
        </w:rPr>
        <w:t xml:space="preserve">, </w:t>
      </w:r>
      <w:r>
        <w:rPr>
          <w:rtl w:val="true"/>
        </w:rPr>
        <w:t>מלבד מעשה הסדום</w:t>
      </w:r>
      <w:r>
        <w:rPr>
          <w:rtl w:val="true"/>
        </w:rPr>
        <w:t xml:space="preserve">, </w:t>
      </w:r>
      <w:r>
        <w:rPr>
          <w:rtl w:val="true"/>
        </w:rPr>
        <w:t>אינה ברף החומרה הגבוה של עבירות המין</w:t>
      </w:r>
      <w:r>
        <w:rPr>
          <w:rtl w:val="true"/>
        </w:rPr>
        <w:t xml:space="preserve">, </w:t>
      </w:r>
      <w:r>
        <w:rPr>
          <w:rtl w:val="true"/>
        </w:rPr>
        <w:t>משקלן המצטבר מצדיק ענישה מחמירה</w:t>
      </w:r>
      <w:r>
        <w:rPr>
          <w:rtl w:val="true"/>
        </w:rPr>
        <w:t xml:space="preserve">. </w:t>
      </w:r>
      <w:r>
        <w:rPr>
          <w:rtl w:val="true"/>
        </w:rPr>
        <w:t>נקבע כי ניתן להתייחס אל המסכת העבריינית כאל אירוע אחד בשים לב לקשר ההדוק בין המעשים ולכך כי נעשו בסמיכות זמנים מסוימת</w:t>
      </w:r>
      <w:r>
        <w:rPr>
          <w:rtl w:val="true"/>
        </w:rPr>
        <w:t xml:space="preserve">. </w:t>
      </w:r>
      <w:r>
        <w:rPr>
          <w:rtl w:val="true"/>
        </w:rPr>
        <w:t>אם כי אין בכך כדי להפחית מחומרתם</w:t>
      </w:r>
      <w:r>
        <w:rPr>
          <w:rtl w:val="true"/>
        </w:rPr>
        <w:t xml:space="preserve">, </w:t>
      </w:r>
      <w:r>
        <w:rPr>
          <w:rtl w:val="true"/>
        </w:rPr>
        <w:t>שכן מתחם העונש ההולם צריך להביא בחשבון את העובדה שמדובר בשתי מתלוננות ואת הצטברות המעשים</w:t>
      </w:r>
      <w:r>
        <w:rPr>
          <w:rtl w:val="true"/>
        </w:rPr>
        <w:t xml:space="preserve">. </w:t>
      </w:r>
      <w:r>
        <w:rPr>
          <w:rtl w:val="true"/>
        </w:rPr>
        <w:t>כן צוין כי חלק מהמעשים אף היו כרוכים בהפעלת כוח וכי מעשה הסדום שביצע במתלוננת א</w:t>
      </w:r>
      <w:r>
        <w:rPr>
          <w:rtl w:val="true"/>
        </w:rPr>
        <w:t xml:space="preserve">' </w:t>
      </w:r>
      <w:r>
        <w:rPr>
          <w:rtl w:val="true"/>
        </w:rPr>
        <w:t>הופסק רק למשמע קול מחוץ לחדר ולא באופן יזום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קיים משקל לעונש המירבי בצדן של כל אחת מהעבירות ואת ההשפעה הקשה של העבירות על נפגעות העבירה שהיו בזמן ביצוע המעשים כבנות </w:t>
      </w:r>
      <w:r>
        <w:rPr/>
        <w:t>10-11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. </w:t>
      </w:r>
      <w:r>
        <w:rPr>
          <w:rtl w:val="true"/>
        </w:rPr>
        <w:t xml:space="preserve">על כן נקבע כי מתחם העונש ההולם במקרה זה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למיקום העונש בתוך המתחם</w:t>
      </w:r>
      <w:r>
        <w:rPr>
          <w:rtl w:val="true"/>
        </w:rPr>
        <w:t xml:space="preserve">. </w:t>
      </w:r>
      <w:r>
        <w:rPr>
          <w:rtl w:val="true"/>
        </w:rPr>
        <w:t>בית המשפט זקף לקולא את עברו הפלילי הנקי של המערער</w:t>
      </w:r>
      <w:r>
        <w:rPr>
          <w:rtl w:val="true"/>
        </w:rPr>
        <w:t xml:space="preserve">, </w:t>
      </w:r>
      <w:r>
        <w:rPr>
          <w:rtl w:val="true"/>
        </w:rPr>
        <w:t>עברו הצבאי ועשייתו למען ביטחון המדינה</w:t>
      </w:r>
      <w:r>
        <w:rPr>
          <w:rtl w:val="true"/>
        </w:rPr>
        <w:t xml:space="preserve">, </w:t>
      </w:r>
      <w:r>
        <w:rPr>
          <w:rtl w:val="true"/>
        </w:rPr>
        <w:t>שיתוף הפעולה בחקירתו במשטרה והודאתו בבית המשפט</w:t>
      </w:r>
      <w:r>
        <w:rPr>
          <w:rtl w:val="true"/>
        </w:rPr>
        <w:t xml:space="preserve">, </w:t>
      </w:r>
      <w:r>
        <w:rPr>
          <w:rtl w:val="true"/>
        </w:rPr>
        <w:t>הנזקים שנגרמו לו בעקבות ההרשעה ופוטנציאל שיקומו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לנוכח חומרתם הרבה של המעשים נקבע כי אין בשיקולי השיקום כדי להצדיק חריגה מהמתחם שנקבע ואף לא הקלה משמעותית בעונש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השית בית המשפט על המערער את העונש שפורט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משיג על חומרת גזר הדין וגורס כי נפל פגם מהותי בהליך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מאחר שעורכת תסקיר נפגעות העבירה נחשפה לכתב האישום המתוקן לראשונה ולתמליל חקירת המתלוננות על ידי חוקרת ילדים</w:t>
      </w:r>
      <w:r>
        <w:rPr>
          <w:rtl w:val="true"/>
        </w:rPr>
        <w:t xml:space="preserve">, </w:t>
      </w:r>
      <w:r>
        <w:rPr>
          <w:rtl w:val="true"/>
        </w:rPr>
        <w:t>ברי כי תוכן התסקיר מוטה וחורג מהמסגרת העובדתית המוסכמת בהסדר הטיעון</w:t>
      </w:r>
      <w:r>
        <w:rPr>
          <w:rtl w:val="true"/>
        </w:rPr>
        <w:t xml:space="preserve">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לא היה מקום לקבל את התסקיר לתיק בית המשפט</w:t>
      </w:r>
      <w:r>
        <w:rPr>
          <w:rtl w:val="true"/>
        </w:rPr>
        <w:t xml:space="preserve">, </w:t>
      </w:r>
      <w:r>
        <w:rPr>
          <w:rtl w:val="true"/>
        </w:rPr>
        <w:t>ואין בהודעת ההבהרה שהוגשה על ידי עורכת התסקיר כדי לרפא פגמים מעין אלה</w:t>
      </w:r>
      <w:r>
        <w:rPr>
          <w:rtl w:val="true"/>
        </w:rPr>
        <w:t xml:space="preserve">. </w:t>
      </w:r>
      <w:r>
        <w:rPr>
          <w:rtl w:val="true"/>
        </w:rPr>
        <w:t>לגוף התסקיר האמור נטען כי הוא נשען בעיקרו על עמדת אֵם המתלוננות וכי הוא מרחיב באופן קיצוני</w:t>
      </w:r>
      <w:r>
        <w:rPr>
          <w:rtl w:val="true"/>
        </w:rPr>
        <w:t xml:space="preserve">, </w:t>
      </w:r>
      <w:r>
        <w:rPr>
          <w:rtl w:val="true"/>
        </w:rPr>
        <w:t xml:space="preserve">עד כדי חריגה מהמטרה לשמה הוא נועד </w:t>
      </w:r>
      <w:r>
        <w:rPr>
          <w:rtl w:val="true"/>
        </w:rPr>
        <w:t>–</w:t>
      </w:r>
      <w:r>
        <w:rPr>
          <w:rtl w:val="true"/>
        </w:rPr>
        <w:t xml:space="preserve"> שיקוף החוויה והנזקים שנגרמו לנפגעות העבירה</w:t>
      </w:r>
      <w:r>
        <w:rPr>
          <w:rtl w:val="true"/>
        </w:rPr>
        <w:t xml:space="preserve">, </w:t>
      </w:r>
      <w:r>
        <w:rPr>
          <w:rtl w:val="true"/>
        </w:rPr>
        <w:t>ותוּ לא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לשיטתו התסקיר אינו עולה בקנה אחד עם הדו</w:t>
      </w:r>
      <w:r>
        <w:rPr>
          <w:rtl w:val="true"/>
        </w:rPr>
        <w:t>"</w:t>
      </w:r>
      <w:r>
        <w:rPr>
          <w:rtl w:val="true"/>
        </w:rPr>
        <w:t>ח הפסיכו</w:t>
      </w:r>
      <w:r>
        <w:rPr>
          <w:rtl w:val="true"/>
        </w:rPr>
        <w:t>-</w:t>
      </w:r>
      <w:r>
        <w:rPr>
          <w:rtl w:val="true"/>
        </w:rPr>
        <w:t>סוציאלי שהוגש מטעם שירותי הרווחה</w:t>
      </w:r>
      <w:r>
        <w:rPr>
          <w:rtl w:val="true"/>
        </w:rPr>
        <w:t xml:space="preserve">. </w:t>
      </w:r>
      <w:r>
        <w:rPr>
          <w:rtl w:val="true"/>
        </w:rPr>
        <w:t>אשר לקביעת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המערער מצביע על סתירה פנימית בגזר הדין</w:t>
      </w:r>
      <w:r>
        <w:rPr>
          <w:rtl w:val="true"/>
        </w:rPr>
        <w:t xml:space="preserve">.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בית המשפט ציין כי המעשים אינם ברף החומרה הגבוה של עבירות המין</w:t>
      </w:r>
      <w:r>
        <w:rPr>
          <w:rtl w:val="true"/>
        </w:rPr>
        <w:t xml:space="preserve">; </w:t>
      </w:r>
      <w:r>
        <w:rPr>
          <w:rtl w:val="true"/>
        </w:rPr>
        <w:t>בעוד שמצד שני</w:t>
      </w:r>
      <w:r>
        <w:rPr>
          <w:rtl w:val="true"/>
        </w:rPr>
        <w:t xml:space="preserve">, </w:t>
      </w:r>
      <w:r>
        <w:rPr>
          <w:rtl w:val="true"/>
        </w:rPr>
        <w:t>מתחם העונש שנקבע חורג לחומרה ממדיניות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>אין המדובר במעשים הנושאים חומרה יתרה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בנגיעות וליטופים שנעשו בתדירות לא גבוהה</w:t>
      </w:r>
      <w:r>
        <w:rPr>
          <w:rtl w:val="true"/>
        </w:rPr>
        <w:t xml:space="preserve">. </w:t>
      </w:r>
      <w:r>
        <w:rPr>
          <w:rtl w:val="true"/>
        </w:rPr>
        <w:t>המערער לא התעלם מאי</w:t>
      </w:r>
      <w:r>
        <w:rPr>
          <w:rtl w:val="true"/>
        </w:rPr>
        <w:t>-</w:t>
      </w:r>
      <w:r>
        <w:rPr>
          <w:rtl w:val="true"/>
        </w:rPr>
        <w:t>רצונן של המתלוננות</w:t>
      </w:r>
      <w:r>
        <w:rPr>
          <w:rtl w:val="true"/>
        </w:rPr>
        <w:t xml:space="preserve">. </w:t>
      </w:r>
      <w:r>
        <w:rPr>
          <w:rtl w:val="true"/>
        </w:rPr>
        <w:t>לראיה</w:t>
      </w:r>
      <w:r>
        <w:rPr>
          <w:rtl w:val="true"/>
        </w:rPr>
        <w:t xml:space="preserve">, </w:t>
      </w:r>
      <w:r>
        <w:rPr>
          <w:rtl w:val="true"/>
        </w:rPr>
        <w:t>משעה שמתלוננת א</w:t>
      </w:r>
      <w:r>
        <w:rPr>
          <w:rtl w:val="true"/>
        </w:rPr>
        <w:t xml:space="preserve">' </w:t>
      </w:r>
      <w:r>
        <w:rPr>
          <w:rtl w:val="true"/>
        </w:rPr>
        <w:t>ביקשה ממנו לחדול ממעשיו המתוארים באישום הראשון</w:t>
      </w:r>
      <w:r>
        <w:rPr>
          <w:rtl w:val="true"/>
        </w:rPr>
        <w:t xml:space="preserve">, </w:t>
      </w:r>
      <w:r>
        <w:rPr>
          <w:rtl w:val="true"/>
        </w:rPr>
        <w:t>הוא חדל מלעשות כן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אף ביוזמתו חדל ממעשיו בחודש אוגוסט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כחודשיים בטרם הוגשה התלונה נגדו</w:t>
      </w:r>
      <w:r>
        <w:rPr>
          <w:rtl w:val="true"/>
        </w:rPr>
        <w:t xml:space="preserve">. </w:t>
      </w:r>
      <w:r>
        <w:rPr>
          <w:rtl w:val="true"/>
        </w:rPr>
        <w:t>המעשים לא כללו אלימות</w:t>
      </w:r>
      <w:r>
        <w:rPr>
          <w:rtl w:val="true"/>
        </w:rPr>
        <w:t xml:space="preserve">, </w:t>
      </w:r>
      <w:r>
        <w:rPr>
          <w:rtl w:val="true"/>
        </w:rPr>
        <w:t>התאכזרות</w:t>
      </w:r>
      <w:r>
        <w:rPr>
          <w:rtl w:val="true"/>
        </w:rPr>
        <w:t xml:space="preserve">, </w:t>
      </w:r>
      <w:r>
        <w:rPr>
          <w:rtl w:val="true"/>
        </w:rPr>
        <w:t>איומים או כפייה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ההולם ראוי שינוע בין </w:t>
      </w:r>
      <w:r>
        <w:rPr/>
        <w:t>3.5-4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7.5-8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אף החמיר עמו בכך שמיקם את עונשו במרכז המתחם שנקבע</w:t>
      </w:r>
      <w:r>
        <w:rPr>
          <w:rtl w:val="true"/>
        </w:rPr>
        <w:t xml:space="preserve">. </w:t>
      </w:r>
      <w:r>
        <w:rPr>
          <w:rtl w:val="true"/>
        </w:rPr>
        <w:t>למערער נגרם נזק רב</w:t>
      </w:r>
      <w:r>
        <w:rPr>
          <w:rtl w:val="true"/>
        </w:rPr>
        <w:t xml:space="preserve">, </w:t>
      </w:r>
      <w:r>
        <w:rPr>
          <w:rtl w:val="true"/>
        </w:rPr>
        <w:t>הוא נאלץ להתגרש מאשתו ואף לאבד את תפקידו בצה</w:t>
      </w:r>
      <w:r>
        <w:rPr>
          <w:rtl w:val="true"/>
        </w:rPr>
        <w:t>"</w:t>
      </w:r>
      <w:r>
        <w:rPr>
          <w:rtl w:val="true"/>
        </w:rPr>
        <w:t>ל ומעמדו רם המעלה אותו צבר במהלך שנים רבות של עשייה משמעותית למען ביטחון המדינה</w:t>
      </w:r>
      <w:r>
        <w:rPr>
          <w:rtl w:val="true"/>
        </w:rPr>
        <w:t xml:space="preserve">. </w:t>
      </w:r>
      <w:r>
        <w:rPr>
          <w:rtl w:val="true"/>
        </w:rPr>
        <w:t>הוא נעדר עבר פלילי</w:t>
      </w:r>
      <w:r>
        <w:rPr>
          <w:rtl w:val="true"/>
        </w:rPr>
        <w:t xml:space="preserve">, </w:t>
      </w:r>
      <w:r>
        <w:rPr>
          <w:rtl w:val="true"/>
        </w:rPr>
        <w:t>הודה בביצוע העבירות וחסך את העדת המתלוננות בבית המשפט</w:t>
      </w:r>
      <w:r>
        <w:rPr>
          <w:rtl w:val="true"/>
        </w:rPr>
        <w:t xml:space="preserve">. </w:t>
      </w:r>
      <w:r>
        <w:rPr>
          <w:rtl w:val="true"/>
        </w:rPr>
        <w:t>הוא נוטל אחריות מלאה למעשיו</w:t>
      </w:r>
      <w:r>
        <w:rPr>
          <w:rtl w:val="true"/>
        </w:rPr>
        <w:t xml:space="preserve">, </w:t>
      </w:r>
      <w:r>
        <w:rPr>
          <w:rtl w:val="true"/>
        </w:rPr>
        <w:t>ולראיה שילם את מלוא הפיצוי הכספי שהושת עליו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מתסקירי שירות המבחן ומחוות דעתו של ד</w:t>
      </w:r>
      <w:r>
        <w:rPr>
          <w:rtl w:val="true"/>
        </w:rPr>
        <w:t>"</w:t>
      </w:r>
      <w:r>
        <w:rPr>
          <w:rtl w:val="true"/>
        </w:rPr>
        <w:t>ר שני עולה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אינן פשוטות לנוכח מצבה המורכב של המשפחה בה הוא גדל והטראומות שחווה בשירותו הצבאי</w:t>
      </w:r>
      <w:r>
        <w:rPr>
          <w:rtl w:val="true"/>
        </w:rPr>
        <w:t xml:space="preserve">. </w:t>
      </w:r>
      <w:r>
        <w:rPr>
          <w:rtl w:val="true"/>
        </w:rPr>
        <w:t>המערער אף משיג על תוכן תסקיר שירות המבחן בעניינו וטוען</w:t>
      </w:r>
      <w:r>
        <w:rPr>
          <w:rtl w:val="true"/>
        </w:rPr>
        <w:t xml:space="preserve">, </w:t>
      </w:r>
      <w:r>
        <w:rPr>
          <w:rtl w:val="true"/>
        </w:rPr>
        <w:t>כי שגה בית המשפט בכך שהעדיף את האמור בתסקיר על פני האמור בחוות דעתו של ד</w:t>
      </w:r>
      <w:r>
        <w:rPr>
          <w:rtl w:val="true"/>
        </w:rPr>
        <w:t>"</w:t>
      </w:r>
      <w:r>
        <w:rPr>
          <w:rtl w:val="true"/>
        </w:rPr>
        <w:t>ר שני</w:t>
      </w:r>
      <w:r>
        <w:rPr>
          <w:rtl w:val="true"/>
        </w:rPr>
        <w:t xml:space="preserve">, </w:t>
      </w:r>
      <w:r>
        <w:rPr>
          <w:rtl w:val="true"/>
        </w:rPr>
        <w:t xml:space="preserve">שהיא לשיטתו </w:t>
      </w:r>
      <w:r>
        <w:rPr>
          <w:rtl w:val="true"/>
        </w:rPr>
        <w:t>"</w:t>
      </w:r>
      <w:r>
        <w:rPr>
          <w:rtl w:val="true"/>
        </w:rPr>
        <w:t>מקצועית והגיונית הרבה יותר</w:t>
      </w:r>
      <w:r>
        <w:rPr>
          <w:rtl w:val="true"/>
        </w:rPr>
        <w:t xml:space="preserve">". </w:t>
      </w:r>
      <w:r>
        <w:rPr>
          <w:rtl w:val="true"/>
        </w:rPr>
        <w:t>בפרט מטעים המערער כי ד</w:t>
      </w:r>
      <w:r>
        <w:rPr>
          <w:rtl w:val="true"/>
        </w:rPr>
        <w:t>"</w:t>
      </w:r>
      <w:r>
        <w:rPr>
          <w:rtl w:val="true"/>
        </w:rPr>
        <w:t>ר שני העריך את רמת מסוכנותו המינית לטווח הארוך כנמוכה</w:t>
      </w:r>
      <w:r>
        <w:rPr>
          <w:rtl w:val="true"/>
        </w:rPr>
        <w:t xml:space="preserve">, </w:t>
      </w:r>
      <w:r>
        <w:rPr>
          <w:rtl w:val="true"/>
        </w:rPr>
        <w:t>ואת פוטנציאל שיקומו כממשי</w:t>
      </w:r>
      <w:r>
        <w:rPr>
          <w:rtl w:val="true"/>
        </w:rPr>
        <w:t xml:space="preserve">. </w:t>
      </w:r>
      <w:r>
        <w:rPr>
          <w:rtl w:val="true"/>
        </w:rPr>
        <w:t>נסיבותיו האישיות ואופק השיקום תומכים אפוא במיקום עונשו ברף הנמוך של המתחם</w:t>
      </w:r>
      <w:r>
        <w:rPr>
          <w:rtl w:val="true"/>
        </w:rPr>
        <w:t xml:space="preserve">. </w:t>
      </w:r>
      <w:r>
        <w:rPr>
          <w:rtl w:val="true"/>
        </w:rPr>
        <w:t>לבסוף נטען כי אופק השיקום בעניינו אף מצדיק סטייה לקולא ממתחם העונש שנקבע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מצדה 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אשר לפגמים שלכאורה נפלו בתסקיר נפגעות העבירה</w:t>
      </w:r>
      <w:r>
        <w:rPr>
          <w:rtl w:val="true"/>
        </w:rPr>
        <w:t xml:space="preserve">, </w:t>
      </w:r>
      <w:r>
        <w:rPr>
          <w:rtl w:val="true"/>
        </w:rPr>
        <w:t>הוטעם כי טענות אלו נדונו לפני בית המשפט המחוזי ונדחו</w:t>
      </w:r>
      <w:r>
        <w:rPr>
          <w:rtl w:val="true"/>
        </w:rPr>
        <w:t xml:space="preserve">. </w:t>
      </w:r>
      <w:r>
        <w:rPr>
          <w:rtl w:val="true"/>
        </w:rPr>
        <w:t>ממילא תסקיר נפגעות העבירה מהווה אך כלי עזר ולא בסיס להרשעה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הפסיקה שעליה נסמך המערער כדי להציג את מדיניות הענישה המקובלת</w:t>
      </w:r>
      <w:r>
        <w:rPr>
          <w:rtl w:val="true"/>
        </w:rPr>
        <w:t xml:space="preserve">, </w:t>
      </w:r>
      <w:r>
        <w:rPr>
          <w:rtl w:val="true"/>
        </w:rPr>
        <w:t>אינה מועילה לו משעה שמדובר בחומרת מעשים פחותה משמעותית מאשר בענייננו</w:t>
      </w:r>
      <w:r>
        <w:rPr>
          <w:rtl w:val="true"/>
        </w:rPr>
        <w:t xml:space="preserve">. </w:t>
      </w:r>
      <w:r>
        <w:rPr>
          <w:rtl w:val="true"/>
        </w:rPr>
        <w:t>לעניין סיכויי שיקומו של המערער טענה המשיבה</w:t>
      </w:r>
      <w:r>
        <w:rPr>
          <w:rtl w:val="true"/>
        </w:rPr>
        <w:t xml:space="preserve">, </w:t>
      </w:r>
      <w:r>
        <w:rPr>
          <w:rtl w:val="true"/>
        </w:rPr>
        <w:t>כי הגם שיש לכך משקל מסוים</w:t>
      </w:r>
      <w:r>
        <w:rPr>
          <w:rtl w:val="true"/>
        </w:rPr>
        <w:t xml:space="preserve">, </w:t>
      </w:r>
      <w:r>
        <w:rPr>
          <w:rtl w:val="true"/>
        </w:rPr>
        <w:t>במקרה זה מדובר במשקל מוגבל</w:t>
      </w:r>
      <w:r>
        <w:rPr>
          <w:rtl w:val="true"/>
        </w:rPr>
        <w:t xml:space="preserve">. </w:t>
      </w:r>
      <w:r>
        <w:rPr>
          <w:rtl w:val="true"/>
        </w:rPr>
        <w:t>לנוכח חומרתם היתרה של המעשים</w:t>
      </w:r>
      <w:r>
        <w:rPr>
          <w:rtl w:val="true"/>
        </w:rPr>
        <w:t xml:space="preserve">, </w:t>
      </w:r>
      <w:r>
        <w:rPr>
          <w:rtl w:val="true"/>
        </w:rPr>
        <w:t>יש להעניק בכורה לעיקרון ההלימה ולהרתעת הרבים מפני ביצוע מעשים מזוויעים מעין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מהתסקיר המשלים בעניינו של המערער מיום </w:t>
      </w:r>
      <w:r>
        <w:rPr/>
        <w:t>1.1.2018</w:t>
      </w:r>
      <w:r>
        <w:rPr>
          <w:rtl w:val="true"/>
        </w:rPr>
        <w:t xml:space="preserve"> </w:t>
      </w:r>
      <w:r>
        <w:rPr>
          <w:rtl w:val="true"/>
        </w:rPr>
        <w:t>שהוגש במסגרת הדיון שלפנינו עולה</w:t>
      </w:r>
      <w:r>
        <w:rPr>
          <w:rtl w:val="true"/>
        </w:rPr>
        <w:t xml:space="preserve">, </w:t>
      </w:r>
      <w:r>
        <w:rPr>
          <w:rtl w:val="true"/>
        </w:rPr>
        <w:t>כי הוא מתפקד בבית הסוהר באופן תקין וללא בעיות משמעת</w:t>
      </w:r>
      <w:r>
        <w:rPr>
          <w:rtl w:val="true"/>
        </w:rPr>
        <w:t xml:space="preserve">. </w:t>
      </w:r>
      <w:r>
        <w:rPr>
          <w:rtl w:val="true"/>
        </w:rPr>
        <w:t>הוא מודה בביצוע העבירות</w:t>
      </w:r>
      <w:r>
        <w:rPr>
          <w:rtl w:val="true"/>
        </w:rPr>
        <w:t xml:space="preserve">, </w:t>
      </w:r>
      <w:r>
        <w:rPr>
          <w:rtl w:val="true"/>
        </w:rPr>
        <w:t>מביע חרטה ומוטיבציה להשתלב בטיפול ייעודי לעברייני מין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הואיל וטרם סיים לרצות רבע מתקופת מאסרו</w:t>
      </w:r>
      <w:r>
        <w:rPr>
          <w:rtl w:val="true"/>
        </w:rPr>
        <w:t xml:space="preserve">, </w:t>
      </w:r>
      <w:r>
        <w:rPr>
          <w:rtl w:val="true"/>
        </w:rPr>
        <w:t>טרם נעשתה בעניינו הערכת מסוכנות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 לפנינו כי ערכאת הערעור אינה נוטה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אם נפלה טעות ממשית בגזר הדין או שהעונש שהושת חורג באופן מובהק מרמת הענישה הנהוגה בנסיבות דומות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9.1.2018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9.8.2017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14.6.2017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8066/15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16.10.2016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לאחר עיון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בהודעת הערעור ולאחר שמיעת טענות הצדדים בדיון שנערך שלפנינו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לטיעוני המערער בדבר הפגמים שנפלו בהליך עת הגיע לידי עורכת תסקיר נפגעות העבירה חומר שחרג מגדרו של הסדר הטיעון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נראה כי אירעה טעות בכך שהמשיבה העבירה לעורכת התסקיר את החומר האמור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לגרוע באופן משמעותי ממשקלו של התסקיר ובוודאי שלא לשלול את הכללתו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היה ער לקושי שעלה בעקבות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הורה לעורכת התסקיר להבהיר האם היה במידע שהגיע לעיונה ואשר חרג מהסדר הטיעון כדי להשליך על תוכן התסקיר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ששקל בית המשפט את התנגדות המערער מזה ואת עמדתה של עורכת התסקיר מזה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בצדק נחה דעתו כי אין בטעות המתוארת כדי למנוע את קבלת התסקיר ובתוך כך להתעלם מההשלכות החמורות של מעשי המערער על מהלך חייהן ומצבן הנפשי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הרגשי וההתפתחותי של המתלוננות הקטינות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טענות אלו נדונו אפוא ומסקנת בית המשפט המחוזי בעניינן מקובלת עלינו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לגופו של עניין דינן של הטענות להידחות</w:t>
      </w:r>
      <w:r>
        <w:rPr>
          <w:rtl w:val="true"/>
        </w:rPr>
        <w:t xml:space="preserve">. </w:t>
      </w:r>
      <w:r>
        <w:rPr>
          <w:rtl w:val="true"/>
        </w:rPr>
        <w:t>בית משפט זה נדרש זה מכבר לשאלה</w:t>
      </w:r>
      <w:r>
        <w:rPr>
          <w:rtl w:val="true"/>
        </w:rPr>
        <w:t xml:space="preserve">, </w:t>
      </w:r>
      <w:r>
        <w:rPr>
          <w:rtl w:val="true"/>
        </w:rPr>
        <w:t>האם יש להגביל את עורך תסקיר נפגעי העבירה רק לעובדות כתב האישום המתוקן מושא הסדר הטיעון</w:t>
      </w:r>
      <w:r>
        <w:rPr>
          <w:rtl w:val="true"/>
        </w:rPr>
        <w:t xml:space="preserve">, </w:t>
      </w:r>
      <w:r>
        <w:rPr>
          <w:rtl w:val="true"/>
        </w:rPr>
        <w:t>או שמא הוא רשאי לעיין בכל חומר רלוונטי</w:t>
      </w:r>
      <w:r>
        <w:rPr>
          <w:rtl w:val="true"/>
        </w:rPr>
        <w:t xml:space="preserve">. </w:t>
      </w:r>
      <w:r>
        <w:rPr>
          <w:rtl w:val="true"/>
        </w:rPr>
        <w:t>נקבע כי ככלל</w:t>
      </w:r>
      <w:r>
        <w:rPr>
          <w:rtl w:val="true"/>
        </w:rPr>
        <w:t xml:space="preserve">, </w:t>
      </w:r>
      <w:r>
        <w:rPr>
          <w:rtl w:val="true"/>
        </w:rPr>
        <w:t>מתפקידו של עורך התסקיר להתבסס על כל חומר שיש בו כדי לתרום לגיבוש חוות דעת יסודית ומקיפה ככל הניתן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ככלי עזר בידי בית המשפט לעמוד על מצב הנפגעים לאשורו ועל טיב והיקף הנזק שנגרם להם</w:t>
      </w:r>
      <w:r>
        <w:rPr>
          <w:rtl w:val="true"/>
        </w:rPr>
        <w:t xml:space="preserve">. </w:t>
      </w:r>
      <w:r>
        <w:rPr>
          <w:rtl w:val="true"/>
        </w:rPr>
        <w:t>דברים אלה נכונים גם לגבי היחשפות עורך התסקיר לחקירות הנפגעים על ידי חוקרת ילדים</w:t>
      </w:r>
      <w:r>
        <w:rPr>
          <w:rtl w:val="true"/>
        </w:rPr>
        <w:t xml:space="preserve">, </w:t>
      </w:r>
      <w:r>
        <w:rPr>
          <w:rtl w:val="true"/>
        </w:rPr>
        <w:t xml:space="preserve">המהווה גורם מקצועי אובייקטיבי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8888/07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6.7.2009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7609/06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13.11.2008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' (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עיון בגזר הדין במקרה זה מעלה כי הוא לא נשען על עובדות שחרגו מכתב האישום המתוקן בשנית</w:t>
      </w:r>
      <w:r>
        <w:rPr>
          <w:rtl w:val="true"/>
        </w:rPr>
        <w:t xml:space="preserve">, </w:t>
      </w:r>
      <w:r>
        <w:rPr>
          <w:rtl w:val="true"/>
        </w:rPr>
        <w:t>אלא שבית המשפט נעזר בתסקיר נפגעות העבירה אך ככלי עזר להערכת הפגיעה שנגרמה למתלוננות</w:t>
      </w:r>
      <w:r>
        <w:rPr>
          <w:rtl w:val="true"/>
        </w:rPr>
        <w:t xml:space="preserve">. </w:t>
      </w:r>
      <w:r>
        <w:rPr>
          <w:rtl w:val="true"/>
        </w:rPr>
        <w:t>על כן ולנוכח התייחסותו של בית המשפט לסוגיה והודעת ההבהרה שהוגשה מטעם עורכת התסקיר</w:t>
      </w:r>
      <w:r>
        <w:rPr>
          <w:rtl w:val="true"/>
        </w:rPr>
        <w:t xml:space="preserve">, </w:t>
      </w:r>
      <w:r>
        <w:rPr>
          <w:rtl w:val="true"/>
        </w:rPr>
        <w:t>לא נמצא כי נפל פגם בהליך באופן שמצדיק התעלמות מתוכנו של התסקיר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טענות המערער בגנות מהימנותו של תסקיר נפגעות העבירה</w:t>
      </w:r>
      <w:r>
        <w:rPr>
          <w:rtl w:val="true"/>
        </w:rPr>
        <w:t xml:space="preserve">, </w:t>
      </w:r>
      <w:r>
        <w:rPr>
          <w:rtl w:val="true"/>
        </w:rPr>
        <w:t>אינן מן העניין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המשפט אינו מחויב לקבל את המלצת שירות המבחן או בענייננו את המלצת המפקח בשירות מטעם שירות ילד ונוער במשרד הרווחה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גופים אלה משמשים כאמור כלי עזר אובייקטיבי בידי בית המשפט</w:t>
      </w:r>
      <w:r>
        <w:rPr>
          <w:rtl w:val="true"/>
        </w:rPr>
        <w:t xml:space="preserve">, </w:t>
      </w:r>
      <w:r>
        <w:rPr>
          <w:rtl w:val="true"/>
        </w:rPr>
        <w:t>על מנת להעריך את מידת הנזקים שנגרמו כתוצאה מביצוע העבירות</w:t>
      </w:r>
      <w:r>
        <w:rPr>
          <w:rtl w:val="true"/>
        </w:rPr>
        <w:t xml:space="preserve">. </w:t>
      </w:r>
      <w:r>
        <w:rPr>
          <w:rtl w:val="true"/>
        </w:rPr>
        <w:t>מתסקיר נפגעות העבירה עולה תמונה קודרת לפיה מעשיו של המערער הסבו נזקים נפשיים משמעותיים לבנותיו הקטינות</w:t>
      </w:r>
      <w:r>
        <w:rPr>
          <w:rtl w:val="true"/>
        </w:rPr>
        <w:t xml:space="preserve">. </w:t>
      </w:r>
      <w:r>
        <w:rPr>
          <w:rtl w:val="true"/>
        </w:rPr>
        <w:t>נזקים אלה אף עלולים לשנות את מהלך חייהן ולתת את אותותיהם גם בעתיד</w:t>
      </w:r>
      <w:r>
        <w:rPr>
          <w:rtl w:val="true"/>
        </w:rPr>
        <w:t xml:space="preserve">, </w:t>
      </w:r>
      <w:r>
        <w:rPr>
          <w:rtl w:val="true"/>
        </w:rPr>
        <w:t>בשל השפעתם האפשרית על עיצוב אישיותן כבני אדם בכלל וכנשים בפרט</w:t>
      </w:r>
      <w:r>
        <w:rPr>
          <w:rtl w:val="true"/>
        </w:rPr>
        <w:t xml:space="preserve">. </w:t>
      </w:r>
      <w:r>
        <w:rPr>
          <w:rtl w:val="true"/>
        </w:rPr>
        <w:t>המדובר בפגיעה קשה</w:t>
      </w:r>
      <w:r>
        <w:rPr>
          <w:rtl w:val="true"/>
        </w:rPr>
        <w:t xml:space="preserve">, </w:t>
      </w:r>
      <w:r>
        <w:rPr>
          <w:rtl w:val="true"/>
        </w:rPr>
        <w:t>כפי שהמערער יכול היה לצפות אילו היה ער לצרכיהן של בנותיו ומכיר באופן כן בהשלכות 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גם מבקש להיתלות בדו</w:t>
      </w:r>
      <w:r>
        <w:rPr>
          <w:rtl w:val="true"/>
        </w:rPr>
        <w:t>"</w:t>
      </w:r>
      <w:r>
        <w:rPr>
          <w:rtl w:val="true"/>
        </w:rPr>
        <w:t>ח הפסיכו</w:t>
      </w:r>
      <w:r>
        <w:rPr>
          <w:rtl w:val="true"/>
        </w:rPr>
        <w:t>-</w:t>
      </w:r>
      <w:r>
        <w:rPr>
          <w:rtl w:val="true"/>
        </w:rPr>
        <w:t>סוציאלי שהוגש על ידי שירותי הרווחה במסגרת הליך שהתקיים בבית המשפט לענייני משפחה בעניין התביעה שהוגשה נגדו לשם שלילת האפוטרופסות שלו על ילדיו</w:t>
      </w:r>
      <w:r>
        <w:rPr>
          <w:rtl w:val="true"/>
        </w:rPr>
        <w:t xml:space="preserve">. </w:t>
      </w:r>
      <w:r>
        <w:rPr>
          <w:rtl w:val="true"/>
        </w:rPr>
        <w:t>לדידו כאמור</w:t>
      </w:r>
      <w:r>
        <w:rPr>
          <w:rtl w:val="true"/>
        </w:rPr>
        <w:t xml:space="preserve">, </w:t>
      </w:r>
      <w:r>
        <w:rPr>
          <w:rtl w:val="true"/>
        </w:rPr>
        <w:t>המדובר בדו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"</w:t>
      </w:r>
      <w:r>
        <w:rPr>
          <w:rtl w:val="true"/>
        </w:rPr>
        <w:t>מתון</w:t>
      </w:r>
      <w:r>
        <w:rPr>
          <w:rtl w:val="true"/>
        </w:rPr>
        <w:t xml:space="preserve">"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אלא שעיון בדו</w:t>
      </w:r>
      <w:r>
        <w:rPr>
          <w:rtl w:val="true"/>
        </w:rPr>
        <w:t>"</w:t>
      </w:r>
      <w:r>
        <w:rPr>
          <w:rtl w:val="true"/>
        </w:rPr>
        <w:t>ח זה מגלה כי האמור בו אינו סותר את תסקיר נפגעות העבירה ואינו מוריד כלל וכלל מעוצמת הפגיעה במתלוננות המתוארת בתסקיר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בית משפט זה הטעים לא אחת את החומרה הרבה הכרוכה בביצוע עבירות מין</w:t>
      </w:r>
      <w:r>
        <w:rPr>
          <w:rtl w:val="true"/>
        </w:rPr>
        <w:t xml:space="preserve">. </w:t>
      </w:r>
      <w:r>
        <w:rPr>
          <w:rtl w:val="true"/>
        </w:rPr>
        <w:t>חומרה זו מתעצמת שעה שהעבירות מבוצעות נגד קטינים חסרי אונים</w:t>
      </w:r>
      <w:r>
        <w:rPr>
          <w:rtl w:val="true"/>
        </w:rPr>
        <w:t xml:space="preserve">, </w:t>
      </w:r>
      <w:r>
        <w:rPr>
          <w:rtl w:val="true"/>
        </w:rPr>
        <w:t>לא כל שכן כאשר העבריין הוא אביהן של הקטינות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אלה </w:t>
      </w:r>
      <w:r>
        <w:rPr>
          <w:rtl w:val="true"/>
        </w:rPr>
        <w:t>"</w:t>
      </w:r>
      <w:r>
        <w:rPr>
          <w:rtl w:val="true"/>
        </w:rPr>
        <w:t>צורבים כברזל מלובן נפשו של ילד ומותירים צלקות שלעולם לא תימחינה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10673/04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1.6.2008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 כן יש לנקוט בענישה משמעותית שתבטא את שאט הנפש שהחברה חשה מפני גילוי עריות ופגיעה בנפשם ובגופם של ילדים רכים בשנים</w:t>
      </w:r>
      <w:r>
        <w:rPr>
          <w:rtl w:val="true"/>
        </w:rPr>
        <w:t xml:space="preserve">, </w:t>
      </w:r>
      <w:r>
        <w:rPr>
          <w:rtl w:val="true"/>
        </w:rPr>
        <w:t>הנעשית בדל</w:t>
      </w:r>
      <w:r>
        <w:rPr>
          <w:rtl w:val="true"/>
        </w:rPr>
        <w:t>"</w:t>
      </w:r>
      <w:r>
        <w:rPr>
          <w:rtl w:val="true"/>
        </w:rPr>
        <w:t xml:space="preserve">ת אמותיה של משפחתם הגרעינית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10.1.2017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3958/08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10.9.2014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10053/09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ט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4.11.2010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לקבל את טענות המערער לפיהן מעשיו מצויים במדרג הנמוך של עבירות המין</w:t>
      </w:r>
      <w:r>
        <w:rPr>
          <w:rtl w:val="true"/>
        </w:rPr>
        <w:t xml:space="preserve">. </w:t>
      </w:r>
      <w:r>
        <w:rPr>
          <w:rtl w:val="true"/>
        </w:rPr>
        <w:t>המדובר במעשים חמורים ביותר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העבירות בוצעו במספר רב של אירועים</w:t>
      </w:r>
      <w:r>
        <w:rPr>
          <w:rtl w:val="true"/>
        </w:rPr>
        <w:t xml:space="preserve">, </w:t>
      </w:r>
      <w:r>
        <w:rPr>
          <w:rtl w:val="true"/>
        </w:rPr>
        <w:t>נמשכו על פני תקופה של כשנתיים והופנו כלפי שתי קטינות</w:t>
      </w:r>
      <w:r>
        <w:rPr>
          <w:rtl w:val="true"/>
        </w:rPr>
        <w:t xml:space="preserve">, </w:t>
      </w:r>
      <w:r>
        <w:rPr>
          <w:rtl w:val="true"/>
        </w:rPr>
        <w:t>בנותיו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המעשים אף בוצעו במקומות שונים שבהם המתלוננות היו אמורות להרגיש בטוחות בחיק משפחתן </w:t>
      </w:r>
      <w:r>
        <w:rPr>
          <w:rtl w:val="true"/>
        </w:rPr>
        <w:t>–</w:t>
      </w:r>
      <w:r>
        <w:rPr>
          <w:rtl w:val="true"/>
        </w:rPr>
        <w:t xml:space="preserve"> בית המשפחה</w:t>
      </w:r>
      <w:r>
        <w:rPr>
          <w:rtl w:val="true"/>
        </w:rPr>
        <w:t xml:space="preserve">, </w:t>
      </w:r>
      <w:r>
        <w:rPr>
          <w:rtl w:val="true"/>
        </w:rPr>
        <w:t>בית הסבים</w:t>
      </w:r>
      <w:r>
        <w:rPr>
          <w:rtl w:val="true"/>
        </w:rPr>
        <w:t xml:space="preserve">, </w:t>
      </w:r>
      <w:r>
        <w:rPr>
          <w:rtl w:val="true"/>
        </w:rPr>
        <w:t>נופשים משפחתיים</w:t>
      </w:r>
      <w:r>
        <w:rPr>
          <w:rtl w:val="true"/>
        </w:rPr>
        <w:t xml:space="preserve">, </w:t>
      </w:r>
      <w:r>
        <w:rPr>
          <w:rtl w:val="true"/>
        </w:rPr>
        <w:t>בכלי רכבו של המערער ועוד</w:t>
      </w:r>
      <w:r>
        <w:rPr>
          <w:rtl w:val="true"/>
        </w:rPr>
        <w:t xml:space="preserve">. </w:t>
      </w:r>
      <w:r>
        <w:rPr>
          <w:rtl w:val="true"/>
        </w:rPr>
        <w:t>חרף טענתו כי הוא לא פעל באלימות</w:t>
      </w:r>
      <w:r>
        <w:rPr>
          <w:rtl w:val="true"/>
        </w:rPr>
        <w:t xml:space="preserve">, </w:t>
      </w:r>
      <w:r>
        <w:rPr>
          <w:rtl w:val="true"/>
        </w:rPr>
        <w:t>בכפייה או בהתאכזרות</w:t>
      </w:r>
      <w:r>
        <w:rPr>
          <w:rtl w:val="true"/>
        </w:rPr>
        <w:t xml:space="preserve">, </w:t>
      </w:r>
      <w:r>
        <w:rPr>
          <w:rtl w:val="true"/>
        </w:rPr>
        <w:t>הדבר אינו עולה בקנה אחד עם העובדות המוסכמות בכתב האישום המתוקן בשנית</w:t>
      </w:r>
      <w:r>
        <w:rPr>
          <w:rtl w:val="true"/>
        </w:rPr>
        <w:t xml:space="preserve">. </w:t>
      </w:r>
      <w:r>
        <w:rPr>
          <w:rtl w:val="true"/>
        </w:rPr>
        <w:t>המערער ניצל את מרותו על בנותיו ואת תלותן בו</w:t>
      </w:r>
      <w:r>
        <w:rPr>
          <w:rtl w:val="true"/>
        </w:rPr>
        <w:t xml:space="preserve">, </w:t>
      </w:r>
      <w:r>
        <w:rPr>
          <w:rtl w:val="true"/>
        </w:rPr>
        <w:t>זאת כדי לספק את יצריו המיניים מבלי שהכיר בצורכיהן ובזכותן לשלמות גופן ונפשן</w:t>
      </w:r>
      <w:r>
        <w:rPr>
          <w:rtl w:val="true"/>
        </w:rPr>
        <w:t xml:space="preserve">. </w:t>
      </w:r>
      <w:r>
        <w:rPr>
          <w:rtl w:val="true"/>
        </w:rPr>
        <w:t>לא אחת הוא אף הפעיל מידה מסוימת של כוח על מנת לבצע את זממו</w:t>
      </w:r>
      <w:r>
        <w:rPr>
          <w:rtl w:val="true"/>
        </w:rPr>
        <w:t xml:space="preserve">. </w:t>
      </w:r>
      <w:r>
        <w:rPr>
          <w:rtl w:val="true"/>
        </w:rPr>
        <w:t>כך כאמור</w:t>
      </w:r>
      <w:r>
        <w:rPr>
          <w:rtl w:val="true"/>
        </w:rPr>
        <w:t xml:space="preserve">, </w:t>
      </w:r>
      <w:r>
        <w:rPr>
          <w:rtl w:val="true"/>
        </w:rPr>
        <w:t>המערער לא חדל ממעשיו אף על פי שבמספר מקרים המתלוננות שיכלו את רגליהן על מנת למנוע ממנו לפגוע בהן ומתלוננת א</w:t>
      </w:r>
      <w:r>
        <w:rPr>
          <w:rtl w:val="true"/>
        </w:rPr>
        <w:t xml:space="preserve">' </w:t>
      </w:r>
      <w:r>
        <w:rPr>
          <w:rtl w:val="true"/>
        </w:rPr>
        <w:t xml:space="preserve">אף סגרה את פיה ושיניה בניסיון </w:t>
      </w:r>
      <w:r>
        <w:rPr>
          <w:rtl w:val="true"/>
        </w:rPr>
        <w:t>–</w:t>
      </w:r>
      <w:r>
        <w:rPr>
          <w:rtl w:val="true"/>
        </w:rPr>
        <w:t xml:space="preserve"> שלא צלח </w:t>
      </w:r>
      <w:r>
        <w:rPr>
          <w:rtl w:val="true"/>
        </w:rPr>
        <w:t>–</w:t>
      </w:r>
      <w:r>
        <w:rPr>
          <w:rtl w:val="true"/>
        </w:rPr>
        <w:t xml:space="preserve"> למנוע ממנו להחדיר את איבר מינו אל פיה</w:t>
      </w:r>
      <w:r>
        <w:rPr>
          <w:rtl w:val="true"/>
        </w:rPr>
        <w:t xml:space="preserve">. </w:t>
      </w:r>
      <w:r>
        <w:rPr>
          <w:rtl w:val="true"/>
        </w:rPr>
        <w:t>באותו אופן יש לדחות את טענתו כי הוא כיבד את רצונן של המתלוננות</w:t>
      </w:r>
      <w:r>
        <w:rPr>
          <w:rtl w:val="true"/>
        </w:rPr>
        <w:t xml:space="preserve">. </w:t>
      </w:r>
      <w:r>
        <w:rPr>
          <w:rtl w:val="true"/>
        </w:rPr>
        <w:t>הוא מבקש לתמוך טענה זו בכך שמשעה שמתלוננת ב</w:t>
      </w:r>
      <w:r>
        <w:rPr>
          <w:rtl w:val="true"/>
        </w:rPr>
        <w:t xml:space="preserve">' </w:t>
      </w:r>
      <w:r>
        <w:rPr>
          <w:rtl w:val="true"/>
        </w:rPr>
        <w:t>ביקשה ממנו להפסיק במעשיו</w:t>
      </w:r>
      <w:r>
        <w:rPr>
          <w:rtl w:val="true"/>
        </w:rPr>
        <w:t xml:space="preserve">, </w:t>
      </w:r>
      <w:r>
        <w:rPr>
          <w:rtl w:val="true"/>
        </w:rPr>
        <w:t>הוא ניאות לבקשתה</w:t>
      </w:r>
      <w:r>
        <w:rPr>
          <w:rtl w:val="true"/>
        </w:rPr>
        <w:t xml:space="preserve">. </w:t>
      </w:r>
      <w:r>
        <w:rPr>
          <w:rtl w:val="true"/>
        </w:rPr>
        <w:t>אלא שמעובדות כתב האישום המתוקן בשנית עולה תמונה אחרת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לא נמנע מהפעלת כוח כאשר המתלוננות הביעו התנגדות פיזית מסוימת</w:t>
      </w:r>
      <w:r>
        <w:rPr>
          <w:rtl w:val="true"/>
        </w:rPr>
        <w:t xml:space="preserve">, </w:t>
      </w:r>
      <w:r>
        <w:rPr>
          <w:rtl w:val="true"/>
        </w:rPr>
        <w:t>ובמקרים שונים הוא חדל ממעשיו רק בשל כך שנשמע קול פתאומי מחוץ לחדר בו ביצע את זממו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ספק כי היה לו בסיס איתן להבין שמעשיו בוצעו בניגוד לרצונן של המתלוננות</w:t>
      </w:r>
      <w:r>
        <w:rPr>
          <w:rtl w:val="true"/>
        </w:rPr>
        <w:t xml:space="preserve">. </w:t>
      </w:r>
      <w:r>
        <w:rPr>
          <w:rtl w:val="true"/>
        </w:rPr>
        <w:t>במעשים אלה הביא המערער לפגיעה קשה ומזוויעה בערכים מוגנים עליונים בחשיבותם</w:t>
      </w:r>
      <w:r>
        <w:rPr>
          <w:rtl w:val="true"/>
        </w:rPr>
        <w:t xml:space="preserve">. </w:t>
      </w:r>
      <w:r>
        <w:rPr>
          <w:rtl w:val="true"/>
        </w:rPr>
        <w:t>ערכים הקשורים בביטחונם של קטינים</w:t>
      </w:r>
      <w:r>
        <w:rPr>
          <w:rtl w:val="true"/>
        </w:rPr>
        <w:t xml:space="preserve">, </w:t>
      </w:r>
      <w:r>
        <w:rPr>
          <w:rtl w:val="true"/>
        </w:rPr>
        <w:t>בזכותם לאוטונומיה</w:t>
      </w:r>
      <w:r>
        <w:rPr>
          <w:rtl w:val="true"/>
        </w:rPr>
        <w:t xml:space="preserve">, </w:t>
      </w:r>
      <w:r>
        <w:rPr>
          <w:rtl w:val="true"/>
        </w:rPr>
        <w:t xml:space="preserve">בשלמות גופם ונפשם ובאמון השורר במסגרת התא המשפחתי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2.4.2017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4360/15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לעניין קביעת מתחם העונש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הפנה לשורה של פסקי דין אשר לשיטתו מתייחסים לנסיבות דומות </w:t>
      </w:r>
      <w:r>
        <w:rPr>
          <w:rtl w:val="true"/>
        </w:rPr>
        <w:t>"</w:t>
      </w:r>
      <w:r>
        <w:rPr>
          <w:rtl w:val="true"/>
        </w:rPr>
        <w:t>ואף חמורות יותר</w:t>
      </w:r>
      <w:r>
        <w:rPr>
          <w:rtl w:val="true"/>
        </w:rPr>
        <w:t xml:space="preserve">" </w:t>
      </w:r>
      <w:r>
        <w:rPr>
          <w:rtl w:val="true"/>
        </w:rPr>
        <w:t>מאשר בענייננו ושבהם הוטלו עונשים פחותים</w:t>
      </w:r>
      <w:r>
        <w:rPr>
          <w:rtl w:val="true"/>
        </w:rPr>
        <w:t xml:space="preserve">. </w:t>
      </w:r>
      <w:r>
        <w:rPr>
          <w:rtl w:val="true"/>
        </w:rPr>
        <w:t>זאת כדי ללמד על כך שהעונש שנקבע בעניינו סוטה ממדיניות הענישה המקובלת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עיון במקרים אלה</w:t>
      </w:r>
      <w:r>
        <w:rPr>
          <w:rtl w:val="true"/>
        </w:rPr>
        <w:t xml:space="preserve">, </w:t>
      </w:r>
      <w:r>
        <w:rPr>
          <w:rtl w:val="true"/>
        </w:rPr>
        <w:t xml:space="preserve">בהם הושתו עונשים שנעו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מעלה כי אין המדובר בנסיבות דומות מהן ניתן לגזור גזירה שווה לענייננו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10.6.2015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3283/13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12.11.2014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3079/11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11.9.2012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1904/11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4.7.2012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בפסיקה אחרת אליה הפנה המערער</w:t>
      </w:r>
      <w:r>
        <w:rPr>
          <w:rtl w:val="true"/>
        </w:rPr>
        <w:t xml:space="preserve">, </w:t>
      </w:r>
      <w:r>
        <w:rPr>
          <w:rtl w:val="true"/>
        </w:rPr>
        <w:t>דווקא ניכר כי בנסיבות דומות</w:t>
      </w:r>
      <w:r>
        <w:rPr>
          <w:rtl w:val="true"/>
        </w:rPr>
        <w:t xml:space="preserve">, </w:t>
      </w:r>
      <w:r>
        <w:rPr>
          <w:rtl w:val="true"/>
        </w:rPr>
        <w:t>גם אם לעתים מעט חמורות יותר</w:t>
      </w:r>
      <w:r>
        <w:rPr>
          <w:rtl w:val="true"/>
        </w:rPr>
        <w:t xml:space="preserve">, </w:t>
      </w:r>
      <w:r>
        <w:rPr>
          <w:rtl w:val="true"/>
        </w:rPr>
        <w:t xml:space="preserve">נקבעו עונשים דומים לעונש שהוטל בענייננו ואף חמורים ממנו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20.11.2014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20.3.2014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מלאכת קביעת מתחם העונש ההולם אינה בגדר אריתמטיקה</w:t>
      </w:r>
      <w:r>
        <w:rPr>
          <w:rtl w:val="true"/>
        </w:rPr>
        <w:t xml:space="preserve">, </w:t>
      </w:r>
      <w:r>
        <w:rPr>
          <w:rtl w:val="true"/>
        </w:rPr>
        <w:t xml:space="preserve">ולערכאה הדיונית מסור שיקול דעת רחב שאין להתערב בו אלא במקרים חריגים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30.8.2017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27.6.2017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14.6.2017</w:t>
      </w:r>
      <w:r>
        <w:rPr>
          <w:rtl w:val="true"/>
        </w:rPr>
        <w:t>)</w:t>
      </w:r>
      <w:r>
        <w:rPr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לאור האמור ונוכח חומרת המעשים</w:t>
      </w:r>
      <w:r>
        <w:rPr>
          <w:rtl w:val="true"/>
        </w:rPr>
        <w:t xml:space="preserve">, </w:t>
      </w:r>
      <w:r>
        <w:rPr>
          <w:rtl w:val="true"/>
        </w:rPr>
        <w:t>מתחם העונש שנקבע בענייננו הוא הולם ובוודאי שאינו סוטה באופן קיצוני ממדיניות הענישה הנוהגת בנסיבות דומות</w:t>
      </w:r>
      <w:r>
        <w:rPr>
          <w:rtl w:val="true"/>
        </w:rPr>
        <w:t xml:space="preserve">, </w:t>
      </w:r>
      <w:r>
        <w:rPr>
          <w:rtl w:val="true"/>
        </w:rPr>
        <w:t>עד כי מצדיק את התערבותנו לקולא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בבחינת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בית המשפט כאמור שקל לקולא את תרומתו של המערער לחברה ולביטחון המדינה במהלך השנים הרבות שבהן שירת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את הודאתו במיוחס לו</w:t>
      </w:r>
      <w:r>
        <w:rPr>
          <w:rtl w:val="true"/>
        </w:rPr>
        <w:t xml:space="preserve">, </w:t>
      </w:r>
      <w:r>
        <w:rPr>
          <w:rtl w:val="true"/>
        </w:rPr>
        <w:t>את הנזקים שנגרמו לו עקב ההרשעה ואת אפשרות שיקומו</w:t>
      </w:r>
      <w:r>
        <w:rPr>
          <w:rtl w:val="true"/>
        </w:rPr>
        <w:t xml:space="preserve">. </w:t>
      </w:r>
      <w:r>
        <w:rPr>
          <w:rtl w:val="true"/>
        </w:rPr>
        <w:t>אולם מנגד</w:t>
      </w:r>
      <w:r>
        <w:rPr>
          <w:rtl w:val="true"/>
        </w:rPr>
        <w:t xml:space="preserve">, </w:t>
      </w:r>
      <w:r>
        <w:rPr>
          <w:rtl w:val="true"/>
        </w:rPr>
        <w:t>ניצבות חומרתם הרבה של המעשים והפגיעה הקשה שגרם לבנותיו הקטינות</w:t>
      </w:r>
      <w:r>
        <w:rPr>
          <w:rtl w:val="true"/>
        </w:rPr>
        <w:t xml:space="preserve">. </w:t>
      </w:r>
      <w:r>
        <w:rPr>
          <w:rtl w:val="true"/>
        </w:rPr>
        <w:t>גם אם למערער נסיבות חיים שאינן פשוטות</w:t>
      </w:r>
      <w:r>
        <w:rPr>
          <w:rtl w:val="true"/>
        </w:rPr>
        <w:t xml:space="preserve">, </w:t>
      </w:r>
      <w:r>
        <w:rPr>
          <w:rtl w:val="true"/>
        </w:rPr>
        <w:t>הקשורות בטראומות שחווה במהלך ילדותו ובשירותו הצבאי</w:t>
      </w:r>
      <w:r>
        <w:rPr>
          <w:rtl w:val="true"/>
        </w:rPr>
        <w:t xml:space="preserve">, </w:t>
      </w:r>
      <w:r>
        <w:rPr>
          <w:rtl w:val="true"/>
        </w:rPr>
        <w:t>אין בכך כדי למקם את עונשו ברף התחתון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בית המשפט המחוזי הביא בחשבון את מכלול הנסיבות הצריכות לעניין</w:t>
      </w:r>
      <w:r>
        <w:rPr>
          <w:rtl w:val="true"/>
        </w:rPr>
        <w:t xml:space="preserve">, </w:t>
      </w:r>
      <w:r>
        <w:rPr>
          <w:rtl w:val="true"/>
        </w:rPr>
        <w:t>לקולא מזה ולחומרה מזה</w:t>
      </w:r>
      <w:r>
        <w:rPr>
          <w:rtl w:val="true"/>
        </w:rPr>
        <w:t xml:space="preserve">, </w:t>
      </w:r>
      <w:r>
        <w:rPr>
          <w:rtl w:val="true"/>
        </w:rPr>
        <w:t>ובצדק העמיד את עונשו של המערער במרכז המתחם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בנסיבות המקרה</w:t>
      </w:r>
      <w:r>
        <w:rPr>
          <w:rtl w:val="true"/>
        </w:rPr>
        <w:t xml:space="preserve">, </w:t>
      </w:r>
      <w:r>
        <w:rPr>
          <w:rtl w:val="true"/>
        </w:rPr>
        <w:t>לא זו בלבד שאין המדובר בעונש הסוטה באופן מובהק ממדיניות הענישה המקובלת בנסיבות דומות</w:t>
      </w:r>
      <w:r>
        <w:rPr>
          <w:rtl w:val="true"/>
        </w:rPr>
        <w:t xml:space="preserve">, </w:t>
      </w:r>
      <w:r>
        <w:rPr>
          <w:rtl w:val="true"/>
        </w:rPr>
        <w:t>אלא שהעונש אינו מחמיר כלל ועיקר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לכך יש להוסיף את 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שתוכנו אינו חיובי</w:t>
      </w:r>
      <w:r>
        <w:rPr>
          <w:rtl w:val="true"/>
        </w:rPr>
        <w:t xml:space="preserve">. </w:t>
      </w:r>
      <w:r>
        <w:rPr>
          <w:rtl w:val="true"/>
        </w:rPr>
        <w:t>רמת הסיכון הנשקפת מממנו להישנות עבירות מין בפרט ועבירות על החוק בכלל</w:t>
      </w:r>
      <w:r>
        <w:rPr>
          <w:rtl w:val="true"/>
        </w:rPr>
        <w:t xml:space="preserve">, </w:t>
      </w:r>
      <w:r>
        <w:rPr>
          <w:rtl w:val="true"/>
        </w:rPr>
        <w:t>הוערכה על ידי שירות המבחן כגבוהה</w:t>
      </w:r>
      <w:r>
        <w:rPr>
          <w:rtl w:val="true"/>
        </w:rPr>
        <w:t xml:space="preserve">. </w:t>
      </w:r>
      <w:r>
        <w:rPr>
          <w:rtl w:val="true"/>
        </w:rPr>
        <w:t>המערער טרם הפנים את השלכות מעשיו ברמה הדרושה לשם שינוי דפוסי התנהגותו</w:t>
      </w:r>
      <w:r>
        <w:rPr>
          <w:rtl w:val="true"/>
        </w:rPr>
        <w:t xml:space="preserve">. </w:t>
      </w:r>
      <w:r>
        <w:rPr>
          <w:rtl w:val="true"/>
        </w:rPr>
        <w:t>על כן נמנע שירות המבחן מהמלצה טיפולית בעניינו מחוץ לכותלי בית הסוהר</w:t>
      </w:r>
      <w:r>
        <w:rPr>
          <w:rtl w:val="true"/>
        </w:rPr>
        <w:t xml:space="preserve">. </w:t>
      </w:r>
      <w:r>
        <w:rPr>
          <w:rtl w:val="true"/>
        </w:rPr>
        <w:t>בהקשר זה המערער נסמך על חוות דעת פסיכולוגית שהוגשה מטעמו ושנערכה על ידי ד</w:t>
      </w:r>
      <w:r>
        <w:rPr>
          <w:rtl w:val="true"/>
        </w:rPr>
        <w:t>"</w:t>
      </w:r>
      <w:r>
        <w:rPr>
          <w:rtl w:val="true"/>
        </w:rPr>
        <w:t>ר שני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באמור בחוות דעת זו כדי להביא להפחתה בעונשו</w:t>
      </w:r>
      <w:r>
        <w:rPr>
          <w:rtl w:val="true"/>
        </w:rPr>
        <w:t xml:space="preserve">. </w:t>
      </w:r>
      <w:r>
        <w:rPr>
          <w:rtl w:val="true"/>
        </w:rPr>
        <w:t xml:space="preserve">אמנם תוכנהּ פחות שלילי מתוכן תסקיר שירות המבחן ועל פיה רמת הסיכון הנשקפת מן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אינה גבוהה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לא נסתרה מסוכנותו בטווח הקצר והבינוני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מהתסקיר המשלים שהוגש לפנינו עולה כי המערער מתפקד בבית הסוהר באופן תקין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טרם הוערכה מסוכנותו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מעבר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הגם שחוות הדעת הפסיכולוגית הוגשה בהסכמת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להקנות לה מעמד בכורה על פני שירות המבחן והערכאה הדיונית רשאית להפעיל שיקול דעת לעניין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שאכן עשתה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משנמצא כי אין מקום להפחית את עונשו של המערער במסגרת מתחם העונש ההולם שנקבע בעניינו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ממילא אין מקום לסטות מן המתחם לקולא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16025990</w:t>
      </w:r>
      <w:r>
        <w:rPr>
          <w:sz w:val="16"/>
          <w:rtl w:val="true"/>
        </w:rPr>
        <w:t>_</w:t>
      </w:r>
      <w:r>
        <w:rPr>
          <w:sz w:val="16"/>
        </w:rPr>
        <w:t>N05.doc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54678313-2599/16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2599/16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095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2" TargetMode="External"/><Relationship Id="rId9" Type="http://schemas.openxmlformats.org/officeDocument/2006/relationships/hyperlink" Target="http://www.nevo.co.il/case/18109538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51.c.2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51.a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case/22303253" TargetMode="External"/><Relationship Id="rId28" Type="http://schemas.openxmlformats.org/officeDocument/2006/relationships/hyperlink" Target="http://www.nevo.co.il/case/22853228" TargetMode="External"/><Relationship Id="rId29" Type="http://schemas.openxmlformats.org/officeDocument/2006/relationships/hyperlink" Target="http://www.nevo.co.il/case/21478686" TargetMode="External"/><Relationship Id="rId30" Type="http://schemas.openxmlformats.org/officeDocument/2006/relationships/hyperlink" Target="http://www.nevo.co.il/case/20683396" TargetMode="External"/><Relationship Id="rId31" Type="http://schemas.openxmlformats.org/officeDocument/2006/relationships/hyperlink" Target="http://www.nevo.co.il/case/6239697" TargetMode="External"/><Relationship Id="rId32" Type="http://schemas.openxmlformats.org/officeDocument/2006/relationships/hyperlink" Target="http://www.nevo.co.il/case/6237829" TargetMode="External"/><Relationship Id="rId33" Type="http://schemas.openxmlformats.org/officeDocument/2006/relationships/hyperlink" Target="http://www.nevo.co.il/case/6173204" TargetMode="External"/><Relationship Id="rId34" Type="http://schemas.openxmlformats.org/officeDocument/2006/relationships/hyperlink" Target="http://www.nevo.co.il/case/20156812" TargetMode="External"/><Relationship Id="rId35" Type="http://schemas.openxmlformats.org/officeDocument/2006/relationships/hyperlink" Target="http://www.nevo.co.il/case/6245326" TargetMode="External"/><Relationship Id="rId36" Type="http://schemas.openxmlformats.org/officeDocument/2006/relationships/hyperlink" Target="http://www.nevo.co.il/case/6243095" TargetMode="External"/><Relationship Id="rId37" Type="http://schemas.openxmlformats.org/officeDocument/2006/relationships/hyperlink" Target="http://www.nevo.co.il/case/20991830" TargetMode="External"/><Relationship Id="rId38" Type="http://schemas.openxmlformats.org/officeDocument/2006/relationships/hyperlink" Target="http://www.nevo.co.il/case/20963720" TargetMode="External"/><Relationship Id="rId39" Type="http://schemas.openxmlformats.org/officeDocument/2006/relationships/hyperlink" Target="http://www.nevo.co.il/case/17030496" TargetMode="External"/><Relationship Id="rId40" Type="http://schemas.openxmlformats.org/officeDocument/2006/relationships/hyperlink" Target="http://www.nevo.co.il/case/17000168" TargetMode="External"/><Relationship Id="rId41" Type="http://schemas.openxmlformats.org/officeDocument/2006/relationships/hyperlink" Target="http://www.nevo.co.il/case/6244692" TargetMode="External"/><Relationship Id="rId42" Type="http://schemas.openxmlformats.org/officeDocument/2006/relationships/hyperlink" Target="http://www.nevo.co.il/case/6243890" TargetMode="External"/><Relationship Id="rId43" Type="http://schemas.openxmlformats.org/officeDocument/2006/relationships/hyperlink" Target="http://www.nevo.co.il/case/7980227" TargetMode="External"/><Relationship Id="rId44" Type="http://schemas.openxmlformats.org/officeDocument/2006/relationships/hyperlink" Target="http://www.nevo.co.il/case/7985516" TargetMode="External"/><Relationship Id="rId45" Type="http://schemas.openxmlformats.org/officeDocument/2006/relationships/hyperlink" Target="http://www.nevo.co.il/case/22790668" TargetMode="External"/><Relationship Id="rId46" Type="http://schemas.openxmlformats.org/officeDocument/2006/relationships/hyperlink" Target="http://www.nevo.co.il/case/22224597" TargetMode="External"/><Relationship Id="rId47" Type="http://schemas.openxmlformats.org/officeDocument/2006/relationships/hyperlink" Target="http://www.nevo.co.il/case/21478686" TargetMode="External"/><Relationship Id="rId48" Type="http://schemas.openxmlformats.org/officeDocument/2006/relationships/hyperlink" Target="http://www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2018-01-15T12:18:00Z</dcterms:created>
  <dc:creator> </dc:creator>
  <dc:description/>
  <cp:keywords/>
  <dc:language>en-IL</dc:language>
  <cp:lastModifiedBy>orly</cp:lastModifiedBy>
  <cp:lastPrinted>2005-02-10T11:00:00Z</cp:lastPrinted>
  <dcterms:modified xsi:type="dcterms:W3CDTF">2018-01-15T12:18:00Z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18109538:2;22303253;22853228;21478686:2;20683396;6239697;6237829;6173204;20156812;6245326;6243095;20991830;20963720;17030496;17000168;6244692;6243890;7980227;7985516;22790668;22224597</vt:lpwstr>
  </property>
  <property fmtid="{D5CDD505-2E9C-101B-9397-08002B2CF9AE}" pid="9" name="CITY">
    <vt:lpwstr/>
  </property>
  <property fmtid="{D5CDD505-2E9C-101B-9397-08002B2CF9AE}" pid="10" name="DATE">
    <vt:lpwstr>20180114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מינץ;י' אלרון</vt:lpwstr>
  </property>
  <property fmtid="{D5CDD505-2E9C-101B-9397-08002B2CF9AE}" pid="14" name="LAWLISTTMP1">
    <vt:lpwstr>70301/351.c.2:3;348.b:4;345.a.1:4;345.b.1:4;351.a</vt:lpwstr>
  </property>
  <property fmtid="{D5CDD505-2E9C-101B-9397-08002B2CF9AE}" pid="15" name="LAWYER">
    <vt:lpwstr>ארז בן ארויה;ערן צלניקר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נפגעי עבירה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504;1446;15255;1446;1446</vt:lpwstr>
  </property>
  <property fmtid="{D5CDD505-2E9C-101B-9397-08002B2CF9AE}" pid="48" name="NOSE31">
    <vt:lpwstr>עונש</vt:lpwstr>
  </property>
  <property fmtid="{D5CDD505-2E9C-101B-9397-08002B2CF9AE}" pid="49" name="NOSE310">
    <vt:lpwstr/>
  </property>
  <property fmtid="{D5CDD505-2E9C-101B-9397-08002B2CF9AE}" pid="50" name="NOSE32">
    <vt:lpwstr>תסקיר נפגעי עבירה</vt:lpwstr>
  </property>
  <property fmtid="{D5CDD505-2E9C-101B-9397-08002B2CF9AE}" pid="51" name="NOSE33">
    <vt:lpwstr>תסקיר</vt:lpwstr>
  </property>
  <property fmtid="{D5CDD505-2E9C-101B-9397-08002B2CF9AE}" pid="52" name="NOSE34">
    <vt:lpwstr>מדיניות ענישה: עבירות מין בקטינים</vt:lpwstr>
  </property>
  <property fmtid="{D5CDD505-2E9C-101B-9397-08002B2CF9AE}" pid="53" name="NOSE35">
    <vt:lpwstr>מדיניות ענישה: עבירות מין במשפחה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3864;;;16970;16241</vt:lpwstr>
  </property>
  <property fmtid="{D5CDD505-2E9C-101B-9397-08002B2CF9AE}" pid="59" name="PADIDATE">
    <vt:lpwstr>20180115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2599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410120180114</vt:lpwstr>
  </property>
  <property fmtid="{D5CDD505-2E9C-101B-9397-08002B2CF9AE}" pid="69" name="TYPE_N_DATE">
    <vt:lpwstr>41020180114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