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2624/21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אריק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אברמוב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210"/>
        <w:gridCol w:w="52"/>
        <w:gridCol w:w="5102"/>
      </w:tblGrid>
      <w:tr>
        <w:trPr/>
        <w:tc>
          <w:tcPr>
            <w:tcW w:w="3262" w:type="dxa"/>
            <w:gridSpan w:val="2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5102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השלום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בחדרה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40690-11-17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12.4.2021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cs="Miriam"/>
                <w:sz w:val="24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סגל</w:t>
            </w:r>
            <w:r>
              <w:rPr>
                <w:rFonts w:cs="Miriam"/>
                <w:sz w:val="24"/>
                <w:szCs w:val="24"/>
                <w:rtl w:val="true"/>
              </w:rPr>
              <w:t>-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מוהר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4"/>
                <w:szCs w:val="24"/>
                <w:rtl w:val="true"/>
              </w:rPr>
              <w:t>[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פורסם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בנבו</w:t>
            </w:r>
            <w:r>
              <w:rPr>
                <w:rFonts w:cs="Miriam"/>
                <w:sz w:val="24"/>
                <w:szCs w:val="24"/>
                <w:rtl w:val="true"/>
              </w:rPr>
              <w:t>]</w:t>
            </w:r>
          </w:p>
        </w:tc>
      </w:tr>
      <w:tr>
        <w:trPr/>
        <w:tc>
          <w:tcPr>
            <w:tcW w:w="3262" w:type="dxa"/>
            <w:gridSpan w:val="2"/>
            <w:tcBorders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  <w:tc>
          <w:tcPr>
            <w:tcW w:w="5102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Lawyer"/>
            <w:bookmarkEnd w:id="3"/>
            <w:r>
              <w:rPr>
                <w:rFonts w:ascii="David" w:hAnsi="David"/>
                <w:rtl w:val="true"/>
              </w:rPr>
              <w:t xml:space="preserve">בשם </w:t>
            </w: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ניב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4" w:name="LawTable"/>
      <w:bookmarkEnd w:id="4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275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335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1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5" w:name="ABSTRACT_START"/>
      <w:bookmarkEnd w:id="5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דחה ערעור על החלטת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השלום שלא לפסול את עצמו מלדון בעניינו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בהעדר הוכחת נסיבות חריגות שיצדיקו את פסילת המותב בשל חשיפתו לפרט מתוכנו של משא ומתן שהתנהל בין הצדדים לקראת הסדר 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אף לא מטעמים של מראית פני הצדק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 – פסלות שופט – 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 – פסלות שופט – מראית פני הצדק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 – שופטים – פסילה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נגד המערער הוגש כתב אישום לבימ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השלום המייחס לו עבירות של פציעה כשהעבריין מזוין והפרעה לשוטר במילוי תפקידו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 ביקש כי המותב יפסול את עצמו מכיוון שנחשף לתוכנו של משא ומתן שהתנהל בין הצדדים לקראת הסדר טיעון שעניינו אמירת בא כוח המשיבה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לעשות מה שרואים בסרטון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סרטון אבטחה מזירת האירוע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יסוד מה שנראה בסרטונים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דחה את בקשת הפסלות ומכאן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הנשיאה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חיות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נקודת המוצא היא כי השופט היושב בדין הוא שופט מקצועי וכי חשיפתו למידע שאינו קביל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 פרטיו של הסדר טיעון שלא אושר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בה כשלעצמה כדי להביא לפסילתו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קביעה זו רלוונטית לענייננו מקל וחומר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אם היחשפות המותב לפרטיו המלאים של הסדר טיעון שלא אושר אינה מביאה לפסילתו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ודאי שהיחשפות לפרט מסוים מתוך ההסדר אינה מקימה כשלעצמה עילת פסלות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בענייננו נחשף המותב לעובדה שהצדדים מגבשים הסדר טיעון שעניינו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לעשות מה שרואים בסרטון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יסוד מה שנראה בסרטונים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במצב שבו המחלוקת בין הצדדים התמקדה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בשתי סוגיות שקשורות בסרטונים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השאלה אם המערער הוא שמופיע בסרטונים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והשאלה אם יש לתקן את כתב האישום לנוכח התנהגות המתלונן כפי שתועדה בסרטונים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כי אמירתו הלאקונית של בא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כוח המשיבה מוכיחה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כשלעצמה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כוונת המערער הייתה להודות שהוא האדם שמופיע בסרטונים וביצע את המעשים שמתועדים בהם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אמנם הבהיר בדיעבד כי זו אכן הייתה כוונתו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כל שניתן להבין מהתבטאות בא כוח המשיבה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ששימשה בסיס לבקשת הפסלות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כי הסדר הטיעון המתגבש מבוסס על הסרטונים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spacing w:val="0"/>
          <w:sz w:val="24"/>
          <w:sz w:val="24"/>
          <w:szCs w:val="26"/>
          <w:rtl w:val="true"/>
        </w:rPr>
        <w:t>נסיבותיו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פסק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בעניין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שטייק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נבדלות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מענייננו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במספר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היבטים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משמעותיים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נחשף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המותב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לפרט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כללי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ועמום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בנוגע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להסדר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הטיעון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נחשפו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בפניו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פרטים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נוספים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כלשהם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בנוגע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לרקע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להסכם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לעברו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לכך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להוסיף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העובדה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שבניגוד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לעניין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שטייק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האירוע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נושא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כתב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האישום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צולם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ותועד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בסרטון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וכתב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האישום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מונה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למעלה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Cs w:val="26"/>
        </w:rPr>
        <w:t>20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עדי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תביעה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פרט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למתלונן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בנוסף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נוכח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האמור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בעניין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שטייק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ספק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הייתה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מתגבשת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עילת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פסלות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אילו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נמסר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למותב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רחל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בתך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הקטנה</w:t>
      </w:r>
      <w:r>
        <w:rPr>
          <w:spacing w:val="0"/>
          <w:sz w:val="24"/>
          <w:szCs w:val="26"/>
          <w:rtl w:val="true"/>
        </w:rPr>
        <w:t xml:space="preserve">" </w:t>
      </w:r>
      <w:r>
        <w:rPr>
          <w:spacing w:val="0"/>
          <w:sz w:val="24"/>
          <w:sz w:val="24"/>
          <w:szCs w:val="26"/>
          <w:rtl w:val="true"/>
        </w:rPr>
        <w:t>שהמערער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מתכוון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להודות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בעובדות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כתב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האישום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כולן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לסיכום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בידי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להוכיח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נסיבות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חריגות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שיצדיקו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פסילת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המותב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ההתבטאות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בא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כוח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המשיבה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מטעמים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מראית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פני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הצדק</w:t>
      </w:r>
      <w:r>
        <w:rPr>
          <w:spacing w:val="0"/>
          <w:sz w:val="24"/>
          <w:szCs w:val="26"/>
          <w:rtl w:val="true"/>
        </w:rPr>
        <w:t>.</w:t>
      </w:r>
      <w:bookmarkStart w:id="6" w:name="ABSTRACT_END"/>
      <w:bookmarkEnd w:id="6"/>
    </w:p>
    <w:p>
      <w:pPr>
        <w:pStyle w:val="Ruller31"/>
        <w:ind w:end="0"/>
        <w:jc w:val="start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  <w:bookmarkStart w:id="7" w:name="LawTable_End"/>
      <w:bookmarkStart w:id="8" w:name="LawTable_End"/>
      <w:bookmarkEnd w:id="8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9" w:name="PsakDin"/>
            <w:bookmarkStart w:id="10" w:name="BeginProtocol"/>
            <w:bookmarkStart w:id="11" w:name="secretary"/>
            <w:bookmarkEnd w:id="9"/>
            <w:bookmarkEnd w:id="10"/>
            <w:bookmarkEnd w:id="1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2" w:name="Writer_Name"/>
      <w:bookmarkStart w:id="13" w:name="Writer_Name"/>
      <w:bookmarkEnd w:id="13"/>
    </w:p>
    <w:p>
      <w:pPr>
        <w:pStyle w:val="Ruller4"/>
        <w:ind w:end="0"/>
        <w:jc w:val="both"/>
        <w:rPr/>
      </w:pPr>
      <w:bookmarkStart w:id="14" w:name="Start_Write"/>
      <w:bookmarkEnd w:id="14"/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סגל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מוהר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12.4.2021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40690-11-17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19.11.2017</w:t>
      </w:r>
      <w:r>
        <w:rPr>
          <w:rtl w:val="true"/>
        </w:rPr>
        <w:t xml:space="preserve"> </w:t>
      </w:r>
      <w:r>
        <w:rPr>
          <w:rtl w:val="true"/>
        </w:rPr>
        <w:t xml:space="preserve">הוגש נגד המערער כתב אישום המייחס לו עבירות של פציעה כשהעבריין מזוין והפרעה לשוטר במילוי תפקידו לפי </w:t>
      </w:r>
      <w:hyperlink r:id="rId7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8">
        <w:r>
          <w:rPr>
            <w:rStyle w:val="Hyperlink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לפי הנטען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המערער עצר אדם שרכב על אופניים ואשר עמו לא הייתה למערער היכרות מוקדמת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המתלונן</w:t>
      </w:r>
      <w:r>
        <w:rPr>
          <w:rtl w:val="true"/>
        </w:rPr>
        <w:t xml:space="preserve">), </w:t>
      </w:r>
      <w:r>
        <w:rPr>
          <w:rtl w:val="true"/>
        </w:rPr>
        <w:t>ודרש ממנו כסף</w:t>
      </w:r>
      <w:r>
        <w:rPr>
          <w:rtl w:val="true"/>
        </w:rPr>
        <w:t xml:space="preserve">. </w:t>
      </w:r>
      <w:r>
        <w:rPr>
          <w:rtl w:val="true"/>
        </w:rPr>
        <w:t>כשהמתלונן סירב המערער רץ לחנות סמוכה</w:t>
      </w:r>
      <w:r>
        <w:rPr>
          <w:rtl w:val="true"/>
        </w:rPr>
        <w:t xml:space="preserve">, </w:t>
      </w:r>
      <w:r>
        <w:rPr>
          <w:rtl w:val="true"/>
        </w:rPr>
        <w:t>לקח ממנה מספריים</w:t>
      </w:r>
      <w:r>
        <w:rPr>
          <w:rtl w:val="true"/>
        </w:rPr>
        <w:t xml:space="preserve">, </w:t>
      </w:r>
      <w:r>
        <w:rPr>
          <w:rtl w:val="true"/>
        </w:rPr>
        <w:t>רדף אחריו ודקר אותו</w:t>
      </w:r>
      <w:r>
        <w:rPr>
          <w:rtl w:val="true"/>
        </w:rPr>
        <w:t xml:space="preserve">. </w:t>
      </w:r>
      <w:r>
        <w:rPr>
          <w:rtl w:val="true"/>
        </w:rPr>
        <w:t>המשיבה הגישה סרטוני אבטחה מזירת האירוע</w:t>
      </w:r>
      <w:r>
        <w:rPr>
          <w:rtl w:val="true"/>
        </w:rPr>
        <w:t xml:space="preserve">, </w:t>
      </w:r>
      <w:r>
        <w:rPr>
          <w:rtl w:val="true"/>
        </w:rPr>
        <w:t>אך המערער כפר בעובדות כתב האישום וטען כי היה בביתו באותו זמן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בפתח דיון הוכחות שהתקיים ביום </w:t>
      </w:r>
      <w:r>
        <w:rPr/>
        <w:t>12.4.2021</w:t>
      </w:r>
      <w:r>
        <w:rPr>
          <w:rtl w:val="true"/>
        </w:rPr>
        <w:t xml:space="preserve"> </w:t>
      </w:r>
      <w:r>
        <w:rPr>
          <w:rtl w:val="true"/>
        </w:rPr>
        <w:t>ביקש בא</w:t>
      </w:r>
      <w:r>
        <w:rPr>
          <w:rtl w:val="true"/>
        </w:rPr>
        <w:t>-</w:t>
      </w:r>
      <w:r>
        <w:rPr>
          <w:rtl w:val="true"/>
        </w:rPr>
        <w:t>כוח המערער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כי המותב יפסול את עצמו מכיוון שנחשף לתוכנו של משא ומתן שהתנהל בין הצדדים לקראת הסדר טיעון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המערער פירט את השתלשלות העניינים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12.4.2021</w:t>
      </w:r>
      <w:r>
        <w:rPr>
          <w:rtl w:val="true"/>
        </w:rPr>
        <w:t xml:space="preserve">] </w:t>
      </w:r>
      <w:r>
        <w:rPr>
          <w:rtl w:val="true"/>
        </w:rPr>
        <w:t>התובע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בחוץ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מיוזמתו</w:t>
      </w:r>
      <w:r>
        <w:rPr>
          <w:rtl w:val="true"/>
        </w:rPr>
        <w:t xml:space="preserve">, </w:t>
      </w:r>
      <w:r>
        <w:rPr>
          <w:rtl w:val="true"/>
        </w:rPr>
        <w:t>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בזדון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שנכנסתי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לאולם</w:t>
      </w:r>
      <w:r>
        <w:rPr>
          <w:rtl w:val="true"/>
        </w:rPr>
        <w:t xml:space="preserve">, </w:t>
      </w:r>
      <w:r>
        <w:rPr>
          <w:rtl w:val="true"/>
        </w:rPr>
        <w:t>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שההסדר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המתגבש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הוא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לעשות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מה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שרואים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95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16-13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; 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המערער הדגיש כי המחלוקת בתיק עוסקת בעיקרה בזהותו של האדם שנראה בסרטון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ולשיטתו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 ניתן להמשיך ולנהל את הדיון בפני המותב נוכח התבטאותו של 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המשיבה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כוח המערער הוסיף וטען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שופט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לא יוכל להתעלם מאמירה שכזו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שכן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תוכן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ההסדר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מגלה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לכאורה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כוונה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להודות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שקשור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לזהות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שנראה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בסרטון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95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שורות </w:t>
      </w:r>
      <w:r>
        <w:rPr>
          <w:rFonts w:cs="Century" w:ascii="Century" w:hAnsi="Century"/>
        </w:rPr>
        <w:t>21-16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ההדגשה הוספה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בתגובה ציין 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כוח המשיבה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אמרתי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שבוחנים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אפשרות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להגיע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להסדר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מתווה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הסרטון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בתיק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96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שורות </w:t>
      </w:r>
      <w:r>
        <w:rPr>
          <w:rFonts w:cs="Century" w:ascii="Century" w:hAnsi="Century"/>
        </w:rPr>
        <w:t>5-4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ההדגשה הוספה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וכי המותב נחשף לעובדה שהצדדים קיימו בעבר משא ומתן לקראת הסדר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המשיבה התנגד לפסילת המותב וטען כי אין בדברים שנאמרו לו בנוכחות 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כוח המערער כדי לשנות את דעתו או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לנעול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אותה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בית המשפט קמא דחה את בקשת הפסלות על אתר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פירט כי הדיון שנקבע לאותו יום החל באיחור של מספר שעות מכיוון שהצדדים קיימו הידברות מחוץ לאולם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בית המשפט שאל את באי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הצדדים מעת לעת אם הגיעו להסכמה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באחת מן הפעמים הללו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ציין בית המשפט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אמר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המשיבה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מנסים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להגיע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להסדר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שיהיה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במתווה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הסרטון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שהוגש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מ</w:t>
      </w:r>
      <w:r>
        <w:rPr>
          <w:rFonts w:ascii="Century" w:hAnsi="Century" w:cs="Century"/>
          <w:rtl w:val="true"/>
        </w:rPr>
        <w:t>ילותיו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המדויקות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המשיבה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אינן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זכורות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במדויק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רוח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הדברים</w:t>
      </w:r>
      <w:r>
        <w:rPr>
          <w:rFonts w:cs="Century" w:ascii="Century" w:hAnsi="Century"/>
          <w:rtl w:val="true"/>
        </w:rPr>
        <w:t xml:space="preserve">)". </w:t>
      </w:r>
      <w:r>
        <w:rPr>
          <w:rFonts w:ascii="Century" w:hAnsi="Century" w:cs="Century"/>
          <w:rtl w:val="true"/>
        </w:rPr>
        <w:t>בית המשפט קבע כי נסיבות אלו אינן מקימות עילת פסלות וכי המשך ניהול ההליך בפניו לא יוביל לפגיעה במראית פני הצדק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משום 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שנאמר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המשיבה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אינו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מוריד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בפרט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כשהצדדים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הודיעו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הושג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ביניהם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הסדר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בסופו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דבר</w:t>
      </w:r>
      <w:r>
        <w:rPr>
          <w:rFonts w:cs="Century" w:ascii="Century" w:hAnsi="Century"/>
          <w:rtl w:val="true"/>
        </w:rPr>
        <w:t>".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rtl w:val="true"/>
        </w:rPr>
        <w:t>מכאן הערעור שלפניי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מציין כי לצד המחלוקת על זהותו של האדם שנראה בסרטון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באמתחתו טענה נוספת שבא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 העלה עוד בתחילת ניהול ההליך ולפיה תיאור העובדות בכתב האישום איננו מדויק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בכתב האישום מתואר מעשה תקיפה חד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צדדי בעוד שבסרטון נראה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לטענת המערער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כי המתלונן תקף את האדם הנוסף שמופיע בו וכי הלה דקר את המתלונן בתגובה לכך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המערער מפרט כי במהלך המשא ומתן שהתנהל בין הצדדים ביום </w:t>
      </w:r>
      <w:r>
        <w:rPr>
          <w:rFonts w:cs="Century" w:ascii="Century" w:hAnsi="Century"/>
        </w:rPr>
        <w:t>12.4.2021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הם הגיעו להסכמות עקרוניות על הסדר טיעון שלפיו המערער יודה כי הוא זה שנראה בסרטונים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וכתב האישום יתוקן כך שמעשיו של המתלונן יפורטו בו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הסכם זה היה טעון אישור מטעם ראש לשכת התביעות בחדרה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וטרם שהתקבל האישור ראה בא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כוחו של המערער את בא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כוח המשיבה משוחח עם המותב ומודיע כי התגבש בין הצדדים הסדר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על יסוד מה שנראה בסרטונים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להודעת הערעור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לטענת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מהודעה זו של בא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כוח המשיבה משתמעת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הודייה של המערער שהוא זה שתקף את המתלונן</w:t>
      </w:r>
      <w:r>
        <w:rPr>
          <w:rFonts w:cs="Century" w:ascii="Century" w:hAnsi="Century"/>
          <w:sz w:val="22"/>
          <w:rtl w:val="true"/>
        </w:rPr>
        <w:t xml:space="preserve">". </w:t>
      </w:r>
      <w:r>
        <w:rPr>
          <w:rFonts w:ascii="Century" w:hAnsi="Century" w:cs="Century"/>
          <w:sz w:val="22"/>
          <w:sz w:val="22"/>
          <w:rtl w:val="true"/>
        </w:rPr>
        <w:t>או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אז ביקש בא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 המערער מבא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 המשיבה להפסיק ולשוחח עם המותב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והצדדים יצאו מהאולם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אך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היות והצדדים אכן היו בשלב זה 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ascii="Century" w:hAnsi="Century" w:cs="Century"/>
          <w:sz w:val="22"/>
          <w:sz w:val="22"/>
          <w:rtl w:val="true"/>
        </w:rPr>
        <w:t>בדרך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להסדר טיעון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היה טעם כלשהו בשלב זה בנקיטת פעולה מצידו של המערער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 xml:space="preserve">בנושא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להודעת הערעור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דא עקא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הסדר הטיעון לא אושר לבסוף ועל רקע זה הוגשה בקשת הפסלות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שבמחלוקת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המותב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עיינתי בערעור על נספחיו ובאתי לידי מסקנה כי דינו להידחות</w:t>
      </w:r>
      <w:r>
        <w:rPr>
          <w:rtl w:val="true"/>
        </w:rPr>
        <w:t xml:space="preserve">. </w:t>
      </w:r>
      <w:r>
        <w:rPr>
          <w:rtl w:val="true"/>
        </w:rPr>
        <w:t>כפי שנפסק בעבר</w:t>
      </w:r>
      <w:r>
        <w:rPr>
          <w:rtl w:val="true"/>
        </w:rPr>
        <w:t xml:space="preserve">, </w:t>
      </w:r>
      <w:r>
        <w:rPr>
          <w:rtl w:val="true"/>
        </w:rPr>
        <w:t xml:space="preserve">נקודת המוצא לדיון בערעורים מסוג זה היא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tl w:val="true"/>
        </w:rPr>
        <w:t>היושב</w:t>
      </w:r>
      <w:r>
        <w:rPr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 </w:t>
      </w:r>
      <w:r>
        <w:rPr>
          <w:rtl w:val="true"/>
        </w:rPr>
        <w:t xml:space="preserve">הוא </w:t>
      </w:r>
      <w:r>
        <w:rPr>
          <w:rtl w:val="true"/>
        </w:rPr>
        <w:t>שופט</w:t>
      </w:r>
      <w:r>
        <w:rPr>
          <w:rtl w:val="true"/>
        </w:rPr>
        <w:t xml:space="preserve"> </w:t>
      </w:r>
      <w:r>
        <w:rPr>
          <w:rFonts w:ascii="Century" w:hAnsi="Century" w:cs="Century"/>
          <w:rtl w:val="true"/>
        </w:rPr>
        <w:t>מקצועי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 xml:space="preserve">חשיפתו </w:t>
      </w:r>
      <w:r>
        <w:rPr>
          <w:rtl w:val="true"/>
        </w:rPr>
        <w:t>למידע</w:t>
      </w:r>
      <w:r>
        <w:rPr>
          <w:rtl w:val="true"/>
        </w:rPr>
        <w:t xml:space="preserve"> </w:t>
      </w:r>
      <w:r>
        <w:rPr>
          <w:rtl w:val="true"/>
        </w:rPr>
        <w:t>שאינו</w:t>
      </w:r>
      <w:r>
        <w:rPr>
          <w:rtl w:val="true"/>
        </w:rPr>
        <w:t xml:space="preserve"> </w:t>
      </w:r>
      <w:r>
        <w:rPr>
          <w:rtl w:val="true"/>
        </w:rPr>
        <w:t>קביל</w:t>
      </w:r>
      <w:r>
        <w:rPr>
          <w:rtl w:val="true"/>
        </w:rPr>
        <w:t xml:space="preserve"> –</w:t>
      </w:r>
      <w:r>
        <w:rPr>
          <w:rtl w:val="true"/>
        </w:rPr>
        <w:t xml:space="preserve"> לרבות פרטיו של הסדר טיעון שלא אושר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 כשלעצמה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להביא</w:t>
      </w:r>
      <w:r>
        <w:rPr>
          <w:rtl w:val="true"/>
        </w:rPr>
        <w:t xml:space="preserve"> </w:t>
      </w:r>
      <w:r>
        <w:rPr>
          <w:rtl w:val="true"/>
        </w:rPr>
        <w:t>לפסילתו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2068/18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(</w:t>
      </w:r>
      <w:r>
        <w:rPr/>
        <w:t>23.3.2018</w:t>
      </w:r>
      <w:r>
        <w:rPr>
          <w:rtl w:val="true"/>
        </w:rPr>
        <w:t>)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). </w:t>
      </w:r>
      <w:r>
        <w:rPr>
          <w:rtl w:val="true"/>
        </w:rPr>
        <w:t>קביעה זו רלוונטית לענייננו מקל וחומר</w:t>
      </w:r>
      <w:r>
        <w:rPr>
          <w:rtl w:val="true"/>
        </w:rPr>
        <w:t xml:space="preserve">, </w:t>
      </w:r>
      <w:r>
        <w:rPr>
          <w:rtl w:val="true"/>
        </w:rPr>
        <w:t>שכן אם היחשפות המותב לפרטיו המלאים של הסדר טיעון שלא אושר אינה מביאה לפסילתו</w:t>
      </w:r>
      <w:r>
        <w:rPr>
          <w:rtl w:val="true"/>
        </w:rPr>
        <w:t xml:space="preserve">, </w:t>
      </w:r>
      <w:r>
        <w:rPr>
          <w:rtl w:val="true"/>
        </w:rPr>
        <w:t xml:space="preserve">ודאי שהיחשפות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לפרט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מסוים</w:t>
      </w:r>
      <w:r>
        <w:rPr>
          <w:rtl w:val="true"/>
        </w:rPr>
        <w:t xml:space="preserve"> מתוך ההסדר אינה מקימה כשלעצמה עילת פסלות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בסרטון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בסרטונים</w:t>
      </w:r>
      <w:r>
        <w:rPr>
          <w:rtl w:val="true"/>
        </w:rPr>
        <w:t xml:space="preserve">". </w:t>
      </w:r>
      <w:r>
        <w:rPr>
          <w:rtl w:val="true"/>
        </w:rPr>
        <w:t>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התמקדה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בסרטונים</w:t>
      </w:r>
      <w:r>
        <w:rPr>
          <w:rtl w:val="true"/>
        </w:rPr>
        <w:t xml:space="preserve">: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בסרטונים</w:t>
      </w:r>
      <w:r>
        <w:rPr>
          <w:rtl w:val="true"/>
        </w:rPr>
        <w:t xml:space="preserve">; </w:t>
      </w:r>
      <w:r>
        <w:rPr>
          <w:rtl w:val="true"/>
        </w:rPr>
        <w:t>והשאלה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בסרטונים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שוכנעתי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הלאקונית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מוכיחה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שמתועדים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בדיעבד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מההתבטאות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ששימשה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הפסלות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המתגבש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הסרטונים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המערער מפנה בערעורו לפסק הדין ב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4492/02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נו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825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שטייק</w:t>
      </w:r>
      <w:r>
        <w:rPr>
          <w:rtl w:val="true"/>
        </w:rPr>
        <w:t xml:space="preserve">) </w:t>
      </w:r>
      <w:r>
        <w:rPr>
          <w:rtl w:val="true"/>
        </w:rPr>
        <w:t>לשם תמיכה בטענותיו</w:t>
      </w:r>
      <w:r>
        <w:rPr>
          <w:rtl w:val="true"/>
        </w:rPr>
        <w:t xml:space="preserve">, </w:t>
      </w:r>
      <w:r>
        <w:rPr>
          <w:rtl w:val="true"/>
        </w:rPr>
        <w:t xml:space="preserve">אולם נסיבותיו של 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שטייק</w:t>
      </w:r>
      <w:r>
        <w:rPr>
          <w:rtl w:val="true"/>
        </w:rPr>
        <w:t xml:space="preserve"> </w:t>
      </w:r>
      <w:r>
        <w:rPr>
          <w:rFonts w:ascii="Century" w:hAnsi="Century" w:cs="Century"/>
          <w:rtl w:val="true"/>
        </w:rPr>
        <w:t>נבדלות</w:t>
      </w:r>
      <w:r>
        <w:rPr>
          <w:rtl w:val="true"/>
        </w:rPr>
        <w:t xml:space="preserve"> מענייננו במספר היבטים משמעותיים</w:t>
      </w:r>
      <w:r>
        <w:rPr>
          <w:rtl w:val="true"/>
        </w:rPr>
        <w:t xml:space="preserve">. </w:t>
      </w: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שטייק</w:t>
      </w:r>
      <w:r>
        <w:rPr>
          <w:rFonts w:ascii="Century" w:hAnsi="Century" w:cs="Century"/>
          <w:sz w:val="22"/>
          <w:sz w:val="22"/>
          <w:rtl w:val="true"/>
        </w:rPr>
        <w:t xml:space="preserve"> נדון עניינו של נאשם בעבירות של תקיפת בת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זוג ואיומים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והצדדים הודיעו לבית המשפט כי לא עלה בידם להגיע להסדר טיעון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באת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כוח המאשימה פירטה בפני המותב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א</w:t>
      </w:r>
      <w:r>
        <w:rPr>
          <w:rtl w:val="true"/>
        </w:rPr>
        <w:t>ת השתלשלות העניינים</w:t>
      </w:r>
      <w:r>
        <w:rPr>
          <w:rtl w:val="true"/>
        </w:rPr>
        <w:t xml:space="preserve">, </w:t>
      </w:r>
      <w:r>
        <w:rPr>
          <w:rtl w:val="true"/>
        </w:rPr>
        <w:t>את עמדת התביעה</w:t>
      </w:r>
      <w:r>
        <w:rPr>
          <w:rtl w:val="true"/>
        </w:rPr>
        <w:t xml:space="preserve">, </w:t>
      </w:r>
      <w:r>
        <w:rPr>
          <w:rtl w:val="true"/>
        </w:rPr>
        <w:t>את מהות העיסקה ואת הרקע אשר עמד מאחורי ההצעה</w:t>
      </w:r>
      <w:r>
        <w:rPr>
          <w:rtl w:val="true"/>
        </w:rPr>
        <w:t xml:space="preserve">, </w:t>
      </w:r>
      <w:r>
        <w:rPr>
          <w:rtl w:val="true"/>
        </w:rPr>
        <w:t>לרבות העובדה כי שני מאסרים על</w:t>
      </w:r>
      <w:r>
        <w:rPr>
          <w:rtl w:val="true"/>
        </w:rPr>
        <w:t>-</w:t>
      </w:r>
      <w:r>
        <w:rPr>
          <w:rtl w:val="true"/>
        </w:rPr>
        <w:t>תנאי בני</w:t>
      </w:r>
      <w:r>
        <w:rPr>
          <w:rtl w:val="true"/>
        </w:rPr>
        <w:t>-</w:t>
      </w:r>
      <w:r>
        <w:rPr>
          <w:rtl w:val="true"/>
        </w:rPr>
        <w:t>הפעלה תלויים ועומדים נגד המערער בגין תקיפת אותה המתלוננת</w:t>
      </w:r>
      <w:r>
        <w:rPr>
          <w:rFonts w:cs="Century" w:ascii="Century" w:hAnsi="Century"/>
          <w:sz w:val="22"/>
          <w:rtl w:val="true"/>
        </w:rPr>
        <w:t xml:space="preserve">"; </w:t>
      </w:r>
      <w:r>
        <w:rPr>
          <w:rFonts w:ascii="Century" w:hAnsi="Century" w:cs="Century"/>
          <w:sz w:val="22"/>
          <w:sz w:val="22"/>
          <w:rtl w:val="true"/>
        </w:rPr>
        <w:t xml:space="preserve">המערער הסביר לבית המשפט </w:t>
      </w:r>
      <w:r>
        <w:rPr>
          <w:rFonts w:cs="Century" w:ascii="Century" w:hAnsi="Century"/>
          <w:sz w:val="22"/>
          <w:rtl w:val="true"/>
        </w:rPr>
        <w:t>"</w:t>
      </w:r>
      <w:r>
        <w:rPr>
          <w:rtl w:val="true"/>
        </w:rPr>
        <w:t>את טעמיו לאי</w:t>
      </w:r>
      <w:r>
        <w:rPr>
          <w:rtl w:val="true"/>
        </w:rPr>
        <w:t>-</w:t>
      </w:r>
      <w:r>
        <w:rPr>
          <w:rtl w:val="true"/>
        </w:rPr>
        <w:t>קבלת העיסקה</w:t>
      </w:r>
      <w:r>
        <w:rPr>
          <w:rFonts w:cs="Century" w:ascii="Century" w:hAnsi="Century"/>
          <w:sz w:val="22"/>
          <w:rtl w:val="true"/>
        </w:rPr>
        <w:t xml:space="preserve">"; </w:t>
      </w:r>
      <w:r>
        <w:rPr>
          <w:rFonts w:ascii="Century" w:hAnsi="Century" w:cs="Century"/>
          <w:sz w:val="22"/>
          <w:sz w:val="22"/>
          <w:rtl w:val="true"/>
        </w:rPr>
        <w:t xml:space="preserve">והמותב המליץ למערער מספר פעמים להגיע להסדר טיעון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בעמ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828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בית המשפט העליון הורה על פסילת המותב נוכח הצטברותם של שלושה טעמים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האחד הוא עוצמת הראיות הבלתי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קבילות שאליהן נחשף המותב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אם כי הודגש 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עצם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הצגת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עיסקת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טיעון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לבית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המשפט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שבמסגרתה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נחשף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בית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המשפט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אף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להודאת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נאשם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בעובדות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כתב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האישום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עיסקה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אשר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אושרה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לבסוף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כדי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ליצור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כשלעצמה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חשש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ממשי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למשוא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פנים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בעמ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830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  <w:rtl w:val="true"/>
        </w:rPr>
        <w:t>–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ושני הטעמים הנוספים עניינם בהתבטאויותיו של המותב ובמאמציו להביא את הצדדים להסדר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עוד הדגיש בית המשפט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שטייק</w:t>
      </w:r>
      <w:r>
        <w:rPr>
          <w:rFonts w:ascii="Century" w:hAnsi="Century" w:cs="Century"/>
          <w:sz w:val="22"/>
          <w:sz w:val="22"/>
          <w:rtl w:val="true"/>
        </w:rPr>
        <w:t xml:space="preserve"> כי ההכרעה בהליך הפלילי נגד המערער צפויה להתבסס על </w:t>
      </w:r>
      <w:r>
        <w:rPr>
          <w:rFonts w:ascii="Century" w:hAnsi="Century" w:cs="Century"/>
          <w:sz w:val="22"/>
          <w:sz w:val="22"/>
          <w:rtl w:val="true"/>
        </w:rPr>
        <w:t>עדות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ומהימנותו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מול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עדויות</w:t>
      </w:r>
      <w:r>
        <w:rPr>
          <w:rFonts w:ascii="Century" w:hAnsi="Century" w:cs="Century"/>
          <w:sz w:val="22"/>
          <w:sz w:val="22"/>
          <w:rtl w:val="true"/>
        </w:rPr>
        <w:t>יהם 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אשתו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ובנו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וכי </w:t>
      </w:r>
      <w:r>
        <w:rPr>
          <w:rFonts w:ascii="Century" w:hAnsi="Century" w:cs="Century"/>
          <w:sz w:val="22"/>
          <w:sz w:val="22"/>
          <w:rtl w:val="true"/>
        </w:rPr>
        <w:t>לא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היו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לאירוע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עדים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נוספים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בעמ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830</w:t>
      </w:r>
      <w:r>
        <w:rPr>
          <w:rFonts w:cs="Century" w:ascii="Century" w:hAnsi="Century"/>
          <w:sz w:val="22"/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לראיה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ועמום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נחשפו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שטייק</w:t>
      </w:r>
      <w:r>
        <w:rPr>
          <w:rtl w:val="true"/>
        </w:rPr>
        <w:t xml:space="preserve">,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בסרטון</w:t>
      </w:r>
      <w:r>
        <w:rPr>
          <w:rtl w:val="true"/>
        </w:rPr>
        <w:t xml:space="preserve">, </w:t>
      </w:r>
      <w:r>
        <w:rPr>
          <w:rtl w:val="true"/>
        </w:rPr>
        <w:t>וכתב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שטייק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מתגבשת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רחל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הקטנה</w:t>
      </w:r>
      <w:r>
        <w:rPr>
          <w:rtl w:val="true"/>
        </w:rPr>
        <w:t xml:space="preserve">"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מכל הטעמים שפורטו לעיל</w:t>
      </w:r>
      <w:r>
        <w:rPr>
          <w:rtl w:val="true"/>
        </w:rPr>
        <w:t xml:space="preserve">, </w:t>
      </w:r>
      <w:r>
        <w:rPr>
          <w:rtl w:val="true"/>
        </w:rPr>
        <w:t>אינני סבורה כי עלה בידי המערער להוכיח נסיבות חריגות שיצדיקו את פסילת המותב בשל ההתבטאות של בא</w:t>
      </w:r>
      <w:r>
        <w:rPr>
          <w:rtl w:val="true"/>
        </w:rPr>
        <w:t>-</w:t>
      </w:r>
      <w:r>
        <w:rPr>
          <w:rtl w:val="true"/>
        </w:rPr>
        <w:t>כוח המשיבה</w:t>
      </w:r>
      <w:r>
        <w:rPr>
          <w:rtl w:val="true"/>
        </w:rPr>
        <w:t xml:space="preserve">, </w:t>
      </w:r>
      <w:r>
        <w:rPr>
          <w:rtl w:val="true"/>
        </w:rPr>
        <w:t>אף לא מטעמים של מראית פני הצדק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5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5.5.2021</w:t>
      </w:r>
      <w:r>
        <w:rPr>
          <w:rtl w:val="true"/>
        </w:rPr>
        <w:t xml:space="preserve">). </w:t>
      </w:r>
      <w:bookmarkEnd w:id="15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8"/>
        <w:gridCol w:w="2786"/>
        <w:gridCol w:w="2789"/>
      </w:tblGrid>
      <w:tr>
        <w:trPr/>
        <w:tc>
          <w:tcPr>
            <w:tcW w:w="2788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8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21026240</w:t>
      </w:r>
      <w:r>
        <w:rPr>
          <w:sz w:val="16"/>
          <w:rtl w:val="true"/>
        </w:rPr>
        <w:t>_</w:t>
      </w:r>
      <w:r>
        <w:rPr>
          <w:sz w:val="16"/>
        </w:rPr>
        <w:t>V01.docx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רי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2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ה 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חיות </w:t>
      </w:r>
      <w:r>
        <w:rPr>
          <w:rFonts w:cs="David" w:ascii="David" w:hAnsi="David"/>
          <w:color w:val="000000"/>
          <w:szCs w:val="22"/>
        </w:rPr>
        <w:t>54678313-2624/21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4"/>
      <w:footerReference w:type="default" r:id="rId1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2624/21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אריק אברמוב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8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sz w:val="28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/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27169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75" TargetMode="External"/><Relationship Id="rId5" Type="http://schemas.openxmlformats.org/officeDocument/2006/relationships/hyperlink" Target="http://www.nevo.co.il/law/70301/335.a.1" TargetMode="External"/><Relationship Id="rId6" Type="http://schemas.openxmlformats.org/officeDocument/2006/relationships/hyperlink" Target="http://www.nevo.co.il/case/23271696" TargetMode="External"/><Relationship Id="rId7" Type="http://schemas.openxmlformats.org/officeDocument/2006/relationships/hyperlink" Target="http://www.nevo.co.il/law/70301/335.a.1" TargetMode="External"/><Relationship Id="rId8" Type="http://schemas.openxmlformats.org/officeDocument/2006/relationships/hyperlink" Target="http://www.nevo.co.il/law/70301/275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23777563" TargetMode="External"/><Relationship Id="rId11" Type="http://schemas.openxmlformats.org/officeDocument/2006/relationships/hyperlink" Target="http://www.nevo.co.il/case/5960213" TargetMode="External"/><Relationship Id="rId12" Type="http://schemas.openxmlformats.org/officeDocument/2006/relationships/hyperlink" Target="https://supreme.court.gov.il/" TargetMode="External"/><Relationship Id="rId13" Type="http://schemas.openxmlformats.org/officeDocument/2006/relationships/hyperlink" Target="http://www.nevo.co.il/advertisements/nevo-100.doc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2021-05-06T10:15:00Z</dcterms:created>
  <dc:creator>h4</dc:creator>
  <dc:description/>
  <cp:keywords/>
  <dc:language>en-IL</dc:language>
  <cp:lastModifiedBy>hofit</cp:lastModifiedBy>
  <cp:lastPrinted>2021-05-05T13:01:00Z</cp:lastPrinted>
  <dcterms:modified xsi:type="dcterms:W3CDTF">2021-05-06T10:15:00Z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אריק אברמוב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23271696:2;23777563;5960213</vt:lpwstr>
  </property>
  <property fmtid="{D5CDD505-2E9C-101B-9397-08002B2CF9AE}" pid="9" name="CITY">
    <vt:lpwstr/>
  </property>
  <property fmtid="{D5CDD505-2E9C-101B-9397-08002B2CF9AE}" pid="10" name="DATE">
    <vt:lpwstr>20210505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</vt:lpwstr>
  </property>
  <property fmtid="{D5CDD505-2E9C-101B-9397-08002B2CF9AE}" pid="14" name="LAWLISTTMP1">
    <vt:lpwstr>70301/335.a.1;275</vt:lpwstr>
  </property>
  <property fmtid="{D5CDD505-2E9C-101B-9397-08002B2CF9AE}" pid="15" name="LAWYER">
    <vt:lpwstr>ישי ניב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בתי-משפט</vt:lpwstr>
  </property>
  <property fmtid="{D5CDD505-2E9C-101B-9397-08002B2CF9AE}" pid="27" name="NOSE110">
    <vt:lpwstr/>
  </property>
  <property fmtid="{D5CDD505-2E9C-101B-9397-08002B2CF9AE}" pid="28" name="NOSE12">
    <vt:lpwstr>בתי-משפט</vt:lpwstr>
  </property>
  <property fmtid="{D5CDD505-2E9C-101B-9397-08002B2CF9AE}" pid="29" name="NOSE13">
    <vt:lpwstr>בתי-משפט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14;14;14</vt:lpwstr>
  </property>
  <property fmtid="{D5CDD505-2E9C-101B-9397-08002B2CF9AE}" pid="37" name="NOSE21">
    <vt:lpwstr>פסלות שופט</vt:lpwstr>
  </property>
  <property fmtid="{D5CDD505-2E9C-101B-9397-08002B2CF9AE}" pid="38" name="NOSE210">
    <vt:lpwstr/>
  </property>
  <property fmtid="{D5CDD505-2E9C-101B-9397-08002B2CF9AE}" pid="39" name="NOSE22">
    <vt:lpwstr>פסלות שופט</vt:lpwstr>
  </property>
  <property fmtid="{D5CDD505-2E9C-101B-9397-08002B2CF9AE}" pid="40" name="NOSE23">
    <vt:lpwstr>שופטים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336;336;341</vt:lpwstr>
  </property>
  <property fmtid="{D5CDD505-2E9C-101B-9397-08002B2CF9AE}" pid="48" name="NOSE31">
    <vt:lpwstr>ערעור</vt:lpwstr>
  </property>
  <property fmtid="{D5CDD505-2E9C-101B-9397-08002B2CF9AE}" pid="49" name="NOSE310">
    <vt:lpwstr/>
  </property>
  <property fmtid="{D5CDD505-2E9C-101B-9397-08002B2CF9AE}" pid="50" name="NOSE32">
    <vt:lpwstr>מראית פני הצדק</vt:lpwstr>
  </property>
  <property fmtid="{D5CDD505-2E9C-101B-9397-08002B2CF9AE}" pid="51" name="NOSE33">
    <vt:lpwstr>פסילה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2759;16428;2803</vt:lpwstr>
  </property>
  <property fmtid="{D5CDD505-2E9C-101B-9397-08002B2CF9AE}" pid="59" name="PADIDATE">
    <vt:lpwstr>20210506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2624</vt:lpwstr>
  </property>
  <property fmtid="{D5CDD505-2E9C-101B-9397-08002B2CF9AE}" pid="65" name="PROCYEAR">
    <vt:lpwstr>21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410120210505</vt:lpwstr>
  </property>
  <property fmtid="{D5CDD505-2E9C-101B-9397-08002B2CF9AE}" pid="69" name="TYPE_N_DATE">
    <vt:lpwstr>41020210505</vt:lpwstr>
  </property>
  <property fmtid="{D5CDD505-2E9C-101B-9397-08002B2CF9AE}" pid="70" name="VOLUME">
    <vt:lpwstr/>
  </property>
  <property fmtid="{D5CDD505-2E9C-101B-9397-08002B2CF9AE}" pid="71" name="WORDNUMPAGES">
    <vt:lpwstr>6</vt:lpwstr>
  </property>
</Properties>
</file>