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2632/16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048257-11-14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10.11.2015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הלמן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שטרית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דבור</w:t>
            </w:r>
            <w:r>
              <w:rPr>
                <w:sz w:val="24"/>
                <w:szCs w:val="24"/>
                <w:rtl w:val="true"/>
              </w:rPr>
              <w:t xml:space="preserve">), </w:t>
            </w:r>
            <w:r>
              <w:rPr>
                <w:sz w:val="24"/>
                <w:sz w:val="24"/>
                <w:szCs w:val="24"/>
                <w:rtl w:val="true"/>
              </w:rPr>
              <w:t>וביום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18.2.2016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הלמן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שטרית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אזולאי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28.3.2019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משגב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54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תשט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1955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7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211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נמצא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 בטענות המערער נגד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מבוססת רובה ככולה על ממצאי מהימנות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מצא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היעתר לבקשת המערער להגיש ראיות חדשות שלא ניתן היה להגישן לערכאה 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תצהיר שעליו חתמה אֵם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המתלוננת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עדת תביעה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ההרשעה ולפיו מסרה עדות שקר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תיק החקירה בחשד לעדות שקר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גם ראיות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 בשים לב לכך שאין מדובר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דמות מפתח בפרשה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אינן מעוררות ספק סביר באשמתו של המערער ואף אינן מגלות עילה להחזרת התיק לבירור נוסף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גם הערעור על גזר הדין אינו מגלה עילה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ערעור – ראיות  נוספות בערעור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ערעור – התערבות במהימנות עדים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עדות – קורבן עבירת מין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בביצוע עבירות מין ואלימות בבת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זוגו לרבות מעשי 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 סדום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תקיפות בנסיבות מחמירות ואיומים ונגזרו עליו תשע 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נסוב על הכרעת הדין ועל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השאלה העיקרית היא אם להחזיר את התיק לדיון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שם הצגת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ראיה חדשה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תצהיר מטעם אִמה של 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שהיתה עדת תביעה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שהוגש מספר חודשים לאחר הודעת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ובו הצהירה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האם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היא שיקרה במשפט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וכי המתלוננת הודתה בפניה כי היא תיכננה ביחד עם בחור עימו ניהלה קשר רומנטי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לתפור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למערער תיק וכי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טפלה על המערער אשמת שווא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תיק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החקירה בחשד לעדות שקר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הדיון בערעור נדחה עד להשלמת חקיר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 המשטרה בעניין גרסתה החדשה של האם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בהסכמת השופטים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שטיין ו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נמצא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 בטענות המערער נגד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מבוססת רובה ככולה על מתן אמון בגרסתה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אותות האמת שהתגלו בעמידתה על דוכן העדים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שלילת מהימנותו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בין היתר נפסק כי אמנם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במשך שנות הנישואים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 לא סיפרה לאיש על מעשיו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עדויות על מצוקה או ראיות לסימני אלימות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גרסתה של המתלוננת לא זכתה לחיזוקים חיצוניים רבים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אין בכך כדי להשפיע על תוצאת ההליך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כבישת עדות על עבירות מין במשפחה היא תופעה מוכרת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ובפרט במקרה הנוכחי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 מדובר בתיאורים אינטימיים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שניתן להבין את הקושי לחשוף אותם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לאור ההשלכות הצפויות על התא המשפחתי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ובפרט בחברה שמרנית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הצדדים מוסלמים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למרות הנטייה להסתיר את האירועים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בפנינו חיזוק משמעותי לגרסתה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אירועי הלילה שבו הגיעה לבית הוריה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וריה ואחִיה של המתלוננת אישרו כי כשהמתלוננת הובאה לבית ההורים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שערה היה פרוע ושפתיה נפוחות ומדממות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וזאת בניגוד לגרסתו של המערער שטען 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הכל שקר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היתה כל אלימות או דימום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ההורים והאח סיפרו זאת במשטרה ימים ספורים לאחר האירוע וחזרו על כך בעדויותיהם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אירוע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שהוכח היטב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מהווה חיזוק משמעותי לגרסתה של המתלוננת וניתן אף לראות בו נקודה ארכימדית לדיון בפרשה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שנאמר בהכרעת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ההכחשה הגורפת של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חיזוק זה ממשיך הוא כחוט השני לאורך כל מעשי העבירה המיוחסים לנאשם ומחזק גם את ההתרשמות החיובית מעדות המתלוננת באשר לעבירות המין שבוצעו 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הודעותיה של המתלוננת במשטרה יוצרות רצף הגיוני וקוהרנטי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חשיפה של עבירות מין במשפחה מתאפיינת לא פעם בהדרגתיות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וגם במקרה הנוכחי אין בכך כדי לפגום בהערכת המהימנות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לא נמצא ממש ביתר טענות המערער בעניין מהימנות גרסת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הבקשה לצירוף ראיות חדשות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ערכאת הערעור רשאית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לגבות ראיות או להורות לערכאה הקודמת לגבות 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 דרוש לעשיית צדק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בפסיקה נקבעו לעניין זה שלושה שיקולים עיקריים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האפשרות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העדרה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להשיג את הראיות כבר במסגרת ההליך שהתקיים בערכאה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הערך של סופיות הדיון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טיבן של הראיות והסיכוי שהגשתן תוביל לשינוי בתוצאה שנקבעה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הגשת ראיות חדשות בשלב הערעור נתפסת כמהלך דיוני חריג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והנטייה היא לאשר זאת במשורה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בענייננו הראיות החדשות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 והכוונה אך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תצהיר ותיק החקירה של האֵם בגין עדות שקר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ראיות מן הסוג שיש טעם לאשר את קבלתן בשלב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בעדת תביעה שחזרה בה מעדותה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הצהירה בפה מלא בפני חוקרי המשטרה כי היא העידה עדות שקר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הוסיפה טענה עובדתית שלא עמדה בפני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עסקינן בראיות שבאו לעולם לאחר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האינטרס של סופיות הדיון נסוג מפני החשש להרשעת שווא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נוכח הרגישות והזהירות הנדרשת כאמור בהרשעה על סמך עדות יחידה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השאלה העיקרית שמתעוררת היא בדבר הפוטנציאל של הראיות החדשות להשפיע על ההכרעה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יידרש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לגופה של השאלה בהמשך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לצורך האפשרות לקבל את תיק החקירה כראיה 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עמד ברף הנדרש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לגופו של 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לאחר בחינת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 החדשות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 שוכנע כי הן מקימות ספק סביר ביחס להרשעת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נעתר לבקשה להחזיר את התיק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לצורך דיון בראיות החדשות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עֵד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 נאשם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שחוזר בו מגרסה קודמת אינו מחזה נדיר בעולם 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וגם המחוקק נדרש לכך באשר ליחס בין הודעה במשטרה לבין עדות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hyperlink r:id="rId9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</w:t>
      </w:r>
      <w:hyperlink r:id="rId10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הראיות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[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נוסח חדש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]).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נדיר יותר למצוא מתלונן שחוזר בו לגמרי מגרסה מפלילה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גם לכך יש תקדימים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בעבירות אלימות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בעבירות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הוא שייקבע איזו מן הגרסאות לאמץ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מטבע הדברים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חשיבות לשאלת זהותו של העד שחזר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לנסיבות ולעיתוי שבו נמסרה הגרסה החדשה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בעֵדת תביעה שחזרה בה ומסרה גרסה חדשה לאחר הכרעת הדין המרשיעה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 התייחסות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להתפתחות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עיקר המשקל ניתן לכך שהעדה שחזרה 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אִמה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איננה דמות מפתח בפרשה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המיוחסות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למערער בוצעו בחדרי חדרים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ללא עדי ראיה פרט למתלוננת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תרומתה העיקרית של העֵדה להכרעת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היתה בעיקר בתיאור האירוע שבו המתלוננת הגיעה באישון ליל לבית הוריה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העדה חזרה בה מגרסתה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לפחות באופן חלקי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פי גרסתה העדכנית היא ראתה שריטה בשפתיים ודימום 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ושיערה של המתלוננת לא היה סתור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לאירוע זה יש חשיבות רבה כנדבך ראייתי בהרשעה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הוכח היטב גם בלי להסתמך על עדותה של האם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 שבגרסתה החדשה של האם היא מנסה לטשטש את חומרתו של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בניגוד לגרסתה הקודמת ובניגוד לעדויות ראייה 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מקשה על האפשרות לתת אמון בגרסתה החדשה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הנסיבות שבהן נמסרה הגרסה החדשה מפי האם מעוררות תמיהות נוספות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כמפורט בפסה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גם אם נניח שאכן התנהל רומן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הובאה ראיה כלשהי שמעידה על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 מוכיח לכל היותר כי למתלוננת היה יכול להיות אינטרס לפגוע במערער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אין בכך כדי לשמוט את הקרקע תחת הקביעה כי הוא ביצע את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שהרי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קיומו של מניע זר איננו בהכרח שומט את הקרקע תחת מהימנות הגרסה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כלומר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אפילו היינו מקבלים את טענת הרומן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מתערער אחד האדנים שעליהם נשענת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לא מדובר בראיה מזכה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אמנם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לא נחשף לטענת הרומן ולכן הנושא לא מוזכר בהכרעת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כפי שנאמר 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התנהלותה של המתלוננת לאורך הדרך איננה עולה בקנה אחד עם הרצון להפליל את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חבלי לידה רבים ליוו את הולדת התלונה אשר לא באה אל אוויר העולם באופן 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הערעור להידחות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 שביצע המערער כדבר שבשגרה הן קשות ומחפירות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ולמתלוננת נגרם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נזק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כבד ומתמשך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המאסר איננו חורג לחומרה ממדיניות הענישה בכגון דא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לקח אחריות על מעשיו ולא השתלב בהליך טיפולי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הוא יליד </w:t>
      </w:r>
      <w:r>
        <w:rPr>
          <w:rFonts w:cs="Times New Roman" w:ascii="Times New Roman" w:hAnsi="Times New Roman"/>
          <w:spacing w:val="0"/>
          <w:sz w:val="24"/>
          <w:szCs w:val="26"/>
        </w:rPr>
        <w:t>1977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וגילו אינו מהווה שיקול מיוחד להקלה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נתן משקל הולם למכלול השיקולים הרלוונטיים ולא נמצאה עילה להקל 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ספק כי גם הפיצוי שנפסק לזכות המתלוננת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40,000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מופרז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ולמעשה הסכום איננו מתקרב לכסות על חומרת הנזק שגרם המערער במעשיו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בבת</w:t>
      </w:r>
      <w:r>
        <w:rPr>
          <w:rtl w:val="true"/>
        </w:rPr>
        <w:t>-</w:t>
      </w:r>
      <w:r>
        <w:rPr>
          <w:rtl w:val="true"/>
        </w:rPr>
        <w:t>זוגו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נשואים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בשלהי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פצועה</w:t>
      </w:r>
      <w:r>
        <w:rPr>
          <w:rtl w:val="true"/>
        </w:rPr>
        <w:t xml:space="preserve">, 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סתור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ומתמשכות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הלמן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שיטרית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דבור</w:t>
      </w:r>
      <w:r>
        <w:rPr>
          <w:rtl w:val="true"/>
        </w:rPr>
        <w:t xml:space="preserve">)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והחריפה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שנישאה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שעזבה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שתוי</w:t>
      </w:r>
      <w:r>
        <w:rPr>
          <w:rtl w:val="true"/>
        </w:rPr>
        <w:t xml:space="preserve">. </w:t>
      </w:r>
      <w:r>
        <w:rPr>
          <w:rtl w:val="true"/>
        </w:rPr>
        <w:t>בארבעת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שעזבה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יולי</w:t>
      </w:r>
      <w:r>
        <w:rPr>
          <w:rtl w:val="true"/>
        </w:rPr>
        <w:t>-</w:t>
      </w:r>
      <w:r>
        <w:rPr>
          <w:rtl w:val="true"/>
        </w:rPr>
        <w:t>נובמבר</w:t>
      </w:r>
      <w:r>
        <w:rPr>
          <w:rFonts w:eastAsia="Arial TUR" w:cs="Arial TUR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כפה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ואוראלי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לדימום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וכאבים</w:t>
      </w:r>
      <w:r>
        <w:rPr>
          <w:rtl w:val="true"/>
        </w:rPr>
        <w:t xml:space="preserve">. </w:t>
      </w:r>
      <w:r>
        <w:rPr>
          <w:rtl w:val="true"/>
        </w:rPr>
        <w:t>באחד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דתה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באגרופים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ובבעיטות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צעק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גידף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.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הנישואים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שלווים</w:t>
      </w:r>
      <w:r>
        <w:rPr>
          <w:rtl w:val="true"/>
        </w:rPr>
        <w:t xml:space="preserve">;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האנאליים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; </w:t>
      </w:r>
      <w:r>
        <w:rPr>
          <w:rtl w:val="true"/>
        </w:rPr>
        <w:t>והמתלוננת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וחבולה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113-94</w:t>
      </w:r>
      <w:r>
        <w:rPr>
          <w:rtl w:val="true"/>
        </w:rPr>
        <w:t xml:space="preserve">), </w:t>
      </w:r>
      <w:r>
        <w:rPr>
          <w:rtl w:val="true"/>
        </w:rPr>
        <w:t>ובסופו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בבת</w:t>
      </w:r>
      <w:r>
        <w:rPr>
          <w:rtl w:val="true"/>
        </w:rPr>
        <w:t>-</w:t>
      </w:r>
      <w:r>
        <w:rPr>
          <w:rtl w:val="true"/>
        </w:rPr>
        <w:t>זוגו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" w:cs="Arial TUR"/>
          <w:rtl w:val="true"/>
        </w:rPr>
        <w:t xml:space="preserve"> </w:t>
      </w:r>
      <w:r>
        <w:rPr/>
        <w:t>2014-2009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, </w:t>
      </w:r>
      <w:r>
        <w:rPr>
          <w:rtl w:val="true"/>
        </w:rPr>
        <w:t>תקיפות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18.2.2016</w:t>
      </w:r>
      <w:r>
        <w:rPr>
          <w:rtl w:val="true"/>
        </w:rPr>
        <w:t xml:space="preserve"> (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אזולאי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בור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ומשפילות</w:t>
      </w:r>
      <w:r>
        <w:rPr>
          <w:rtl w:val="true"/>
        </w:rPr>
        <w:t xml:space="preserve">,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נפשיים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מכביד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נחלקות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ראשים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ומסמכי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הגירושין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מחודשת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כסדרן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המרשיעה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שהתגלו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בעמידתה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להנמקה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1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פקודת הראיות</w:t>
        </w:r>
      </w:hyperlink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[</w:t>
      </w:r>
      <w:r>
        <w:rPr>
          <w:rFonts w:ascii="Times New Roman" w:hAnsi="Times New Roman" w:cs="Times New Roman"/>
          <w:rtl w:val="true"/>
        </w:rPr>
        <w:t>נוסח חדש</w:t>
      </w:r>
      <w:r>
        <w:rPr>
          <w:rFonts w:cs="Times New Roman" w:ascii="Times New Roman" w:hAnsi="Times New Roman"/>
          <w:rtl w:val="true"/>
        </w:rPr>
        <w:t xml:space="preserve">], </w:t>
      </w:r>
      <w:r>
        <w:rPr>
          <w:rFonts w:ascii="Times New Roman" w:hAnsi="Times New Roman" w:cs="Times New Roman"/>
          <w:rtl w:val="true"/>
        </w:rPr>
        <w:t>התשל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1971</w:t>
      </w:r>
      <w:r>
        <w:rPr>
          <w:rtl w:val="true"/>
        </w:rPr>
        <w:t xml:space="preserve">), </w:t>
      </w:r>
      <w:r>
        <w:rPr>
          <w:rtl w:val="true"/>
        </w:rPr>
        <w:t>שאכן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מלאכת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וערכאת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האינהרנטי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בקפדנות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מסקנותיה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1647/17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9.1.2019</w:t>
      </w:r>
      <w:r>
        <w:rPr>
          <w:rFonts w:cs="Century" w:ascii="Century" w:hAnsi="Century"/>
          <w:rtl w:val="true"/>
        </w:rPr>
        <w:t xml:space="preserve">); 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8325/15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34-33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8.6.2017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פרצה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אותות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).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נוכחתי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סדורה</w:t>
      </w:r>
      <w:r>
        <w:rPr>
          <w:rtl w:val="true"/>
        </w:rPr>
        <w:t xml:space="preserve">, </w:t>
      </w:r>
      <w:r>
        <w:rPr>
          <w:rtl w:val="true"/>
        </w:rPr>
        <w:t>עקבית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לפקפק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המרשיעה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חריפות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שקרן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מכות</w:t>
      </w:r>
      <w:r>
        <w:rPr>
          <w:rtl w:val="true"/>
        </w:rPr>
        <w:t xml:space="preserve">".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tl w:val="true"/>
        </w:rPr>
        <w:t>: "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מכות</w:t>
      </w:r>
      <w:r>
        <w:rPr>
          <w:rtl w:val="true"/>
        </w:rPr>
        <w:t xml:space="preserve">, </w:t>
      </w:r>
      <w:r>
        <w:rPr>
          <w:rtl w:val="true"/>
        </w:rPr>
        <w:t>וירד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שאסורים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הדת</w:t>
      </w:r>
      <w:r>
        <w:rPr>
          <w:rtl w:val="true"/>
        </w:rPr>
        <w:t>, "</w:t>
      </w:r>
      <w:r>
        <w:rPr>
          <w:rtl w:val="true"/>
        </w:rPr>
        <w:t>מאחור</w:t>
      </w:r>
      <w:r>
        <w:rPr>
          <w:rtl w:val="true"/>
        </w:rPr>
        <w:t xml:space="preserve">",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) </w:t>
      </w:r>
      <w:r>
        <w:rPr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5-4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86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111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הנישואים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לחיזוקים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כבישת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מוכרת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בתיאורים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אינטימיים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שמרנית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15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919/14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68</w:t>
      </w:r>
      <w:r>
        <w:rPr>
          <w:rtl w:val="true"/>
        </w:rPr>
        <w:t xml:space="preserve"> (</w:t>
      </w:r>
      <w:r>
        <w:rPr/>
        <w:t>3.9.2015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בלילה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התחילה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הבעיה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</w:t>
      </w:r>
      <w:r>
        <w:rPr>
          <w:spacing w:val="-20"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התעורר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משינה</w:t>
      </w:r>
      <w:r>
        <w:rPr>
          <w:spacing w:val="-20"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במטבח</w:t>
      </w:r>
      <w:r>
        <w:rPr>
          <w:spacing w:val="-20"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וביקש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שאקיים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איתו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יחסי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מין</w:t>
      </w:r>
      <w:r>
        <w:rPr>
          <w:spacing w:val="-20"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סירבתי</w:t>
      </w:r>
      <w:r>
        <w:rPr>
          <w:spacing w:val="-20"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התחיל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לצעוק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ולקלל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אותי</w:t>
      </w:r>
      <w:r>
        <w:rPr>
          <w:spacing w:val="-20"/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אז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עזבתי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spacing w:val="-20"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רציתי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להתווכח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איתו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הילדים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ישנו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אצלי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בחדר</w:t>
      </w:r>
      <w:r>
        <w:rPr>
          <w:spacing w:val="-20"/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ואז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הלכתי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לחדר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איפה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שהילדים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נמצאים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וישבתי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המיטה</w:t>
      </w:r>
      <w:r>
        <w:rPr>
          <w:spacing w:val="-20"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ואז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התחיל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לצעוק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ואז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התעוררה</w:t>
      </w:r>
      <w:r>
        <w:rPr>
          <w:spacing w:val="-20"/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ושמתי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בצד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שמאל</w:t>
      </w:r>
      <w:r>
        <w:rPr>
          <w:spacing w:val="-20"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צד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שמאל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ואז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התחיל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להכות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אותי</w:t>
      </w:r>
      <w:r>
        <w:rPr>
          <w:spacing w:val="-20"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היכה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אגרוף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ראשון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השפתיים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ואז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ירד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דם</w:t>
      </w:r>
      <w:r>
        <w:rPr>
          <w:spacing w:val="-20"/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ואז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תיפגע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המיטה</w:t>
      </w:r>
      <w:r>
        <w:rPr>
          <w:spacing w:val="-20"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שמתי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המיטה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תפס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מהשיער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וזרק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הרצפה</w:t>
      </w:r>
      <w:r>
        <w:rPr>
          <w:spacing w:val="-20"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התחיל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להכות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הידיים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והרגליים</w:t>
      </w:r>
      <w:r>
        <w:rPr>
          <w:spacing w:val="-20"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גופי</w:t>
      </w:r>
      <w:r>
        <w:rPr>
          <w:spacing w:val="-20"/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אז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</w:t>
      </w:r>
      <w:r>
        <w:rPr>
          <w:spacing w:val="-20"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עשר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דקות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מהבית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בירה</w:t>
      </w:r>
      <w:r>
        <w:rPr>
          <w:spacing w:val="-20"/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הניח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הבקבוק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 xml:space="preserve">איזה </w:t>
      </w:r>
      <w:r>
        <w:rPr>
          <w:rFonts w:cs="Century" w:ascii="Century" w:hAnsi="Century"/>
          <w:rtl w:val="true"/>
          <w:lang w:eastAsia="he-IL"/>
        </w:rPr>
        <w:t xml:space="preserve">[...] </w:t>
      </w:r>
      <w:r>
        <w:rPr>
          <w:rFonts w:ascii="Century" w:hAnsi="Century" w:cs="Century"/>
          <w:rtl w:val="true"/>
          <w:lang w:eastAsia="he-IL"/>
        </w:rPr>
        <w:t>על השיש סמוך ליד הדלת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 xml:space="preserve">לפני שהוא יצא הוא אמר לי </w:t>
      </w:r>
      <w:r>
        <w:rPr>
          <w:rFonts w:cs="Century" w:ascii="Century" w:hAnsi="Century"/>
          <w:rtl w:val="true"/>
          <w:lang w:eastAsia="he-IL"/>
        </w:rPr>
        <w:t xml:space="preserve">[...] </w:t>
      </w:r>
      <w:r>
        <w:rPr>
          <w:rFonts w:ascii="Century" w:hAnsi="Century" w:cs="Century"/>
          <w:rtl w:val="true"/>
          <w:lang w:eastAsia="he-IL"/>
        </w:rPr>
        <w:t>אני אגרש אותך שלוש פעמים אם את שמה את עצמך על המיטה</w:t>
      </w:r>
      <w:r>
        <w:rPr>
          <w:spacing w:val="-20"/>
          <w:rtl w:val="true"/>
          <w:lang w:eastAsia="he-IL"/>
        </w:rPr>
        <w:t>.</w:t>
      </w:r>
      <w:r>
        <w:rPr>
          <w:rtl w:val="true"/>
          <w:lang w:eastAsia="he-IL"/>
        </w:rPr>
        <w:t xml:space="preserve"> [</w:t>
      </w:r>
      <w:r>
        <w:rPr>
          <w:rFonts w:cs="Century" w:ascii="Century" w:hAnsi="Century"/>
          <w:rtl w:val="true"/>
          <w:lang w:eastAsia="he-IL"/>
        </w:rPr>
        <w:t xml:space="preserve">...] </w:t>
      </w:r>
      <w:r>
        <w:rPr>
          <w:rFonts w:ascii="Century" w:hAnsi="Century" w:cs="Century"/>
          <w:rtl w:val="true"/>
          <w:lang w:eastAsia="he-IL"/>
        </w:rPr>
        <w:t>אז אני ביקשתי שהוא ייקח אותי לבית של ההורים שלי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הוא אמר לי אין בעיה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תסתלקי את והילדים שלך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ואז עלינו לרכב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הוא שם אותי ברכב אני והילדים שלו המכונית בצבע כחול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רכב של העבודה לא שלו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יש שלושה מקומות לנוסעים מקדימה ואין מושב מאחורה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לא היה לי מקום להימנע ממנו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 xml:space="preserve">ביקשתי ממנו שינהג לאט אבל הוא לא הקשיב לי והוא שתה ברכב שאני עם הילדים והילדים שלי איתי ברכב הם ישנים והוא התחיל לקלל אותי </w:t>
      </w:r>
      <w:r>
        <w:rPr>
          <w:rFonts w:cs="Century" w:ascii="Century" w:hAnsi="Century"/>
          <w:rtl w:val="true"/>
          <w:lang w:eastAsia="he-IL"/>
        </w:rPr>
        <w:t xml:space="preserve">[...] </w:t>
      </w:r>
      <w:r>
        <w:rPr>
          <w:rFonts w:ascii="Century" w:hAnsi="Century" w:cs="Century"/>
          <w:rtl w:val="true"/>
          <w:lang w:eastAsia="he-IL"/>
        </w:rPr>
        <w:t xml:space="preserve">הוא אמר לי שרמוטה </w:t>
      </w:r>
      <w:r>
        <w:rPr>
          <w:rFonts w:cs="Century" w:ascii="Century" w:hAnsi="Century"/>
          <w:rtl w:val="true"/>
          <w:lang w:eastAsia="he-IL"/>
        </w:rPr>
        <w:t>[</w:t>
      </w:r>
      <w:r>
        <w:rPr>
          <w:rFonts w:ascii="Century" w:hAnsi="Century" w:cs="Century"/>
          <w:rtl w:val="true"/>
          <w:lang w:eastAsia="he-IL"/>
        </w:rPr>
        <w:t>העדה בוכה</w:t>
      </w:r>
      <w:r>
        <w:rPr>
          <w:rFonts w:cs="Century" w:ascii="Century" w:hAnsi="Century"/>
          <w:rtl w:val="true"/>
          <w:lang w:eastAsia="he-IL"/>
        </w:rPr>
        <w:t xml:space="preserve">] [...] </w:t>
      </w:r>
      <w:r>
        <w:rPr>
          <w:rFonts w:ascii="Century" w:hAnsi="Century" w:cs="Century"/>
          <w:rtl w:val="true"/>
          <w:lang w:eastAsia="he-IL"/>
        </w:rPr>
        <w:t>ואז הוא לקח אותי לבית של ההורים שלי והשאיר אותי באמצע הרחוב שהילדים ישנים והוא עזב אותי והלך</w:t>
      </w:r>
      <w:r>
        <w:rPr>
          <w:rFonts w:cs="Century" w:ascii="Century" w:hAnsi="Century"/>
          <w:rtl w:val="true"/>
          <w:lang w:eastAsia="he-IL"/>
        </w:rPr>
        <w:t>."</w:t>
      </w:r>
    </w:p>
    <w:p>
      <w:pPr>
        <w:pStyle w:val="Ruller51"/>
        <w:ind w:end="1282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1"/>
        <w:ind w:end="0"/>
        <w:jc w:val="both"/>
        <w:rPr/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ה</w:t>
      </w:r>
      <w:r>
        <w:rPr>
          <w:rtl w:val="true"/>
        </w:rPr>
        <w:t>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ואחִיה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ההורים</w:t>
      </w:r>
      <w:r>
        <w:rPr>
          <w:rtl w:val="true"/>
        </w:rPr>
        <w:t xml:space="preserve">, </w:t>
      </w:r>
      <w:r>
        <w:rPr>
          <w:rtl w:val="true"/>
        </w:rPr>
        <w:t>שערה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ושפתיה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ומדממות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דימום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ההורים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19</w:t>
      </w:r>
      <w:r>
        <w:rPr>
          <w:rtl w:val="true"/>
        </w:rPr>
        <w:t xml:space="preserve">), </w:t>
      </w:r>
      <w:r>
        <w:rPr>
          <w:rtl w:val="true"/>
        </w:rPr>
        <w:t>וחזרו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45</w:t>
      </w:r>
      <w:r>
        <w:rPr>
          <w:rtl w:val="true"/>
        </w:rPr>
        <w:t xml:space="preserve">, </w:t>
      </w:r>
      <w:r>
        <w:rPr/>
        <w:t>54</w:t>
      </w:r>
      <w:r>
        <w:rPr>
          <w:rtl w:val="true"/>
        </w:rPr>
        <w:t xml:space="preserve">, </w:t>
      </w:r>
      <w:r>
        <w:rPr/>
        <w:t>59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; </w:t>
      </w:r>
      <w:r>
        <w:rPr>
          <w:rtl w:val="true"/>
        </w:rPr>
        <w:t>לגרסתה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האֵם</w:t>
      </w:r>
      <w:r>
        <w:rPr>
          <w:rtl w:val="true"/>
        </w:rPr>
        <w:t xml:space="preserve">, </w:t>
      </w:r>
      <w:r>
        <w:rPr>
          <w:rtl w:val="true"/>
        </w:rPr>
        <w:t>שנולדה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). </w:t>
      </w:r>
      <w:r>
        <w:rPr>
          <w:rtl w:val="true"/>
        </w:rPr>
        <w:t>יוער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ארכימדית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 "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113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לשירותי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כראיה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 xml:space="preserve">: </w:t>
      </w:r>
      <w:r>
        <w:rPr>
          <w:rtl w:val="true"/>
        </w:rPr>
        <w:t>במסמך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29.10.2014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14</w:t>
      </w:r>
      <w:r>
        <w:rPr>
          <w:rtl w:val="true"/>
        </w:rPr>
        <w:t xml:space="preserve">) </w:t>
      </w:r>
      <w:r>
        <w:rPr>
          <w:rtl w:val="true"/>
        </w:rPr>
        <w:t>ובמסמך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/>
        <w:t>5.11.2014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15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שצויין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104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גירושין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בתיארוך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גירושין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 xml:space="preserve">. </w:t>
      </w:r>
      <w:r>
        <w:rPr>
          <w:rtl w:val="true"/>
        </w:rPr>
        <w:t>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ההתעללות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להתגרש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השרעי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לשוכרה</w:t>
      </w:r>
      <w:r>
        <w:rPr>
          <w:rtl w:val="true"/>
        </w:rPr>
        <w:t xml:space="preserve">, </w:t>
      </w:r>
      <w:r>
        <w:rPr>
          <w:rtl w:val="true"/>
        </w:rPr>
        <w:t>להכות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ולהתעלל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השריעה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ובדומה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מצמרר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ומגעיל</w:t>
      </w:r>
      <w:r>
        <w:rPr>
          <w:rtl w:val="true"/>
        </w:rPr>
        <w:t xml:space="preserve">", </w:t>
      </w:r>
      <w:r>
        <w:rPr>
          <w:rtl w:val="true"/>
        </w:rPr>
        <w:t>ואפנה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לפסקה</w:t>
      </w:r>
      <w:r>
        <w:rPr>
          <w:rFonts w:eastAsia="Arial TUR" w:cs="Arial TUR"/>
          <w:rtl w:val="true"/>
        </w:rPr>
        <w:t xml:space="preserve"> </w:t>
      </w:r>
      <w:r>
        <w:rPr/>
        <w:t>96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המדברים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שנערכה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11.11.2014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חצות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הוזכרה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כבר בחקירתה הראשונית של המתלוננת היא נתנה ביטוי לטענה על עבירות מין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בטופס הערכת המסוכנות סומנה תשובה חיובית לשאלה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האם החשוד מכריח את המתלוננת לקיים עמו יחסי מין –לא אונס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וכמו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וקוהרנטי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חשיפה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מתאפיינת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בהדרגתיות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המהימנות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נדונו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ונדחו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שמקעקע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106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לרווחה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: </w:t>
      </w:r>
      <w:r>
        <w:rPr>
          <w:rtl w:val="true"/>
        </w:rPr>
        <w:t>אביה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. </w:t>
      </w:r>
      <w:r>
        <w:rPr>
          <w:rtl w:val="true"/>
        </w:rPr>
        <w:t>השוואה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42-33</w:t>
      </w:r>
      <w:r>
        <w:rPr>
          <w:rtl w:val="true"/>
        </w:rPr>
        <w:t xml:space="preserve">)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10-9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מוכיחה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ועִקביות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מבגדיה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סתירה</w:t>
      </w:r>
      <w:r>
        <w:rPr>
          <w:rtl w:val="true"/>
        </w:rPr>
        <w:t xml:space="preserve">, </w:t>
      </w:r>
      <w:r>
        <w:rPr>
          <w:rtl w:val="true"/>
        </w:rPr>
        <w:t>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והשיבה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שסירובה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לבריאותו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),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במאמר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: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לתיקון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דיני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הגנת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ילדים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התשט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1955</w:t>
      </w:r>
      <w:r>
        <w:rPr>
          <w:rtl w:val="true"/>
        </w:rPr>
        <w:t xml:space="preserve"> </w:t>
      </w:r>
      <w:r>
        <w:rPr>
          <w:rtl w:val="true"/>
        </w:rPr>
        <w:t>דורש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ידיעה</w:t>
      </w:r>
      <w:r>
        <w:rPr>
          <w:rFonts w:ascii="Century" w:hAnsi="Century" w:cs="Century"/>
          <w:rtl w:val="true"/>
        </w:rPr>
        <w:t xml:space="preserve"> של ההורה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tl w:val="true"/>
        </w:rPr>
        <w:t xml:space="preserve">;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>].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לצירוף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חדשות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החדשות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ההתפתחויות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מרץ</w:t>
      </w:r>
      <w:r>
        <w:rPr>
          <w:rFonts w:eastAsia="Arial TUR" w:cs="Arial TUR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ונימוקי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יוני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ונדחה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מרץ</w:t>
      </w:r>
      <w:r>
        <w:rPr>
          <w:rFonts w:eastAsia="Arial TUR" w:cs="Arial TUR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. </w:t>
      </w:r>
      <w:r>
        <w:rPr>
          <w:rtl w:val="true"/>
        </w:rPr>
        <w:t>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8.1.2017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תצהיר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אִמה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התצהיר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לתפור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[</w:t>
      </w:r>
      <w:r>
        <w:rPr>
          <w:rtl w:val="true"/>
        </w:rPr>
        <w:t>מערער</w:t>
      </w:r>
      <w:r>
        <w:rPr>
          <w:rtl w:val="true"/>
        </w:rPr>
        <w:t xml:space="preserve">] </w:t>
      </w:r>
      <w:r>
        <w:rPr>
          <w:rtl w:val="true"/>
        </w:rPr>
        <w:t>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ולסבך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רומנטי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12.7.2017</w:t>
      </w:r>
      <w:r>
        <w:rPr>
          <w:rtl w:val="true"/>
        </w:rPr>
        <w:t xml:space="preserve">, </w:t>
      </w:r>
      <w:r>
        <w:rPr>
          <w:rtl w:val="true"/>
        </w:rPr>
        <w:t>אִמה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שסיפרתי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בשפתיים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השיער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".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האֵם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בִתה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".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נקיפות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מצפון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והמשטרה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משלימות</w:t>
      </w:r>
      <w:r>
        <w:rPr>
          <w:rtl w:val="true"/>
        </w:rPr>
        <w:t xml:space="preserve">. </w:t>
      </w:r>
      <w:r>
        <w:rPr>
          <w:rtl w:val="true"/>
        </w:rPr>
        <w:t>אחיה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שאחותי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הרביץ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שאחותי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שיקרתי</w:t>
      </w:r>
      <w:r>
        <w:rPr>
          <w:rtl w:val="true"/>
        </w:rPr>
        <w:t xml:space="preserve">".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19.2.2018</w:t>
      </w:r>
      <w:r>
        <w:rPr>
          <w:rtl w:val="true"/>
        </w:rPr>
        <w:t xml:space="preserve">, </w:t>
      </w:r>
      <w:r>
        <w:rPr>
          <w:rtl w:val="true"/>
        </w:rPr>
        <w:t>ועמדה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</w:t>
      </w:r>
      <w:r>
        <w:rPr>
          <w:rtl w:val="true"/>
        </w:rPr>
        <w:t xml:space="preserve">, </w:t>
      </w:r>
      <w:r>
        <w:rPr>
          <w:rtl w:val="true"/>
        </w:rPr>
        <w:t>ואמרה</w:t>
      </w:r>
      <w:r>
        <w:rPr>
          <w:rtl w:val="true"/>
        </w:rPr>
        <w:t>: "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משקרת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האֵם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נבדקה</w:t>
      </w:r>
      <w:r>
        <w:rPr>
          <w:rtl w:val="true"/>
        </w:rPr>
        <w:t xml:space="preserve">: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והכחישה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נחרצות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חבר</w:t>
      </w:r>
      <w:r>
        <w:rPr>
          <w:rtl w:val="true"/>
        </w:rPr>
        <w:t xml:space="preserve">"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רומנטי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הושלמה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: </w:t>
      </w:r>
      <w:r>
        <w:rPr>
          <w:rtl w:val="true"/>
        </w:rPr>
        <w:t>התצהיר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חתמה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האֵם</w:t>
      </w:r>
      <w:r>
        <w:rPr>
          <w:rtl w:val="true"/>
        </w:rPr>
        <w:t xml:space="preserve">; </w:t>
      </w:r>
      <w:r>
        <w:rPr>
          <w:rtl w:val="true"/>
        </w:rPr>
        <w:t>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</w:t>
      </w:r>
      <w:r>
        <w:rPr>
          <w:rtl w:val="true"/>
        </w:rPr>
        <w:t xml:space="preserve">; </w:t>
      </w:r>
      <w:r>
        <w:rPr>
          <w:rtl w:val="true"/>
        </w:rPr>
        <w:t>ומסמכים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ערכאת הערעור רשאית 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לגבות ראיות או להורות לערכאה הקודמת לגבות ראיות</w:t>
      </w:r>
      <w:r>
        <w:rPr>
          <w:rStyle w:val="default"/>
          <w:rFonts w:cs="Century" w:ascii="Century" w:hAnsi="Century"/>
          <w:rtl w:val="true"/>
        </w:rPr>
        <w:t>",</w:t>
      </w:r>
      <w:r>
        <w:rPr>
          <w:rStyle w:val="big-number"/>
          <w:rFonts w:cs="Century" w:ascii="Century" w:hAnsi="Century"/>
          <w:rtl w:val="true"/>
        </w:rPr>
        <w:t xml:space="preserve"> </w:t>
      </w:r>
      <w:r>
        <w:rPr>
          <w:rStyle w:val="big-number"/>
          <w:rFonts w:ascii="Century" w:hAnsi="Century" w:cs="Century"/>
          <w:rtl w:val="true"/>
        </w:rPr>
        <w:t>אם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הדבר דרוש לעשיית צדק</w:t>
      </w:r>
      <w:r>
        <w:rPr>
          <w:rStyle w:val="default"/>
          <w:rFonts w:cs="Century" w:ascii="Century" w:hAnsi="Century"/>
          <w:rtl w:val="true"/>
        </w:rPr>
        <w:t>" (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משולב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1982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בפסיקה נקבעו לעניין זה שלושה שיקולים עיקריים</w:t>
      </w:r>
      <w:r>
        <w:rPr>
          <w:rFonts w:cs="Century" w:ascii="Century" w:hAnsi="Century"/>
          <w:rtl w:val="true"/>
        </w:rPr>
        <w:t>: "</w:t>
      </w:r>
      <w:r>
        <w:rPr>
          <w:sz w:val="28"/>
          <w:sz w:val="28"/>
          <w:rtl w:val="true"/>
        </w:rPr>
        <w:t>האפשרות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העדרה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להשיג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הראיות כבר במסגרת ההליך שהתקיים בערכאה הדיונית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הערך של סופיות הדיון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וכן טיבן של הראיות והסיכוי שהגשתן תוביל לשינוי בתוצאה שנקבעה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הערכאה הדיונית</w:t>
      </w:r>
      <w:r>
        <w:rPr>
          <w:rFonts w:cs="Century" w:ascii="Century" w:hAnsi="Century"/>
          <w:rtl w:val="true"/>
        </w:rPr>
        <w:t>" (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5862/14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קחסאי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11.7.2017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וכן 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1730/17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דומרני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27.1.2019</w:t>
      </w:r>
      <w:r>
        <w:rPr>
          <w:rFonts w:cs="Century" w:ascii="Century" w:hAnsi="Century"/>
          <w:rtl w:val="true"/>
        </w:rPr>
        <w:t xml:space="preserve">); 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8027/13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119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27.5.2018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הגשת ראיות חדשות בשלב הערעור נתפסת כמהלך דיוני חריג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והנטייה היא לאשר זאת במשורה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סבורני כי בענייננו הראיות החדשות הן ראיות מן הסוג שיש טעם לאשר את קבלתן בשלב הערעור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מדובר בעדת תביעה שחזרה בה מעדותה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הצהירה בפה מלא בפני חוקרי המשטרה כי היא העידה עדות שקר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הוסיפה טענה עובדתית שלא עמדה בפני בית המשפט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עסקינן בראיות שבאו לעולם לאחר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ולטעמי האינטרס של סופיות הדיון נסוג מפני החשש להרשעת שווא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בפרט נוכח הרגישות והזהירות הנדרשת כאמור בהרשעה על סמך עדות יחידה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השאלה העיקרית שמתעוררת היא בדבר הפוטנציאל של הראיות החדשות להשפיע על ההכרעה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לגופה של השאלה אדרש 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לצורך האפשרות לקבל את תיק החקירה כראיה – סבורני כי המערער עמד ברף הנדרש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השוו ל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1690/09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10.10.2010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hyperlink r:id="rId2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1690/09</w:t>
        </w:r>
      </w:hyperlink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יובהר כי ההחלטה לקבל את הראיות מתייחסת לתצהיר ולתיק החקירה של האֵם בגין עדות שקר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למסמכים מתיק בית המשפט לענייני משפחה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מסמכים אלה לא הועברו למשיבה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הוצגו בפנינו ולא הוזכרו בדיון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וההנחה היא שבהקשר זה המערער חזר בו מהבקשה להוספת ראיות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במשמעותן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החדשות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המערער הדגיש בפנינו כי אמה של המתלוננת לא רק חזרה בה מגרסתה כעדת תביעה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התוודתה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האֵם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לתלונת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חבר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האֵם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האמיתית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חרף טענותיו של המבקש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שבחנתי את הראיות החדשות לא שוכנעתי כי הן מקימות ספק סביר ביחס להרשעתו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אינני נעתר לבקשה להחזיר את התיק לבית המשפט קמא לצורך דיון בראיות החדשות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עֵד שחוזר בו מגרסה קודמת אינו מחזה נדיר בעולם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וייתכנו לכך סיבות שונות בהקשרים שונים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והשוו</w:t>
      </w:r>
      <w:r>
        <w:rPr>
          <w:rFonts w:cs="Century" w:ascii="Century" w:hAnsi="Century"/>
          <w:rtl w:val="true"/>
        </w:rPr>
        <w:t xml:space="preserve">: </w:t>
      </w:r>
      <w:hyperlink r:id="rId25">
        <w:bookmarkStart w:id="17" w:name="Text1"/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9608/11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bookmarkEnd w:id="17"/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7.7.2014</w:t>
      </w:r>
      <w:r>
        <w:rPr>
          <w:rFonts w:cs="Century" w:ascii="Century" w:hAnsi="Century"/>
          <w:rtl w:val="true"/>
        </w:rPr>
        <w:t xml:space="preserve">); 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421/71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מימרן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כו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281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1972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שופטים נתקלים באופן תדיר בגרסאות חדשות של עדים או של נאשמים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וגם המחוקק נדרש לכך באשר ליחס בין הודעה במשטרה לבין עדות בבית המשפט </w:t>
      </w:r>
      <w:r>
        <w:rPr>
          <w:rFonts w:cs="Century" w:ascii="Century" w:hAnsi="Century"/>
          <w:rtl w:val="true"/>
        </w:rPr>
        <w:t>(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ל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חדש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נדיר יותר למצוא מתלונן שחוזר בו לגמרי מגרסה מפלילה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גם לכך יש תקדימים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הן בעבירות אלימות </w:t>
      </w:r>
      <w:r>
        <w:rPr>
          <w:rFonts w:cs="Century" w:ascii="Century" w:hAnsi="Century"/>
          <w:rtl w:val="true"/>
        </w:rPr>
        <w:t>(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3705/17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12.4.2018</w:t>
      </w:r>
      <w:r>
        <w:rPr>
          <w:rFonts w:cs="Century" w:ascii="Century" w:hAnsi="Century"/>
          <w:rtl w:val="true"/>
        </w:rPr>
        <w:t xml:space="preserve">)), </w:t>
      </w:r>
      <w:r>
        <w:rPr>
          <w:rFonts w:ascii="Century" w:hAnsi="Century" w:cs="Century"/>
          <w:rtl w:val="true"/>
        </w:rPr>
        <w:t xml:space="preserve">הן בעבירות מין </w:t>
      </w:r>
      <w:r>
        <w:rPr>
          <w:rFonts w:cs="Century" w:ascii="Century" w:hAnsi="Century"/>
          <w:rtl w:val="true"/>
        </w:rPr>
        <w:t>(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3217/14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31.7.2016</w:t>
      </w:r>
      <w:r>
        <w:rPr>
          <w:rFonts w:cs="Century" w:ascii="Century" w:hAnsi="Century"/>
          <w:rtl w:val="true"/>
        </w:rPr>
        <w:t xml:space="preserve">); 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8325/15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8.6.2017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מטבע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חשיבות לשאלת זהותו של העד שחזר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לנסיבות ולעיתוי שבו נמסרה הגרסה החדשה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למותר לציין כי גם חזרה של מתלונן מעדותו אינה מובילה בהכרח לזיכוי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ובית המשפט הוא שייקבע איזו מן הגרסאות לאמץ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מדובר בעֵדת תביעה שחזרה בה ומסרה גרסה חדשה לאחר הכרעת הדין המרשיעה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לצורך התייחסותנו להתפתחות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עיקר המשקל ניתן לכך שהעדה שחזרה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אִמה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איננה דמות מפתח בפרשה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בכך שונה ענייננו מן המקרה שנדון ב</w:t>
      </w:r>
      <w:r>
        <w:rPr>
          <w:rFonts w:cs="Century" w:ascii="Century" w:hAnsi="Century"/>
          <w:rtl w:val="true"/>
        </w:rPr>
        <w:t>-</w:t>
      </w:r>
      <w:hyperlink r:id="rId3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1690/09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שם הושגה לאחר הכרעת הדין הקלטה של גרסה חדשה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והתיק הוחזר לערכאה הדיונית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העבירות המיוחסות למערער בוצעו בחדרי חדרים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עדי ראיה פרט למתלוננת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תרומתה העיקרית של העֵדה להכרעת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היתה בעיקר בתיאור האירוע שבו המתלוננת הגיעה באישון ליל לבית הוריה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העדה חזרה בה מגרסתה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לפחות באופן חלקי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פי גרסתה העדכנית היא ראתה שריטה בשפתיים ודימום קל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ושיערה של המתלוננת לא היה סתור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אינני רואה ליתן לגרסה זו חשיבות רבה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משום שהאירוע הנדון הוכח באמצעות עדים נוספים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אביה ואחיה של המתלוננת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דהיינו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לאירוע זה יש חשיבות רבה כנדבך ראייתי בהרשעה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הוכח היטב גם בלי להסתמך על עדותה של האם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העובדה שבגרסתה החדשה של האם היא מנסה לטשטש את חומרתו של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בניגוד לגרסתה הקודמת ובניגוד לעדויות ראייה נוספות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מקשה על האפשרות לתת אמון בגרסתה החדשה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הנסיבות שבהן נמסרה הגרסה החדשה מפי האם מעוררות תמיהות נוספות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לדברי האם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המתלוננת חשפה בפניה את סודה בגילוי לב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תרחיש זה איננו מתיישב עם הנתק הממושך בין האם לבין המתלוננת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על פי הודעתה של האֵם במשטרה מיום </w:t>
      </w:r>
      <w:r>
        <w:rPr>
          <w:rFonts w:cs="Century" w:ascii="Century" w:hAnsi="Century"/>
        </w:rPr>
        <w:t>31.5.2018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מאז ש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יצאה מהבית שלה היא לא מדברת איתי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היא לא רוצה אותי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42-38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מחומר הראיות עולה כי אביה של המתלוננת תמך בה בעת הגשת התלונה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אמה של המתלוננת הציגה את הגרסה החדשה רק לאחר פטירתו של האב בסוף חודש אפריל </w:t>
      </w:r>
      <w:r>
        <w:rPr>
          <w:rFonts w:cs="Century" w:ascii="Century" w:hAnsi="Century"/>
        </w:rPr>
        <w:t>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וייתכן שלא בכדי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פי גרסתה החדשה של האֵם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חלף פרק זמן משמעותי מאז שהאמת נחשפה בפניה עד שניגשה לספר זאת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והיא נשאלה על כך ולא סיפקה הסבר הולם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הודעה מיום </w:t>
      </w:r>
      <w:r>
        <w:rPr>
          <w:rFonts w:cs="Century" w:ascii="Century" w:hAnsi="Century"/>
        </w:rPr>
        <w:t>12.7.2017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23-19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בשנת </w:t>
      </w:r>
      <w:r>
        <w:rPr>
          <w:rFonts w:cs="Century" w:ascii="Century" w:hAnsi="Century"/>
        </w:rPr>
        <w:t>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הוזמנה האם למשטרה מספר פעמים לצורך חקירה חוזרת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התייצבה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רק לאחר מכן נשמעה מפיה הטענה כי אחיה של המתלוננת מנסים למנוע את גילוי האמת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הילדים שלי לא נתנו לי לצאת מהבית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הם לא רצו שאני אבוא לתחנת המשטרה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הודעה מיום </w:t>
      </w:r>
      <w:r>
        <w:rPr>
          <w:rFonts w:cs="Century" w:ascii="Century" w:hAnsi="Century"/>
        </w:rPr>
        <w:t>31.5.2018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19-18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אך תשובה זו מעוררת תמיהות יותר מאשר הסברים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הונח בסיס לטענת הקנוניה המשפחתית נגד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גורמים ממשפחתו של המערער היו מעורבים במסירת הגרסה החדשה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ויש בכך כדי לעורר סימני שאלה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פי הודעת האֵם מיום </w:t>
      </w:r>
      <w:r>
        <w:rPr>
          <w:rFonts w:cs="Century" w:ascii="Century" w:hAnsi="Century"/>
        </w:rPr>
        <w:t>31.5.2018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אחותו של המערער הסיעה אותה לתחנת המשטרה ואחיו נשא בעלויות התצהיר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גם הטענה שהמתלוננת ניהלה רומן בזמן הנישואים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עומדת בצילן של נסיבות מסירת הגרסה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כמפורט לעיל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המשטרה בדקה את הטענה לגופה ולא מצאה לכך תימוכין כלשהם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אמנם ניתן היה לבצע פעולות חקירה נוספות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בעיקר מחקר תקשורת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וייתכן שהיה ראוי לעשות זאת כדי לשלול באופן מוחלט את הטענה או אף לצורך מראית פני הצדק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החלטת המשטרה להימנע מפעולות חקירה נוספות בשלב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יכולה לסייע למערער כיום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ודוק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גם אם נניח שאכן התנהל רומן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ושוב נדגיש כי לא הובאה ראיה כלשהי שמעידה על כך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הדבר מוכיח לכל היותר כי למתלוננת היה יכול להיות אינטרס לפגוע במערער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אין בכך כדי לשמוט את הקרקע תחת הקביעה כי הוא ביצע את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שהרי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קיומו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מניע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בהכרח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שומט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הקרקע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מהימנות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הגרסה</w:t>
      </w:r>
      <w:r>
        <w:rPr>
          <w:rFonts w:cs="Century" w:ascii="Century" w:hAnsi="Century"/>
          <w:rtl w:val="true"/>
        </w:rPr>
        <w:t>" (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7426/14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דניאל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14.3.2016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כלומר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אפילו היינו מקבלים את טענת הרומן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מתערער אחד האדנים שעליהם נשענת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 מדובר בראיה מזכה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אציין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אמנם בית המשפט קמא לא נחשף לטענת הרומן ולכן הנושא לא מוזכר בהכרעת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כפי שנאמר 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התנהלותה של המתלוננת לאורך הדרך איננה עולה בקנה אחד עם הרצון להפליל את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חבלי לידה רבים ליוו את הולדת התלונה אשר לא באה אל אוויר העולם באופן קל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ראו פסקה </w:t>
      </w:r>
      <w:r>
        <w:rPr>
          <w:rFonts w:cs="Century" w:ascii="Century" w:hAnsi="Century"/>
        </w:rPr>
        <w:t>93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כך 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אילו ביקשה המתלוננת להעליל על המערער כדי להשתחרר מכבלי הנישואין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היה לצפות שהטענות לעבירות מין יזכו לפירוט מלא במסמך שהוגש לבית הדין השרעי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אביה של המתלוננת נשאל בחקירה הנגדית מדוע לא צילם את הפצע בשפתיה בלילה שבו הגיעה לביתו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והשיב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לא היתה לי כוונה להרוס את היחסים ביניהם ולהתחיל לצלם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במסגרת גזר הדין </w:t>
      </w:r>
      <w:r>
        <w:rPr>
          <w:rtl w:val="true"/>
        </w:rPr>
        <w:t>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המערער טען בפנינו כי ראוי להתערב ולהקל בעונש נוכח גילו הצעיר יחסית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העדר הרשעות קודמות דומות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ותנאי מאסר מחמירים למרות רמת מסוכנות נמוכה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 נטען כי הענישה במקרים דומים מחמירה פחות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הפיצוי שנפסק לזכות המתלוננת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40,000</w:t>
      </w:r>
      <w:r>
        <w:rPr>
          <w:rFonts w:cs="Century" w:ascii="Century" w:hAnsi="Century"/>
          <w:rtl w:val="true"/>
        </w:rPr>
        <w:t xml:space="preserve"> ₪) </w:t>
      </w:r>
      <w:r>
        <w:rPr>
          <w:rFonts w:ascii="Century" w:hAnsi="Century" w:cs="Century"/>
          <w:rtl w:val="true"/>
        </w:rPr>
        <w:t>אינו הולם את יכולתו הכלכלית של המערער ואת הנזק שנגרם למתלוננת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גם בהיבט זה דין הערעור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העבירות שביצע המערער כדבר שבשגרה הן קשות ומחפירות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ולמתלוננת נגרם כבד ומתמשך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שעולה גם מתסקיר נפגעת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שהראתה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עונש המאסר איננו חורג לחומרה ממדיניות הענישה בכגון דא </w:t>
      </w:r>
      <w:r>
        <w:rPr>
          <w:rFonts w:cs="Century" w:ascii="Century" w:hAnsi="Century"/>
          <w:rtl w:val="true"/>
        </w:rPr>
        <w:t>(</w:t>
      </w:r>
      <w:hyperlink r:id="rId3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8630/14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19.2.2017</w:t>
      </w:r>
      <w:r>
        <w:rPr>
          <w:rFonts w:cs="Century" w:ascii="Century" w:hAnsi="Century"/>
          <w:rtl w:val="true"/>
        </w:rPr>
        <w:t xml:space="preserve">); </w:t>
      </w:r>
      <w:hyperlink r:id="rId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2760/11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7.2.2013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וראו גם את האסמכתאות שהוזכרו שם בפסקה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המערער לא לקח אחריות על מעשיו ולא השתלב בהליך טיפולי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יליד 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וגילו אינו מהווה שיקול מיוחד להקלה בעונש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הערכת המסוכנות מלמדת על מסכת חיים לא פשוטה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ובסיכומה הערכת מסוכנות מינית נמוכה כלפי נשים זרות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שעלולה להתגבר לרמת מסוכנות בינונית כלפי בנות זוג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עברו הפלילי של המערער אינו נקי אך גם המשיבה הסכימה כי אינו מכביד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אלה ניכר כי בית המשפט קמא נתן משקל הולם למכלול השיקולים הרלוונטיים ולא נמצאה לנו עילה להקל בעונשו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ספק כי גם הפיצוי שנפסק לזכות המתלוננת אינו מופרז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ולמעשה הסכום איננו מתקרב לכסות על חומרת הנזק שגרם המערער במעשיו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 מצאנו ממש בטענותיו של המערער נגד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מבוססת רובה ככולה על ממצאי מהימנות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העניין ראינו לנכון להיעתר לבקשתו של המערער להגיש ראיות חדשות שלא ניתן היה להגישן לערכאה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גם ראיות אלה אינן מעוררות ספק סביר באשמתו של המערער ואף אינן מגלות עילה להחזרת התיק לבירור נוסף בבית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הערעור על גזר הדין אינו מגלה עילה להתערבותנו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ולפיכך החלטנו לדחות את הערעור על כל חלקיו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ארז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</w:t>
      </w:r>
      <w:r>
        <w:rPr>
          <w:rtl w:val="true"/>
        </w:rPr>
        <w:t xml:space="preserve">, </w:t>
      </w:r>
      <w:r>
        <w:rPr>
          <w:rtl w:val="true"/>
        </w:rPr>
        <w:t>ומבחינתי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שמשפטו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הפך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מבחינתו</w:t>
      </w:r>
      <w:r>
        <w:rPr>
          <w:rtl w:val="true"/>
        </w:rPr>
        <w:t xml:space="preserve">, </w:t>
      </w:r>
      <w:r>
        <w:rPr>
          <w:rtl w:val="true"/>
        </w:rPr>
        <w:t>למסכת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נסיבותיה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מצטיירות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ומכבידות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באייר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7.5.2019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16026320</w:t>
      </w:r>
      <w:r>
        <w:rPr>
          <w:sz w:val="16"/>
          <w:rtl w:val="true"/>
        </w:rPr>
        <w:t>_</w:t>
      </w:r>
      <w:r>
        <w:rPr>
          <w:sz w:val="16"/>
        </w:rPr>
        <w:t>E25.docx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54678313-2632/16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2632/16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Ruller5">
    <w:name w:val="Ruller5 תו"/>
    <w:qFormat/>
    <w:rPr>
      <w:rFonts w:ascii="Arial TUR" w:hAnsi="Arial TUR" w:cs="FrankRuehl"/>
      <w:spacing w:val="10"/>
      <w:sz w:val="22"/>
      <w:szCs w:val="28"/>
    </w:rPr>
  </w:style>
  <w:style w:type="character" w:styleId="big-number">
    <w:name w:val="big-number"/>
    <w:qFormat/>
    <w:rPr/>
  </w:style>
  <w:style w:type="character" w:styleId="default">
    <w:name w:val="defaul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8569" TargetMode="External"/><Relationship Id="rId3" Type="http://schemas.openxmlformats.org/officeDocument/2006/relationships/hyperlink" Target="http://www.nevo.co.il/law/98569/10a" TargetMode="External"/><Relationship Id="rId4" Type="http://schemas.openxmlformats.org/officeDocument/2006/relationships/hyperlink" Target="http://www.nevo.co.il/law/98569/54a.b" TargetMode="External"/><Relationship Id="rId5" Type="http://schemas.openxmlformats.org/officeDocument/2006/relationships/hyperlink" Target="http://www.nevo.co.il/law/70387" TargetMode="External"/><Relationship Id="rId6" Type="http://schemas.openxmlformats.org/officeDocument/2006/relationships/hyperlink" Target="http://www.nevo.co.il/law/70387/4a" TargetMode="External"/><Relationship Id="rId7" Type="http://schemas.openxmlformats.org/officeDocument/2006/relationships/hyperlink" Target="http://www.nevo.co.il/law/74903" TargetMode="External"/><Relationship Id="rId8" Type="http://schemas.openxmlformats.org/officeDocument/2006/relationships/hyperlink" Target="http://www.nevo.co.il/law/74903/211" TargetMode="External"/><Relationship Id="rId9" Type="http://schemas.openxmlformats.org/officeDocument/2006/relationships/hyperlink" Target="http://www.nevo.co.il/law/98569/10a" TargetMode="External"/><Relationship Id="rId10" Type="http://schemas.openxmlformats.org/officeDocument/2006/relationships/hyperlink" Target="http://www.nevo.co.il/law/98569" TargetMode="External"/><Relationship Id="rId11" Type="http://schemas.openxmlformats.org/officeDocument/2006/relationships/hyperlink" Target="http://www.nevo.co.il/law/98569/54a.b" TargetMode="External"/><Relationship Id="rId12" Type="http://schemas.openxmlformats.org/officeDocument/2006/relationships/hyperlink" Target="http://www.nevo.co.il/law/98569" TargetMode="External"/><Relationship Id="rId13" Type="http://schemas.openxmlformats.org/officeDocument/2006/relationships/hyperlink" Target="http://www.nevo.co.il/case/22261453" TargetMode="External"/><Relationship Id="rId14" Type="http://schemas.openxmlformats.org/officeDocument/2006/relationships/hyperlink" Target="http://www.nevo.co.il/case/21026396" TargetMode="External"/><Relationship Id="rId15" Type="http://schemas.openxmlformats.org/officeDocument/2006/relationships/hyperlink" Target="http://www.nevo.co.il/case/16935034" TargetMode="External"/><Relationship Id="rId16" Type="http://schemas.openxmlformats.org/officeDocument/2006/relationships/hyperlink" Target="http://www.nevo.co.il/law/70387/4a" TargetMode="External"/><Relationship Id="rId17" Type="http://schemas.openxmlformats.org/officeDocument/2006/relationships/hyperlink" Target="http://www.nevo.co.il/law/70387" TargetMode="External"/><Relationship Id="rId18" Type="http://schemas.openxmlformats.org/officeDocument/2006/relationships/hyperlink" Target="http://www.nevo.co.il/law/74903/211" TargetMode="External"/><Relationship Id="rId19" Type="http://schemas.openxmlformats.org/officeDocument/2006/relationships/hyperlink" Target="http://www.nevo.co.il/law/74903" TargetMode="External"/><Relationship Id="rId20" Type="http://schemas.openxmlformats.org/officeDocument/2006/relationships/hyperlink" Target="http://www.nevo.co.il/case/17948085" TargetMode="External"/><Relationship Id="rId21" Type="http://schemas.openxmlformats.org/officeDocument/2006/relationships/hyperlink" Target="http://www.nevo.co.il/case/22268451" TargetMode="External"/><Relationship Id="rId22" Type="http://schemas.openxmlformats.org/officeDocument/2006/relationships/hyperlink" Target="http://www.nevo.co.il/case/10537746" TargetMode="External"/><Relationship Id="rId23" Type="http://schemas.openxmlformats.org/officeDocument/2006/relationships/hyperlink" Target="http://www.nevo.co.il/case/6243735" TargetMode="External"/><Relationship Id="rId24" Type="http://schemas.openxmlformats.org/officeDocument/2006/relationships/hyperlink" Target="http://www.nevo.co.il/case/6243735" TargetMode="External"/><Relationship Id="rId25" Type="http://schemas.openxmlformats.org/officeDocument/2006/relationships/hyperlink" Target="http://www.nevo.co.il/case/6249237" TargetMode="External"/><Relationship Id="rId26" Type="http://schemas.openxmlformats.org/officeDocument/2006/relationships/hyperlink" Target="http://www.nevo.co.il/case/17944337" TargetMode="External"/><Relationship Id="rId27" Type="http://schemas.openxmlformats.org/officeDocument/2006/relationships/hyperlink" Target="http://www.nevo.co.il/law/98569/10a" TargetMode="External"/><Relationship Id="rId28" Type="http://schemas.openxmlformats.org/officeDocument/2006/relationships/hyperlink" Target="http://www.nevo.co.il/law/98569" TargetMode="External"/><Relationship Id="rId29" Type="http://schemas.openxmlformats.org/officeDocument/2006/relationships/hyperlink" Target="http://www.nevo.co.il/case/22636374" TargetMode="External"/><Relationship Id="rId30" Type="http://schemas.openxmlformats.org/officeDocument/2006/relationships/hyperlink" Target="http://www.nevo.co.il/case/16910772" TargetMode="External"/><Relationship Id="rId31" Type="http://schemas.openxmlformats.org/officeDocument/2006/relationships/hyperlink" Target="http://www.nevo.co.il/case/21026396" TargetMode="External"/><Relationship Id="rId32" Type="http://schemas.openxmlformats.org/officeDocument/2006/relationships/hyperlink" Target="http://www.nevo.co.il/case/6243735" TargetMode="External"/><Relationship Id="rId33" Type="http://schemas.openxmlformats.org/officeDocument/2006/relationships/hyperlink" Target="http://www.nevo.co.il/case/18699871" TargetMode="External"/><Relationship Id="rId34" Type="http://schemas.openxmlformats.org/officeDocument/2006/relationships/hyperlink" Target="http://www.nevo.co.il/case/21477440" TargetMode="External"/><Relationship Id="rId35" Type="http://schemas.openxmlformats.org/officeDocument/2006/relationships/hyperlink" Target="http://www.nevo.co.il/case/6244466" TargetMode="External"/><Relationship Id="rId36" Type="http://schemas.openxmlformats.org/officeDocument/2006/relationships/hyperlink" Target="http://supreme.court.gov.il/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2019-05-14T09:09:00Z</dcterms:created>
  <dc:creator>h4</dc:creator>
  <dc:description/>
  <cp:keywords/>
  <dc:language>en-IL</dc:language>
  <cp:lastModifiedBy>hofit</cp:lastModifiedBy>
  <cp:lastPrinted>2019-05-07T16:03:00Z</cp:lastPrinted>
  <dcterms:modified xsi:type="dcterms:W3CDTF">2019-05-14T09:09:00Z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22261453;21026396:2;16935034;17948085;22268451;10537746;6243735:3;6249237;17944337;22636374;16910772;18699871;21477440;6244466</vt:lpwstr>
  </property>
  <property fmtid="{D5CDD505-2E9C-101B-9397-08002B2CF9AE}" pid="9" name="CITY">
    <vt:lpwstr/>
  </property>
  <property fmtid="{D5CDD505-2E9C-101B-9397-08002B2CF9AE}" pid="10" name="DATE">
    <vt:lpwstr>20190507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עמית;ד' ברק ארז;א' שטיין</vt:lpwstr>
  </property>
  <property fmtid="{D5CDD505-2E9C-101B-9397-08002B2CF9AE}" pid="14" name="LAWLISTTMP1">
    <vt:lpwstr>98569/054a.b;010a</vt:lpwstr>
  </property>
  <property fmtid="{D5CDD505-2E9C-101B-9397-08002B2CF9AE}" pid="15" name="LAWLISTTMP2">
    <vt:lpwstr>70387/004a</vt:lpwstr>
  </property>
  <property fmtid="{D5CDD505-2E9C-101B-9397-08002B2CF9AE}" pid="16" name="LAWLISTTMP3">
    <vt:lpwstr>74903/211</vt:lpwstr>
  </property>
  <property fmtid="{D5CDD505-2E9C-101B-9397-08002B2CF9AE}" pid="17" name="LAWYER">
    <vt:lpwstr>שרית משגב;מוטי לוי;יעל פרי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בתי-משפט</vt:lpwstr>
  </property>
  <property fmtid="{D5CDD505-2E9C-101B-9397-08002B2CF9AE}" pid="29" name="NOSE110">
    <vt:lpwstr/>
  </property>
  <property fmtid="{D5CDD505-2E9C-101B-9397-08002B2CF9AE}" pid="30" name="NOSE12">
    <vt:lpwstr>בתי-משפט</vt:lpwstr>
  </property>
  <property fmtid="{D5CDD505-2E9C-101B-9397-08002B2CF9AE}" pid="31" name="NOSE13">
    <vt:lpwstr>ראיות</vt:lpwstr>
  </property>
  <property fmtid="{D5CDD505-2E9C-101B-9397-08002B2CF9AE}" pid="32" name="NOSE14">
    <vt:lpwstr>עונשין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14;14;89;77</vt:lpwstr>
  </property>
  <property fmtid="{D5CDD505-2E9C-101B-9397-08002B2CF9AE}" pid="39" name="NOSE21">
    <vt:lpwstr>ערעור</vt:lpwstr>
  </property>
  <property fmtid="{D5CDD505-2E9C-101B-9397-08002B2CF9AE}" pid="40" name="NOSE210">
    <vt:lpwstr/>
  </property>
  <property fmtid="{D5CDD505-2E9C-101B-9397-08002B2CF9AE}" pid="41" name="NOSE22">
    <vt:lpwstr>ערעור</vt:lpwstr>
  </property>
  <property fmtid="{D5CDD505-2E9C-101B-9397-08002B2CF9AE}" pid="42" name="NOSE23">
    <vt:lpwstr>עדות</vt:lpwstr>
  </property>
  <property fmtid="{D5CDD505-2E9C-101B-9397-08002B2CF9AE}" pid="43" name="NOSE24">
    <vt:lpwstr>ענישה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333;333;1654;1446</vt:lpwstr>
  </property>
  <property fmtid="{D5CDD505-2E9C-101B-9397-08002B2CF9AE}" pid="50" name="NOSE31">
    <vt:lpwstr>ראיות  נוספות בערעור</vt:lpwstr>
  </property>
  <property fmtid="{D5CDD505-2E9C-101B-9397-08002B2CF9AE}" pid="51" name="NOSE310">
    <vt:lpwstr/>
  </property>
  <property fmtid="{D5CDD505-2E9C-101B-9397-08002B2CF9AE}" pid="52" name="NOSE32">
    <vt:lpwstr>התערבות במהימנות עדים</vt:lpwstr>
  </property>
  <property fmtid="{D5CDD505-2E9C-101B-9397-08002B2CF9AE}" pid="53" name="NOSE33">
    <vt:lpwstr>קורבן עבירת מין</vt:lpwstr>
  </property>
  <property fmtid="{D5CDD505-2E9C-101B-9397-08002B2CF9AE}" pid="54" name="NOSE34">
    <vt:lpwstr>מדיניות ענישה: עבירות מין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2746;13579;12270;8988</vt:lpwstr>
  </property>
  <property fmtid="{D5CDD505-2E9C-101B-9397-08002B2CF9AE}" pid="61" name="PADIDATE">
    <vt:lpwstr>20190508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2632</vt:lpwstr>
  </property>
  <property fmtid="{D5CDD505-2E9C-101B-9397-08002B2CF9AE}" pid="67" name="PROCYEAR">
    <vt:lpwstr>16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410120190507</vt:lpwstr>
  </property>
  <property fmtid="{D5CDD505-2E9C-101B-9397-08002B2CF9AE}" pid="71" name="TYPE_N_DATE">
    <vt:lpwstr>41020190507</vt:lpwstr>
  </property>
  <property fmtid="{D5CDD505-2E9C-101B-9397-08002B2CF9AE}" pid="72" name="VOLUME">
    <vt:lpwstr/>
  </property>
  <property fmtid="{D5CDD505-2E9C-101B-9397-08002B2CF9AE}" pid="73" name="WORDNUMPAGES">
    <vt:lpwstr>16</vt:lpwstr>
  </property>
</Properties>
</file>