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2647/21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16521-06-19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18.10.2020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באומגרט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28.02.2021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854"/>
        <w:gridCol w:w="279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תאריך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הישיבה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485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ט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בתמוז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התשפ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>(</w:t>
            </w:r>
            <w:r>
              <w:rPr>
                <w:sz w:val="28"/>
              </w:rPr>
              <w:t>14.07.2022</w:t>
            </w:r>
            <w:r>
              <w:rPr>
                <w:sz w:val="28"/>
                <w:rtl w:val="true"/>
              </w:rPr>
              <w:t>)</w:t>
            </w:r>
            <w:r>
              <w:rPr>
                <w:sz w:val="28"/>
                <w:rtl w:val="true"/>
              </w:rPr>
              <w:t xml:space="preserve">       </w:t>
            </w:r>
          </w:p>
        </w:tc>
        <w:tc>
          <w:tcPr>
            <w:tcW w:w="27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וסאם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עראף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4" w:name="FirstLawyer"/>
            <w:bookmarkEnd w:id="4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המשיב</w:t>
            </w:r>
            <w:r>
              <w:rPr>
                <w:rFonts w:ascii="Century" w:hAnsi="Century" w:cs="FrankRuehl"/>
                <w:spacing w:val="10"/>
                <w:rtl w:val="true"/>
              </w:rPr>
              <w:t>ה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ארז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בן</w:t>
            </w:r>
            <w:r>
              <w:rPr>
                <w:rFonts w:cs="FrankRuehl" w:ascii="Century" w:hAnsi="Century"/>
                <w:spacing w:val="10"/>
                <w:rtl w:val="true"/>
              </w:rPr>
              <w:t>-</w:t>
            </w:r>
            <w:r>
              <w:rPr>
                <w:rFonts w:ascii="Century" w:hAnsi="Century" w:cs="FrankRuehl"/>
                <w:spacing w:val="10"/>
                <w:rtl w:val="true"/>
              </w:rPr>
              <w:t>ארויה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color w:val="0000FF"/>
          <w:sz w:val="24"/>
          <w:sz w:val="24"/>
          <w:rtl w:val="true"/>
        </w:rPr>
        <w:t>כתבי עת</w:t>
      </w:r>
      <w:hyperlink r:id="rId2">
        <w:r>
          <w:rPr>
            <w:rFonts w:cs="FrankRuehl" w:ascii="FrankRuehl" w:hAnsi="FrankRuehl"/>
            <w:color w:val="0000FF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רננה לוי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״מה יצא לי מזה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?"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מיעוט הגשת תלונות למשטרה על ידי נפגעות גילוי עריות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מעשי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383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85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151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נגד מידת ההפשטה של כתב האישום הינה טענה מקדמית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להעלותה במועד סמוך לתחילת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המערער לא העלה טענה מקדמית נגד מידת ההפשטה של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כתב האישום נוסח במידת הפשטה גבוהה לא נפגעה יכולתו של המערער להתגונן מפני העבירות שיוחסו לו במסגרתו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לא הסתפק ברף ראייתי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נמוך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הרשעתו בביצוע 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ואף לא בעונש בן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כתב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 – ניסוחו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סתירות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בה הורשע המערער בביצוע ריבוי עבירות של מעשה מגונה בקטינה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אחייניתו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ובעבירת 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וכן ערעור על גזר דינו בגדרו הושתו על המערער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מאסרים מותנים וחיוב המערער בתשלום פיצוי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ערעור המערער על הכרעת הדין מכוון נגד מידת ההפשטה של כתב האישום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בגינה נפגעה יכולתו להתגונן כראוי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ואודות טענותיו נגד ממצאי המהימנות של בימ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ברון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לטענה בדבר מידת ההפשטה של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תפקיד כתב האישום להגדיר בפני הנאשם ובפני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את גדר המחלוקת בין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כתב האישום מבהיר לנאשם מהן העובדות שעל בסיסן קם האישום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ומהו העונש שצפוי שיוטל עליו ככל שיורשע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כתב האישום הוא המסמך המכונן של ההליך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שמאפשר לנאשם בפלילים לבנות את קו הגנתו ולכלכל את צעדיו 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כתב אישום להכיל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תיאור עובדות המהוות את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בציון המקום והזמן במידה שאפשר לבררם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נגד מידת ההפשטה של כתב האישום הינה טענה מקדמית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להעלותה במועד סמוך לתחילת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עשה כן ולא הביא טעם מבורר מדוע נמנע מלעשות כן עד עתה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דין טענה זו להידחות על הסף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לגופה דין טענה זו דחייה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כתב האישום לציין את המקום והזמן של ביצוע העבירות הנטענות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 שאפשר לבררם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בדבר הקושי הטמון בלדרוש מנפגעות עבירות מין דיוק מוחלט בתיאור האירועים שעברו ובמיוחד כאשר מדובר בעבירות מין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וכלפי 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לדרוש מגורמי 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יפרטו במדויק במסגרת כתב האישום את המועדים בהם התרחשו העבירות הנטענות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ומקום בו אלו לא פורטו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לבסס טענה בדבר מידת מופשטות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לומר כי מידת ההפשטה של כתב האישום מעלה חשש כי קופחה הגנתו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 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לא הסתפק ברף ראייתי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נמוך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המערער נגד קביעות עובדתיות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ובפרט נגד ממצאי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משמעית כי המתלוננת אמינה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שהמערער אינו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הסתירות בעדותה לא פגעו בליבת גרסתה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התמודד עם הקשיים שעלו מגרסת המתלוננת באופן מספק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ומקרה זה אינו חריג לכלל בדבר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הערעור בקביעות עובדתיות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לגופו של 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הסתירות ואי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הדיוקים העולים מעת לעת בגרסת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כאלו היורדים לשורשו של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הם טבעיים ואף בלתי נמנעים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כך הוא בכל הנוגע לגרסת המערער שאיננה אמינה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להיעדרן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במרכז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תדירותם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וקרבתו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rFonts w:cs="FrankRuehl"/>
          <w:sz w:val="24"/>
          <w:szCs w:val="26"/>
          <w:rtl w:val="true"/>
        </w:rPr>
        <w:t>.</w:t>
      </w:r>
      <w:bookmarkStart w:id="15" w:name="ABSTRACT_END"/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20" w:name="Start_Write"/>
      <w:bookmarkEnd w:id="20"/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 xml:space="preserve">לפנינו ערעור על הכרעת דינו של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קוטון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באומגרט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בתפ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</w:t>
      </w:r>
      <w:r>
        <w:rPr>
          <w:rFonts w:cs="Century" w:ascii="Century" w:hAnsi="Century"/>
        </w:rPr>
        <w:t>16521-06-19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18.10.2020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במסגרתה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שכפר במיוחס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בביצוע ריבוי עבירות של מעשה מגונה בקטינה ובעבירת 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ערעור על גזר דינו של אותו מותב מיום </w:t>
      </w:r>
      <w:r>
        <w:rPr>
          <w:rFonts w:cs="Century" w:ascii="Century" w:hAnsi="Century"/>
        </w:rPr>
        <w:t>28.02.2021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בגדרו הושתו על המערער שבע וחצי שנות מאסר לריצוי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שנה וחצי מאסר על תנאי למשך שלוש שנים שלא יעבור עבירות מין או אלימות שהן עבירות מסוג 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חצי שנה מאסר על תנאי למשך שלוש שנים שלא יעבור עבירות מין או אלימות שהן מסוג עוון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חויב המערער בתשלום פיצוי למתלוננת בסך של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07.06.2019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 כתב אישום המייחס לו ריבוי עבירות של מעשה מגונה בקטינה ילידת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היא אחייניתו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0"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בנסיבות </w:t>
      </w:r>
      <w:hyperlink r:id="rId22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3"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וכן עבירה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להלן יפורטו תמצית העובדות הרלוונטיות לענייננו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הוריה של המתלוננת התגרשו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וחיו בנפרד</w:t>
      </w:r>
      <w:r>
        <w:rPr>
          <w:rtl w:val="true"/>
        </w:rPr>
        <w:t xml:space="preserve">. </w:t>
      </w:r>
      <w:r>
        <w:rPr>
          <w:rtl w:val="true"/>
        </w:rPr>
        <w:t>במועדים הרלוונטיים לכתב האישום</w:t>
      </w:r>
      <w:r>
        <w:rPr>
          <w:rtl w:val="true"/>
        </w:rPr>
        <w:t xml:space="preserve">, </w:t>
      </w:r>
      <w:r>
        <w:rPr>
          <w:rtl w:val="true"/>
        </w:rPr>
        <w:t>התגורר המערער</w:t>
      </w:r>
      <w:r>
        <w:rPr>
          <w:rtl w:val="true"/>
        </w:rPr>
        <w:t xml:space="preserve">, </w:t>
      </w:r>
      <w:r>
        <w:rPr>
          <w:rtl w:val="true"/>
        </w:rPr>
        <w:t>דודה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בבית משותף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ביחד עם אחיו </w:t>
      </w:r>
      <w:r>
        <w:rPr>
          <w:rtl w:val="true"/>
        </w:rPr>
        <w:t>(</w:t>
      </w:r>
      <w:r>
        <w:rPr>
          <w:rtl w:val="true"/>
        </w:rPr>
        <w:t>אביה של המתלוננת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</w:t>
      </w:r>
      <w:r>
        <w:rPr>
          <w:rtl w:val="true"/>
        </w:rPr>
        <w:t xml:space="preserve">), </w:t>
      </w:r>
      <w:r>
        <w:rPr>
          <w:rtl w:val="true"/>
        </w:rPr>
        <w:t xml:space="preserve">אחותו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הדודה</w:t>
      </w:r>
      <w:r>
        <w:rPr>
          <w:rtl w:val="true"/>
        </w:rPr>
        <w:t xml:space="preserve">) </w:t>
      </w:r>
      <w:r>
        <w:rPr>
          <w:rtl w:val="true"/>
        </w:rPr>
        <w:t xml:space="preserve">ואח נוסף </w:t>
      </w:r>
      <w:r>
        <w:rPr>
          <w:rtl w:val="true"/>
        </w:rPr>
        <w:t>(</w:t>
      </w:r>
      <w:r>
        <w:rPr>
          <w:rtl w:val="true"/>
        </w:rPr>
        <w:t>אשר למרבה הצער נפטר במהלך ניהול ההליך בבית המשפט המחוזי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הדוד</w:t>
      </w:r>
      <w:r>
        <w:rPr>
          <w:rtl w:val="true"/>
        </w:rPr>
        <w:t xml:space="preserve">). </w:t>
      </w:r>
      <w:r>
        <w:rPr>
          <w:rtl w:val="true"/>
        </w:rPr>
        <w:t xml:space="preserve">בית האב היה צמוד לביתה של אם המתלוננת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), </w:t>
      </w:r>
      <w:r>
        <w:rPr>
          <w:rtl w:val="true"/>
        </w:rPr>
        <w:t xml:space="preserve">וככל שניתן להבין מעובדות כתב האישום וטענות הצדדים </w:t>
      </w:r>
      <w:r>
        <w:rPr>
          <w:rtl w:val="true"/>
        </w:rPr>
        <w:t>–</w:t>
      </w:r>
      <w:r>
        <w:rPr>
          <w:rtl w:val="true"/>
        </w:rPr>
        <w:t xml:space="preserve"> חלקו שני הבתים אותה חלקה</w:t>
      </w:r>
      <w:r>
        <w:rPr>
          <w:rtl w:val="true"/>
        </w:rPr>
        <w:t xml:space="preserve">. </w:t>
      </w:r>
      <w:r>
        <w:rPr>
          <w:rtl w:val="true"/>
        </w:rPr>
        <w:t>במהלך התקופה הרלוונטית לכתב האישום</w:t>
      </w:r>
      <w:r>
        <w:rPr>
          <w:rtl w:val="true"/>
        </w:rPr>
        <w:t xml:space="preserve">, </w:t>
      </w:r>
      <w:r>
        <w:rPr>
          <w:rtl w:val="true"/>
        </w:rPr>
        <w:t>נהגה המערערת להגיע אל בית האב לשם ביקור אביה ולצורך טיפול בחיות מחמד אשר גידלה 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החל ממחצית שנת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חודש מרץ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במועדים שאינם ידועים במדויק למשיבה</w:t>
      </w:r>
      <w:r>
        <w:rPr>
          <w:rtl w:val="true"/>
        </w:rPr>
        <w:t xml:space="preserve">, </w:t>
      </w:r>
      <w:r>
        <w:rPr>
          <w:rtl w:val="true"/>
        </w:rPr>
        <w:t xml:space="preserve">ביצע המערער מספר רב של מעשים מגונים במתלוננת </w:t>
      </w:r>
      <w:r>
        <w:rPr>
          <w:rtl w:val="true"/>
        </w:rPr>
        <w:t>–</w:t>
      </w:r>
      <w:r>
        <w:rPr>
          <w:rtl w:val="true"/>
        </w:rPr>
        <w:t xml:space="preserve"> ללא הסכמתה</w:t>
      </w:r>
      <w:r>
        <w:rPr>
          <w:rtl w:val="true"/>
        </w:rPr>
        <w:t xml:space="preserve">, </w:t>
      </w:r>
      <w:r>
        <w:rPr>
          <w:rtl w:val="true"/>
        </w:rPr>
        <w:t>ואף איים עליה שמא תספר על כך לאחר</w:t>
      </w:r>
      <w:r>
        <w:rPr>
          <w:rtl w:val="true"/>
        </w:rPr>
        <w:t xml:space="preserve">. </w:t>
      </w:r>
      <w:r>
        <w:rPr>
          <w:rtl w:val="true"/>
        </w:rPr>
        <w:t>ואלו האירועים אשר פורטו בכתב האישום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באמצע 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ישבה המתלוננת על הספה בסלון של בית האב ושיחקה יחד עם המערער שחמט</w:t>
      </w:r>
      <w:r>
        <w:rPr>
          <w:rtl w:val="true"/>
        </w:rPr>
        <w:t xml:space="preserve">, </w:t>
      </w:r>
      <w:r>
        <w:rPr>
          <w:rtl w:val="true"/>
        </w:rPr>
        <w:t>בעודם שוהים בסלון לבדם</w:t>
      </w:r>
      <w:r>
        <w:rPr>
          <w:rtl w:val="true"/>
        </w:rPr>
        <w:t xml:space="preserve">. </w:t>
      </w:r>
      <w:r>
        <w:rPr>
          <w:rtl w:val="true"/>
        </w:rPr>
        <w:t>במהלך המשחק ניגש המערער למטבח להביא אוכל</w:t>
      </w:r>
      <w:r>
        <w:rPr>
          <w:rtl w:val="true"/>
        </w:rPr>
        <w:t xml:space="preserve">, </w:t>
      </w:r>
      <w:r>
        <w:rPr>
          <w:rtl w:val="true"/>
        </w:rPr>
        <w:t>וכאשר חזר התיישב בסמוך למתלוננת</w:t>
      </w:r>
      <w:r>
        <w:rPr>
          <w:rtl w:val="true"/>
        </w:rPr>
        <w:t xml:space="preserve">. </w:t>
      </w:r>
      <w:r>
        <w:rPr>
          <w:rtl w:val="true"/>
        </w:rPr>
        <w:t>בעודו צמוד אליה</w:t>
      </w:r>
      <w:r>
        <w:rPr>
          <w:rtl w:val="true"/>
        </w:rPr>
        <w:t xml:space="preserve">, </w:t>
      </w:r>
      <w:r>
        <w:rPr>
          <w:rtl w:val="true"/>
        </w:rPr>
        <w:t xml:space="preserve">החל המערער ללטף אותה בגופה </w:t>
      </w:r>
      <w:r>
        <w:rPr>
          <w:rtl w:val="true"/>
        </w:rPr>
        <w:t>–</w:t>
      </w:r>
      <w:r>
        <w:rPr>
          <w:rtl w:val="true"/>
        </w:rPr>
        <w:t xml:space="preserve"> בגבה ובחזה שלה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 כבין שבוע לבין שבוע וחצי ממועד האירוע הראשון</w:t>
      </w:r>
      <w:r>
        <w:rPr>
          <w:rtl w:val="true"/>
        </w:rPr>
        <w:t xml:space="preserve">, </w:t>
      </w:r>
      <w:r>
        <w:rPr>
          <w:rtl w:val="true"/>
        </w:rPr>
        <w:t>משהגיעה המתלוננת לטפל בתוכי הנמצא בחצר בית האב</w:t>
      </w:r>
      <w:r>
        <w:rPr>
          <w:rtl w:val="true"/>
        </w:rPr>
        <w:t xml:space="preserve">, </w:t>
      </w:r>
      <w:r>
        <w:rPr>
          <w:rtl w:val="true"/>
        </w:rPr>
        <w:t>ניגש אליה המערער</w:t>
      </w:r>
      <w:r>
        <w:rPr>
          <w:rtl w:val="true"/>
        </w:rPr>
        <w:t xml:space="preserve">, </w:t>
      </w:r>
      <w:r>
        <w:rPr>
          <w:rtl w:val="true"/>
        </w:rPr>
        <w:t>תפס אותה בידה ומשך אותה אל סלון הבית</w:t>
      </w:r>
      <w:r>
        <w:rPr>
          <w:rtl w:val="true"/>
        </w:rPr>
        <w:t xml:space="preserve">. </w:t>
      </w:r>
      <w:r>
        <w:rPr>
          <w:rtl w:val="true"/>
        </w:rPr>
        <w:t>המערער נעל את הדלת הראשית של הבית והחל להכניס את ידו אל תוך מכנסיה של המתלוננת ומתחת לחולצתה</w:t>
      </w:r>
      <w:r>
        <w:rPr>
          <w:rtl w:val="true"/>
        </w:rPr>
        <w:t xml:space="preserve">, </w:t>
      </w:r>
      <w:r>
        <w:rPr>
          <w:rtl w:val="true"/>
        </w:rPr>
        <w:t>וללטפה שם</w:t>
      </w:r>
      <w:r>
        <w:rPr>
          <w:rtl w:val="true"/>
        </w:rPr>
        <w:t xml:space="preserve">. </w:t>
      </w:r>
      <w:r>
        <w:rPr>
          <w:rtl w:val="true"/>
        </w:rPr>
        <w:t>בסוף המעשה</w:t>
      </w:r>
      <w:r>
        <w:rPr>
          <w:rtl w:val="true"/>
        </w:rPr>
        <w:t xml:space="preserve">, </w:t>
      </w:r>
      <w:r>
        <w:rPr>
          <w:rtl w:val="true"/>
        </w:rPr>
        <w:t>פנה המערער למתלוננת ואמר לה לא לספר לאף אדם אחר על שעשה לה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בתחילת שנת הלימודים של שנת </w:t>
      </w:r>
      <w:r>
        <w:rPr/>
        <w:t>2017/18</w:t>
      </w:r>
      <w:r>
        <w:rPr>
          <w:rtl w:val="true"/>
        </w:rPr>
        <w:t xml:space="preserve">, </w:t>
      </w:r>
      <w:r>
        <w:rPr>
          <w:rtl w:val="true"/>
        </w:rPr>
        <w:t>הגיעה המתלוננת לבית האב לטפל בחיות הבית</w:t>
      </w:r>
      <w:r>
        <w:rPr>
          <w:rtl w:val="true"/>
        </w:rPr>
        <w:t xml:space="preserve">. </w:t>
      </w:r>
      <w:r>
        <w:rPr>
          <w:rtl w:val="true"/>
        </w:rPr>
        <w:t>המערער ניגש אל המתלוננת</w:t>
      </w:r>
      <w:r>
        <w:rPr>
          <w:rtl w:val="true"/>
        </w:rPr>
        <w:t xml:space="preserve">, </w:t>
      </w:r>
      <w:r>
        <w:rPr>
          <w:rtl w:val="true"/>
        </w:rPr>
        <w:t>תפס אותה בידה ומשך אותה בכוח אל תוך חדרה של הדודה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המערער פשט את כל בגדיו</w:t>
      </w:r>
      <w:r>
        <w:rPr>
          <w:rtl w:val="true"/>
        </w:rPr>
        <w:t xml:space="preserve">, </w:t>
      </w:r>
      <w:r>
        <w:rPr>
          <w:rtl w:val="true"/>
        </w:rPr>
        <w:t>פשט את מכנסיה ותחתוניה של המתלוננת</w:t>
      </w:r>
      <w:r>
        <w:rPr>
          <w:rtl w:val="true"/>
        </w:rPr>
        <w:t xml:space="preserve">, </w:t>
      </w:r>
      <w:r>
        <w:rPr>
          <w:rtl w:val="true"/>
        </w:rPr>
        <w:t>הרים את חולצתה</w:t>
      </w:r>
      <w:r>
        <w:rPr>
          <w:rtl w:val="true"/>
        </w:rPr>
        <w:t xml:space="preserve">, </w:t>
      </w:r>
      <w:r>
        <w:rPr>
          <w:rtl w:val="true"/>
        </w:rPr>
        <w:t>השכיבה על מיטתה של הדודה</w:t>
      </w:r>
      <w:r>
        <w:rPr>
          <w:rtl w:val="true"/>
        </w:rPr>
        <w:t xml:space="preserve">, </w:t>
      </w:r>
      <w:r>
        <w:rPr>
          <w:rtl w:val="true"/>
        </w:rPr>
        <w:t>פיסק את רגליה</w:t>
      </w:r>
      <w:r>
        <w:rPr>
          <w:rtl w:val="true"/>
        </w:rPr>
        <w:t xml:space="preserve">, </w:t>
      </w:r>
      <w:r>
        <w:rPr>
          <w:rtl w:val="true"/>
        </w:rPr>
        <w:t>ליטף את איבר מינה</w:t>
      </w:r>
      <w:r>
        <w:rPr>
          <w:rtl w:val="true"/>
        </w:rPr>
        <w:t xml:space="preserve">, </w:t>
      </w:r>
      <w:r>
        <w:rPr>
          <w:rtl w:val="true"/>
        </w:rPr>
        <w:t>נישק אותה על פיה ונישק ומצץ את איבר מינה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המערער נשכב על המתלוננת בעודה שכובה על גבה והצמיד את גופו לגופה ואיבר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כן איים המערער על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כי אם תספר לאחר על שעשה לה </w:t>
      </w:r>
      <w:r>
        <w:rPr>
          <w:rtl w:val="true"/>
        </w:rPr>
        <w:t>–</w:t>
      </w:r>
      <w:r>
        <w:rPr>
          <w:rtl w:val="true"/>
        </w:rPr>
        <w:t xml:space="preserve"> הוא </w:t>
      </w:r>
      <w:r>
        <w:rPr>
          <w:rtl w:val="true"/>
        </w:rPr>
        <w:t>"</w:t>
      </w:r>
      <w:r>
        <w:rPr>
          <w:rtl w:val="true"/>
        </w:rPr>
        <w:t>יעשה לה משהו גרוע יותר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בחודש מרץ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לחץ המערער על לחצן שהיה בבית האב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הלחצן</w:t>
      </w:r>
      <w:r>
        <w:rPr>
          <w:rtl w:val="true"/>
        </w:rPr>
        <w:t xml:space="preserve">), </w:t>
      </w:r>
      <w:r>
        <w:rPr>
          <w:rtl w:val="true"/>
        </w:rPr>
        <w:t>ואשר שימש ברגיל את האב לצורך יצירת קשר עם המתלוננת על מנת לקרוא לה לביתו</w:t>
      </w:r>
      <w:r>
        <w:rPr>
          <w:rtl w:val="true"/>
        </w:rPr>
        <w:t xml:space="preserve">. </w:t>
      </w:r>
      <w:r>
        <w:rPr>
          <w:rtl w:val="true"/>
        </w:rPr>
        <w:t>המתלוננת הגיעה אל בית האב תוך מחשבה כי אביה קרא לה</w:t>
      </w:r>
      <w:r>
        <w:rPr>
          <w:rtl w:val="true"/>
        </w:rPr>
        <w:t xml:space="preserve">, </w:t>
      </w:r>
      <w:r>
        <w:rPr>
          <w:rtl w:val="true"/>
        </w:rPr>
        <w:t xml:space="preserve">ומשהגיעה </w:t>
      </w:r>
      <w:r>
        <w:rPr>
          <w:rtl w:val="true"/>
        </w:rPr>
        <w:t>–</w:t>
      </w:r>
      <w:r>
        <w:rPr>
          <w:rtl w:val="true"/>
        </w:rPr>
        <w:t xml:space="preserve"> תפס אותה המערער בידה ומשך אותה בכוח אל חדרו של הדוד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פשט המערער את עצמו ואת המתלוננת מכל בגדיהם</w:t>
      </w:r>
      <w:r>
        <w:rPr>
          <w:rtl w:val="true"/>
        </w:rPr>
        <w:t xml:space="preserve">, </w:t>
      </w:r>
      <w:r>
        <w:rPr>
          <w:rtl w:val="true"/>
        </w:rPr>
        <w:t>נישק את המתלוננת על פיה ובכל גופה</w:t>
      </w:r>
      <w:r>
        <w:rPr>
          <w:rtl w:val="true"/>
        </w:rPr>
        <w:t xml:space="preserve">, </w:t>
      </w:r>
      <w:r>
        <w:rPr>
          <w:rtl w:val="true"/>
        </w:rPr>
        <w:t>ליטף אותה בגופה</w:t>
      </w:r>
      <w:r>
        <w:rPr>
          <w:rtl w:val="true"/>
        </w:rPr>
        <w:t xml:space="preserve">, </w:t>
      </w:r>
      <w:r>
        <w:rPr>
          <w:rtl w:val="true"/>
        </w:rPr>
        <w:t>השכיב אותה על מיטתו של הדוד וליקק ומצץ את החזה שלה ואת איבר מינה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הצמיד המערער את גופו לגופה של המתלוננת</w:t>
      </w:r>
      <w:r>
        <w:rPr>
          <w:rtl w:val="true"/>
        </w:rPr>
        <w:t xml:space="preserve">, </w:t>
      </w:r>
      <w:r>
        <w:rPr>
          <w:rtl w:val="true"/>
        </w:rPr>
        <w:t>ועשה כל זאת עד שהגיע לפורקן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במהלך שנת הלימודים של שנת </w:t>
      </w:r>
      <w:r>
        <w:rPr/>
        <w:t>2017/18</w:t>
      </w:r>
      <w:r>
        <w:rPr>
          <w:rtl w:val="true"/>
        </w:rPr>
        <w:t xml:space="preserve">, </w:t>
      </w:r>
      <w:r>
        <w:rPr>
          <w:rtl w:val="true"/>
        </w:rPr>
        <w:t>בעת שעמדה המתלוננת בבית האב</w:t>
      </w:r>
      <w:r>
        <w:rPr>
          <w:rtl w:val="true"/>
        </w:rPr>
        <w:t xml:space="preserve">, </w:t>
      </w:r>
      <w:r>
        <w:rPr>
          <w:rtl w:val="true"/>
        </w:rPr>
        <w:t>ניגש אליה המערער</w:t>
      </w:r>
      <w:r>
        <w:rPr>
          <w:rtl w:val="true"/>
        </w:rPr>
        <w:t xml:space="preserve">, </w:t>
      </w:r>
      <w:r>
        <w:rPr>
          <w:rtl w:val="true"/>
        </w:rPr>
        <w:t>נעמד מולה והחל לגעת עם ידו בגופה ובאיבר מינה מעל בגדיה</w:t>
      </w:r>
      <w:r>
        <w:rPr>
          <w:rtl w:val="true"/>
        </w:rPr>
        <w:t xml:space="preserve">, </w:t>
      </w:r>
      <w:r>
        <w:rPr>
          <w:rtl w:val="true"/>
        </w:rPr>
        <w:t>עד שנכנס האב אל הבית</w:t>
      </w:r>
      <w:r>
        <w:rPr>
          <w:rtl w:val="true"/>
        </w:rPr>
        <w:t xml:space="preserve">, </w:t>
      </w:r>
      <w:r>
        <w:rPr>
          <w:rtl w:val="true"/>
        </w:rPr>
        <w:t xml:space="preserve">או אז חדל המערער ממעשיו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פרשת הגילוי על אודות המעשים שביצע המערער במתלוננת החלה ביום </w:t>
      </w:r>
      <w:r>
        <w:rPr/>
        <w:t>28.04.2018</w:t>
      </w:r>
      <w:r>
        <w:rPr>
          <w:rtl w:val="true"/>
        </w:rPr>
        <w:t xml:space="preserve">, </w:t>
      </w:r>
      <w:r>
        <w:rPr>
          <w:rtl w:val="true"/>
        </w:rPr>
        <w:t>במסגרת שיחה שהתקיימה בבית ספרה של המתלוננת בנושא פגיעות והטרדות מיניות</w:t>
      </w:r>
      <w:r>
        <w:rPr>
          <w:rtl w:val="true"/>
        </w:rPr>
        <w:t xml:space="preserve">. </w:t>
      </w:r>
      <w:r>
        <w:rPr>
          <w:rtl w:val="true"/>
        </w:rPr>
        <w:t>במהלך השיחה</w:t>
      </w:r>
      <w:r>
        <w:rPr>
          <w:rtl w:val="true"/>
        </w:rPr>
        <w:t xml:space="preserve">, </w:t>
      </w:r>
      <w:r>
        <w:rPr>
          <w:rtl w:val="true"/>
        </w:rPr>
        <w:t xml:space="preserve">חשפה המתלוננת לפני בנות כיתתה ולפני מורה בבית ספרה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המורה</w:t>
      </w:r>
      <w:r>
        <w:rPr>
          <w:rtl w:val="true"/>
        </w:rPr>
        <w:t xml:space="preserve">) </w:t>
      </w:r>
      <w:r>
        <w:rPr>
          <w:rtl w:val="true"/>
        </w:rPr>
        <w:t>כי נפגעה מינית על ידי אחר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 xml:space="preserve">דיווחה המורה על כך ליועצת בית הספר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היועצת</w:t>
      </w:r>
      <w:r>
        <w:rPr>
          <w:rtl w:val="true"/>
        </w:rPr>
        <w:t xml:space="preserve">), </w:t>
      </w:r>
      <w:r>
        <w:rPr>
          <w:rtl w:val="true"/>
        </w:rPr>
        <w:t>והאחרונה פנתה אל המתלוננת למחרת היום וקיימה עמה שיחה בעניין</w:t>
      </w:r>
      <w:r>
        <w:rPr>
          <w:rtl w:val="true"/>
        </w:rPr>
        <w:t xml:space="preserve">. </w:t>
      </w:r>
      <w:r>
        <w:rPr>
          <w:rtl w:val="true"/>
        </w:rPr>
        <w:t>בהסכמת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נעשתה פנייה לעובדת סוציאלית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הסעד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ולאחר שנפגשו</w:t>
      </w:r>
      <w:r>
        <w:rPr>
          <w:rtl w:val="true"/>
        </w:rPr>
        <w:t xml:space="preserve">, </w:t>
      </w:r>
      <w:r>
        <w:rPr>
          <w:rtl w:val="true"/>
        </w:rPr>
        <w:t>דיווחה פקידת הסעד למשטרה על שהמתלוננת סיפרה לה</w:t>
      </w:r>
      <w:r>
        <w:rPr>
          <w:rtl w:val="true"/>
        </w:rPr>
        <w:t xml:space="preserve">. </w:t>
      </w:r>
      <w:r>
        <w:rPr>
          <w:rtl w:val="true"/>
        </w:rPr>
        <w:t>בעקבות הדיווח החלה חקירה משטרתית בעניין</w:t>
      </w:r>
      <w:r>
        <w:rPr>
          <w:rtl w:val="true"/>
        </w:rPr>
        <w:t xml:space="preserve">, </w:t>
      </w:r>
      <w:r>
        <w:rPr>
          <w:rtl w:val="true"/>
        </w:rPr>
        <w:t xml:space="preserve">אך זו הופסקה בהמשך </w:t>
      </w:r>
      <w:r>
        <w:rPr>
          <w:rtl w:val="true"/>
        </w:rPr>
        <w:t>–</w:t>
      </w:r>
      <w:r>
        <w:rPr>
          <w:rtl w:val="true"/>
        </w:rPr>
        <w:t xml:space="preserve"> שעה  שהמתלוננת חדלה מלשתף עמה פעולה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>).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כשנה לאחר שהופסקה החקירה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ולאחר שהמתלוננת עברה טיפול נפשי במרכז </w:t>
      </w:r>
      <w:r>
        <w:rPr>
          <w:rtl w:val="true"/>
        </w:rPr>
        <w:t>"</w:t>
      </w:r>
      <w:r>
        <w:rPr>
          <w:rtl w:val="true"/>
        </w:rPr>
        <w:t>כרם</w:t>
      </w:r>
      <w:r>
        <w:rPr>
          <w:rtl w:val="true"/>
        </w:rPr>
        <w:t xml:space="preserve">", </w:t>
      </w:r>
      <w:r>
        <w:rPr>
          <w:rtl w:val="true"/>
        </w:rPr>
        <w:t xml:space="preserve">פנתה המתלוננת ביום </w:t>
      </w:r>
      <w:r>
        <w:rPr/>
        <w:t>15.05.2019</w:t>
      </w:r>
      <w:r>
        <w:rPr>
          <w:rtl w:val="true"/>
        </w:rPr>
        <w:t xml:space="preserve"> </w:t>
      </w:r>
      <w:r>
        <w:rPr>
          <w:rtl w:val="true"/>
        </w:rPr>
        <w:t>אל פקידת הסעד בבקשה שתפנה עבורה שוב למשטרה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18.05.2019</w:t>
      </w:r>
      <w:r>
        <w:rPr>
          <w:rtl w:val="true"/>
        </w:rPr>
        <w:t xml:space="preserve"> </w:t>
      </w:r>
      <w:r>
        <w:rPr>
          <w:rtl w:val="true"/>
        </w:rPr>
        <w:t>פנתה פקידת הסעד אל המשטרה ועדכנה כי המתלוננת מוכנה לשתף פעולה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החלה חקירה בעניין</w:t>
      </w:r>
      <w:r>
        <w:rPr>
          <w:rtl w:val="true"/>
        </w:rPr>
        <w:t xml:space="preserve">, </w:t>
      </w:r>
      <w:r>
        <w:rPr>
          <w:rtl w:val="true"/>
        </w:rPr>
        <w:t>במסגרתה נחקרו המערער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האם והדודה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26.05.2019</w:t>
      </w:r>
      <w:r>
        <w:rPr>
          <w:rtl w:val="true"/>
        </w:rPr>
        <w:t xml:space="preserve"> </w:t>
      </w:r>
      <w:r>
        <w:rPr>
          <w:rtl w:val="true"/>
        </w:rPr>
        <w:t xml:space="preserve">נעצר המערער וביום </w:t>
      </w:r>
      <w:r>
        <w:rPr/>
        <w:t>07.06.2019</w:t>
      </w:r>
      <w:r>
        <w:rPr>
          <w:rtl w:val="true"/>
        </w:rPr>
        <w:t xml:space="preserve"> </w:t>
      </w:r>
      <w:r>
        <w:rPr>
          <w:rtl w:val="true"/>
        </w:rPr>
        <w:t>הוגש נגדו כתב אישום</w:t>
      </w:r>
      <w:r>
        <w:rPr>
          <w:rtl w:val="true"/>
        </w:rPr>
        <w:t xml:space="preserve">. </w:t>
      </w:r>
      <w:r>
        <w:rPr>
          <w:rtl w:val="true"/>
        </w:rPr>
        <w:t>נוכח כפירתו של המערער בכל המיוחס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התנהל הליך ההוכחות בבית המשפט המחוזי עד תום</w:t>
      </w:r>
      <w:r>
        <w:rPr>
          <w:rtl w:val="true"/>
        </w:rPr>
        <w:t xml:space="preserve">, </w:t>
      </w:r>
      <w:r>
        <w:rPr>
          <w:rtl w:val="true"/>
        </w:rPr>
        <w:t>בגדרו הביאו הצדדים ראיותיהם והעידו עדיהם לפני בית המשפט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18.10.2020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הרשיע בית המשפט המחוזי את המערער בריבוי</w:t>
      </w:r>
      <w:r>
        <w:rPr>
          <w:rFonts w:ascii="Century" w:hAnsi="Century" w:cs="Century"/>
          <w:rtl w:val="true"/>
        </w:rPr>
        <w:t xml:space="preserve"> עבירות של מעשה מגונה בקטינה לפי </w:t>
      </w:r>
      <w:hyperlink r:id="rId25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6"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27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8"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ובעבירת איומים לפי 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שנוהל הליך הוכחות מלא בגדרו הובאו ראיות ועדים מטעם הצדדים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הכרעת דינו של בית המשפט המחוזי התבססה בראש ובראשונה על עדותה של המתלוננת </w:t>
      </w:r>
      <w:r>
        <w:rPr>
          <w:rtl w:val="true"/>
        </w:rPr>
        <w:t>–</w:t>
      </w:r>
      <w:r>
        <w:rPr>
          <w:rtl w:val="true"/>
        </w:rPr>
        <w:t xml:space="preserve"> שנמצאה על</w:t>
      </w:r>
      <w:r>
        <w:rPr>
          <w:rtl w:val="true"/>
        </w:rPr>
        <w:t>-</w:t>
      </w:r>
      <w:r>
        <w:rPr>
          <w:rtl w:val="true"/>
        </w:rPr>
        <w:t>ידו מהימנה ומשכנעת</w:t>
      </w:r>
      <w:r>
        <w:rPr>
          <w:rtl w:val="true"/>
        </w:rPr>
        <w:t xml:space="preserve">. </w:t>
      </w:r>
      <w:r>
        <w:rPr>
          <w:rtl w:val="true"/>
        </w:rPr>
        <w:t xml:space="preserve">כך נקבע בהכרעת הדין כי 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המתלוננת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אמינה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ומהימנה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מאוד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ובהתאם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גם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גרסתה</w:t>
      </w:r>
      <w:r>
        <w:rPr>
          <w:rtl w:val="true"/>
        </w:rPr>
        <w:t>" [</w:t>
      </w:r>
      <w:r>
        <w:rPr>
          <w:rtl w:val="true"/>
        </w:rPr>
        <w:t xml:space="preserve">הדגשות שלי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.]. </w:t>
      </w:r>
      <w:r>
        <w:rPr>
          <w:rtl w:val="true"/>
        </w:rPr>
        <w:t>לעניין זה הדגיש בית המשפט את התרשמותו הבלתי אמצעית מעדות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תוך שצוין כי 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טון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דיבורה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אופן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התבטאותה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בבית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המשפט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שפת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גופה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והבעות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פניה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כולם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הותירו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בנו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רושם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אמין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ומהימן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ביותר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ויש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להעיר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כי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דבריה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חדרו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אל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הלב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 [</w:t>
      </w:r>
      <w:r>
        <w:rPr>
          <w:rtl w:val="true"/>
        </w:rPr>
        <w:t xml:space="preserve">הדגשות שלי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.]. </w:t>
      </w:r>
      <w:r>
        <w:rPr>
          <w:rtl w:val="true"/>
        </w:rPr>
        <w:t xml:space="preserve">בית המשפט אף לא התעלם מקשיים כאלו ואחרים שעלו מגרסת המתלוננת </w:t>
      </w:r>
      <w:r>
        <w:rPr>
          <w:rtl w:val="true"/>
        </w:rPr>
        <w:t>–</w:t>
      </w:r>
      <w:r>
        <w:rPr>
          <w:rtl w:val="true"/>
        </w:rPr>
        <w:t xml:space="preserve"> הוא בחן את הדברים לעומקם והתמודד עימם באופן משכנע</w:t>
      </w:r>
      <w:r>
        <w:rPr>
          <w:rtl w:val="true"/>
        </w:rPr>
        <w:t xml:space="preserve">, </w:t>
      </w:r>
      <w:r>
        <w:rPr>
          <w:rtl w:val="true"/>
        </w:rPr>
        <w:t>תוך שהוא קובע כי הסתירות ואי</w:t>
      </w:r>
      <w:r>
        <w:rPr>
          <w:rtl w:val="true"/>
        </w:rPr>
        <w:t>-</w:t>
      </w:r>
      <w:r>
        <w:rPr>
          <w:rtl w:val="true"/>
        </w:rPr>
        <w:t xml:space="preserve">הדיוקים בעדותה של המתלוננת </w:t>
      </w:r>
      <w:r>
        <w:rPr>
          <w:rFonts w:ascii="Miriam" w:hAnsi="Miriam" w:cs="Miriam"/>
          <w:szCs w:val="24"/>
          <w:rtl w:val="true"/>
        </w:rPr>
        <w:t>לא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פגעו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בליבת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למידת הפירוט והדיוק שיש לדרוש מנפגעת עבירות מין</w:t>
      </w:r>
      <w:r>
        <w:rPr>
          <w:rtl w:val="true"/>
        </w:rPr>
        <w:t xml:space="preserve">, </w:t>
      </w:r>
      <w:r>
        <w:rPr>
          <w:rtl w:val="true"/>
        </w:rPr>
        <w:t>ותוך מודעות לקשיים האינהרנטיים הטמונים במתן עדות כאמור</w:t>
      </w:r>
      <w:r>
        <w:rPr>
          <w:rtl w:val="true"/>
        </w:rPr>
        <w:t xml:space="preserve">, </w:t>
      </w:r>
      <w:r>
        <w:rPr>
          <w:rtl w:val="true"/>
        </w:rPr>
        <w:t>כפי שאלו הוכרו על</w:t>
      </w:r>
      <w:r>
        <w:rPr>
          <w:rtl w:val="true"/>
        </w:rPr>
        <w:t>-</w:t>
      </w:r>
      <w:r>
        <w:rPr>
          <w:rtl w:val="true"/>
        </w:rPr>
        <w:t>ידי בתי המשפט במרוצת השנים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אל מול קביעותיו אלו של בית המשפט המחוזי בדבר אמינות עדותה של המתלוננת </w:t>
      </w:r>
      <w:r>
        <w:rPr>
          <w:rtl w:val="true"/>
        </w:rPr>
        <w:t>–</w:t>
      </w:r>
      <w:r>
        <w:rPr>
          <w:rtl w:val="true"/>
        </w:rPr>
        <w:t xml:space="preserve"> הותירה עדותו של המערער לפני בית המשפט 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רושם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עגום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ובלתי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מהימן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 [</w:t>
      </w:r>
      <w:r>
        <w:rPr>
          <w:rtl w:val="true"/>
        </w:rPr>
        <w:t xml:space="preserve">הדגשות שלי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הכחשתו הגורפת של המערער את כל המיוחס לו</w:t>
      </w:r>
      <w:r>
        <w:rPr>
          <w:rtl w:val="true"/>
        </w:rPr>
        <w:t xml:space="preserve">; </w:t>
      </w:r>
      <w:r>
        <w:rPr>
          <w:rtl w:val="true"/>
        </w:rPr>
        <w:t>התחמקותו מלענות על שאלות עליהן נשאל במהלך עדותו</w:t>
      </w:r>
      <w:r>
        <w:rPr>
          <w:rtl w:val="true"/>
        </w:rPr>
        <w:t xml:space="preserve">; </w:t>
      </w:r>
      <w:r>
        <w:rPr>
          <w:rtl w:val="true"/>
        </w:rPr>
        <w:t>הסתירות בין עדותו במשטרה לבין עדותו בבית המשפט</w:t>
      </w:r>
      <w:r>
        <w:rPr>
          <w:rtl w:val="true"/>
        </w:rPr>
        <w:t xml:space="preserve">; </w:t>
      </w:r>
      <w:r>
        <w:rPr>
          <w:rtl w:val="true"/>
        </w:rPr>
        <w:t>והעובדה שלא הובא על</w:t>
      </w:r>
      <w:r>
        <w:rPr>
          <w:rtl w:val="true"/>
        </w:rPr>
        <w:t>-</w:t>
      </w:r>
      <w:r>
        <w:rPr>
          <w:rtl w:val="true"/>
        </w:rPr>
        <w:t>ידו כל הסבר סביר לטענתו כי תלונתה של המתלוננת אינה אלא חלק מקנוניה של האם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גם בהתייחס לעדותו של האב מטעם ההגנה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עדותו במשפט עמדה בסתירה מהותית לעדות שנתן במשטרה </w:t>
      </w:r>
      <w:r>
        <w:rPr>
          <w:rtl w:val="true"/>
        </w:rPr>
        <w:t>–</w:t>
      </w:r>
      <w:r>
        <w:rPr>
          <w:rtl w:val="true"/>
        </w:rPr>
        <w:t xml:space="preserve"> כך שיש מקום להעדיף את האחרונה מכוח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). </w:t>
      </w:r>
      <w:r>
        <w:rPr>
          <w:rtl w:val="true"/>
        </w:rPr>
        <w:t>כעולה מעדותו במשטרה</w:t>
      </w:r>
      <w:r>
        <w:rPr>
          <w:rtl w:val="true"/>
        </w:rPr>
        <w:t xml:space="preserve">, </w:t>
      </w:r>
      <w:r>
        <w:rPr>
          <w:rtl w:val="true"/>
        </w:rPr>
        <w:t>האב היה עד לאירוע החמישי</w:t>
      </w:r>
      <w:r>
        <w:rPr>
          <w:rtl w:val="true"/>
        </w:rPr>
        <w:t xml:space="preserve">, </w:t>
      </w:r>
      <w:r>
        <w:rPr>
          <w:rtl w:val="true"/>
        </w:rPr>
        <w:t>וזה נראה לו חריג</w:t>
      </w:r>
      <w:r>
        <w:rPr>
          <w:rtl w:val="true"/>
        </w:rPr>
        <w:t xml:space="preserve">. </w:t>
      </w:r>
      <w:r>
        <w:rPr>
          <w:rtl w:val="true"/>
        </w:rPr>
        <w:t>עוד עולה כי</w:t>
      </w:r>
      <w:r>
        <w:rPr>
          <w:rtl w:val="true"/>
        </w:rPr>
        <w:t xml:space="preserve">, </w:t>
      </w:r>
      <w:r>
        <w:rPr>
          <w:rtl w:val="true"/>
        </w:rPr>
        <w:t>המתלוננת סיפרה לאב על אודות הפגיעה המינית שחוותה מהמערער</w:t>
      </w:r>
      <w:r>
        <w:rPr>
          <w:rtl w:val="true"/>
        </w:rPr>
        <w:t xml:space="preserve">, </w:t>
      </w:r>
      <w:r>
        <w:rPr>
          <w:rtl w:val="true"/>
        </w:rPr>
        <w:t>וכי האב האמין לדבריה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על יסוד כל אלה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במיוחס לו בכתב האישום</w:t>
      </w:r>
      <w:r>
        <w:rPr>
          <w:rtl w:val="true"/>
        </w:rPr>
        <w:t xml:space="preserve">. </w:t>
      </w:r>
      <w:r>
        <w:rPr>
          <w:rtl w:val="true"/>
        </w:rPr>
        <w:t>בתוך כך הודגש</w:t>
      </w:r>
      <w:r>
        <w:rPr>
          <w:rtl w:val="true"/>
        </w:rPr>
        <w:t xml:space="preserve">, </w:t>
      </w:r>
      <w:r>
        <w:rPr>
          <w:rtl w:val="true"/>
        </w:rPr>
        <w:t>כי די היה בעדותה היחידה של המתלוננת לצורך הרשעת המערער בדין</w:t>
      </w:r>
      <w:r>
        <w:rPr>
          <w:rtl w:val="true"/>
        </w:rPr>
        <w:t xml:space="preserve">; </w:t>
      </w:r>
      <w:r>
        <w:rPr>
          <w:rtl w:val="true"/>
        </w:rPr>
        <w:t>אך לצד זאת</w:t>
      </w:r>
      <w:r>
        <w:rPr>
          <w:rtl w:val="true"/>
        </w:rPr>
        <w:t xml:space="preserve">, </w:t>
      </w:r>
      <w:r>
        <w:rPr>
          <w:rtl w:val="true"/>
        </w:rPr>
        <w:t>ממילא נמצאו תמיכות לגרסת המתלוננת גם בעדויות אחרות</w:t>
      </w:r>
      <w:r>
        <w:rPr>
          <w:rtl w:val="true"/>
        </w:rPr>
        <w:t xml:space="preserve">, </w:t>
      </w:r>
      <w:r>
        <w:rPr>
          <w:rtl w:val="true"/>
        </w:rPr>
        <w:t xml:space="preserve">ובכלל אלו </w:t>
      </w:r>
      <w:r>
        <w:rPr>
          <w:rtl w:val="true"/>
        </w:rPr>
        <w:t>–</w:t>
      </w:r>
      <w:r>
        <w:rPr>
          <w:rtl w:val="true"/>
        </w:rPr>
        <w:t xml:space="preserve"> עדויותיהם של פקידת הסעד</w:t>
      </w:r>
      <w:r>
        <w:rPr>
          <w:rtl w:val="true"/>
        </w:rPr>
        <w:t xml:space="preserve">, </w:t>
      </w:r>
      <w:r>
        <w:rPr>
          <w:rtl w:val="true"/>
        </w:rPr>
        <w:t>היועצת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האב והדודה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28.02.2021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ששמע את טיעוני הצדדים לעונש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 בית המשפט המחוזי על המערער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שבע וחצי שנות מאסר לריצוי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שנה וחצי מאסר על תנאי למשך שלוש שנים שלא יעבור עבירות מין או אלימות שהן עבירות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חצי שנה מאסר על תנאי למשך שלוש שנים שלא יעבור עבירות מין או אלימות שהן מסוג עוון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למתלוננת בסך של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בראשית הדברים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על יסוד המבחנים שנקבעו בפסיקה </w:t>
      </w:r>
      <w:r>
        <w:rPr>
          <w:rtl w:val="true"/>
        </w:rPr>
        <w:t>–</w:t>
      </w:r>
      <w:r>
        <w:rPr>
          <w:rtl w:val="true"/>
        </w:rPr>
        <w:t xml:space="preserve"> כי יש לראות בכלל האירועים כאירוע אחד</w:t>
      </w:r>
      <w:r>
        <w:rPr>
          <w:rtl w:val="true"/>
        </w:rPr>
        <w:t xml:space="preserve">. </w:t>
      </w:r>
      <w:r>
        <w:rPr>
          <w:rtl w:val="true"/>
        </w:rPr>
        <w:t>אחר זאת</w:t>
      </w:r>
      <w:r>
        <w:rPr>
          <w:rtl w:val="true"/>
        </w:rPr>
        <w:t xml:space="preserve">, </w:t>
      </w:r>
      <w:r>
        <w:rPr>
          <w:rtl w:val="true"/>
        </w:rPr>
        <w:t>עמד בית המשפט על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התכנון שקדם להם והעובדה כי ביצועם כרוך היה בניצול מצבה המשפחתי של המתלוננת ורצונה לשמור על קשר עם אביה</w:t>
      </w:r>
      <w:r>
        <w:rPr>
          <w:rtl w:val="true"/>
        </w:rPr>
        <w:t xml:space="preserve">. </w:t>
      </w:r>
      <w:r>
        <w:rPr>
          <w:rtl w:val="true"/>
        </w:rPr>
        <w:t>כן עמד בית המשפט על הערכים החברתיים המוגנים בהם פגע המערער וכן על חומרת נסיבות מעשיו</w:t>
      </w:r>
      <w:r>
        <w:rPr>
          <w:rtl w:val="true"/>
        </w:rPr>
        <w:t xml:space="preserve">. </w:t>
      </w:r>
      <w:r>
        <w:rPr>
          <w:rtl w:val="true"/>
        </w:rPr>
        <w:t>דגש מיוחד ניתן לכך שבביצוען של עבירות המין בהן הורשע המערער</w:t>
      </w:r>
      <w:r>
        <w:rPr>
          <w:rtl w:val="true"/>
        </w:rPr>
        <w:t xml:space="preserve">, </w:t>
      </w:r>
      <w:r>
        <w:rPr>
          <w:rtl w:val="true"/>
        </w:rPr>
        <w:t>בבת משפחתו</w:t>
      </w:r>
      <w:r>
        <w:rPr>
          <w:rtl w:val="true"/>
        </w:rPr>
        <w:t xml:space="preserve">, </w:t>
      </w:r>
      <w:r>
        <w:rPr>
          <w:rtl w:val="true"/>
        </w:rPr>
        <w:t>נגרמת פגיעה קשה לשלום המתלוננת</w:t>
      </w:r>
      <w:r>
        <w:rPr>
          <w:rtl w:val="true"/>
        </w:rPr>
        <w:t xml:space="preserve">, </w:t>
      </w:r>
      <w:r>
        <w:rPr>
          <w:rtl w:val="true"/>
        </w:rPr>
        <w:t>לגופה ולנפשה</w:t>
      </w:r>
      <w:r>
        <w:rPr>
          <w:rtl w:val="true"/>
        </w:rPr>
        <w:t xml:space="preserve">; </w:t>
      </w:r>
      <w:r>
        <w:rPr>
          <w:rtl w:val="true"/>
        </w:rPr>
        <w:t>ולצד זאת</w:t>
      </w:r>
      <w:r>
        <w:rPr>
          <w:rtl w:val="true"/>
        </w:rPr>
        <w:t xml:space="preserve">, </w:t>
      </w:r>
      <w:r>
        <w:rPr>
          <w:rtl w:val="true"/>
        </w:rPr>
        <w:t>פגיעה בביטחונה</w:t>
      </w:r>
      <w:r>
        <w:rPr>
          <w:rtl w:val="true"/>
        </w:rPr>
        <w:t xml:space="preserve">, </w:t>
      </w:r>
      <w:r>
        <w:rPr>
          <w:rtl w:val="true"/>
        </w:rPr>
        <w:t>פרטיותה</w:t>
      </w:r>
      <w:r>
        <w:rPr>
          <w:rtl w:val="true"/>
        </w:rPr>
        <w:t xml:space="preserve">, </w:t>
      </w:r>
      <w:r>
        <w:rPr>
          <w:rtl w:val="true"/>
        </w:rPr>
        <w:t>כבודה ובזכותה לאוטונומיה על גופה ובכל שיעשה בו</w:t>
      </w:r>
      <w:r>
        <w:rPr>
          <w:rtl w:val="true"/>
        </w:rPr>
        <w:t xml:space="preserve">. </w:t>
      </w:r>
      <w:r>
        <w:rPr>
          <w:rtl w:val="true"/>
        </w:rPr>
        <w:t>בהתחשב בכל אלו</w:t>
      </w:r>
      <w:r>
        <w:rPr>
          <w:rtl w:val="true"/>
        </w:rPr>
        <w:t xml:space="preserve">, </w:t>
      </w:r>
      <w:r>
        <w:rPr>
          <w:rtl w:val="true"/>
        </w:rPr>
        <w:t>ובנסיבות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מתחם ענישה הנע בין שש לבין תשע שנות מאסר לריצוי בפועל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Fonts w:ascii="FrankRuehl" w:hAnsi="FrankRuehl" w:cs="FrankRuehl"/>
          <w:sz w:val="28"/>
          <w:sz w:val="28"/>
          <w:rtl w:val="true"/>
        </w:rPr>
        <w:t>בעת קביעת העונש המתאים בתוככי מתחם הענישה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שקל בית המשפט </w:t>
      </w:r>
      <w:r>
        <w:rPr>
          <w:rtl w:val="true"/>
        </w:rPr>
        <w:t>את התנהלותו של המערער</w:t>
      </w:r>
      <w:r>
        <w:rPr>
          <w:rtl w:val="true"/>
        </w:rPr>
        <w:t xml:space="preserve">, </w:t>
      </w:r>
      <w:r>
        <w:rPr>
          <w:rtl w:val="true"/>
        </w:rPr>
        <w:t>אשר לא הודה במיוחס לו</w:t>
      </w:r>
      <w:r>
        <w:rPr>
          <w:rtl w:val="true"/>
        </w:rPr>
        <w:t xml:space="preserve">, </w:t>
      </w:r>
      <w:r>
        <w:rPr>
          <w:rtl w:val="true"/>
        </w:rPr>
        <w:t>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לא הכיר בחומרתם</w:t>
      </w:r>
      <w:r>
        <w:rPr>
          <w:rtl w:val="true"/>
        </w:rPr>
        <w:t xml:space="preserve">, </w:t>
      </w:r>
      <w:r>
        <w:rPr>
          <w:rtl w:val="true"/>
        </w:rPr>
        <w:t>לא הביע חרטה ולא הביע רצון לעבור הליך של שיקום</w:t>
      </w:r>
      <w:r>
        <w:rPr>
          <w:rtl w:val="true"/>
        </w:rPr>
        <w:t xml:space="preserve">; </w:t>
      </w:r>
      <w:r>
        <w:rPr>
          <w:rtl w:val="true"/>
        </w:rPr>
        <w:t>הנזק שנגרם למתלוננת</w:t>
      </w:r>
      <w:r>
        <w:rPr>
          <w:rtl w:val="true"/>
        </w:rPr>
        <w:t xml:space="preserve">; </w:t>
      </w:r>
      <w:r>
        <w:rPr>
          <w:rtl w:val="true"/>
        </w:rPr>
        <w:t>וכן שיקולי גמול והרתעת הרבים והיחיד</w:t>
      </w:r>
      <w:r>
        <w:rPr>
          <w:rtl w:val="true"/>
        </w:rPr>
        <w:t xml:space="preserve">. </w:t>
      </w:r>
      <w:r>
        <w:rPr>
          <w:rtl w:val="true"/>
        </w:rPr>
        <w:t xml:space="preserve">כן הובאו במכלול שיקוליו של בית המשפט </w:t>
      </w:r>
      <w:r>
        <w:rPr>
          <w:rtl w:val="true"/>
        </w:rPr>
        <w:t>–</w:t>
      </w:r>
      <w:r>
        <w:rPr>
          <w:rtl w:val="true"/>
        </w:rPr>
        <w:t xml:space="preserve"> לקולא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לרבות עברו הפלילי הנקי</w:t>
      </w:r>
      <w:r>
        <w:rPr>
          <w:rtl w:val="true"/>
        </w:rPr>
        <w:t xml:space="preserve">. </w:t>
      </w:r>
      <w:r>
        <w:rPr>
          <w:rtl w:val="true"/>
        </w:rPr>
        <w:t>אולם לצד זאת נקבע</w:t>
      </w:r>
      <w:r>
        <w:rPr>
          <w:rtl w:val="true"/>
        </w:rPr>
        <w:t xml:space="preserve">, </w:t>
      </w:r>
      <w:r>
        <w:rPr>
          <w:rtl w:val="true"/>
        </w:rPr>
        <w:t>כי ״</w:t>
      </w:r>
      <w:r>
        <w:rPr>
          <w:rFonts w:ascii="Century" w:hAnsi="Century" w:cs="Century"/>
          <w:sz w:val="22"/>
          <w:sz w:val="22"/>
          <w:rtl w:val="true"/>
        </w:rPr>
        <w:t>יש לבכר את שיקולי הגמול וההרתעה על פני נסיבותיו האישיות</w:t>
      </w:r>
      <w:r>
        <w:rPr>
          <w:rtl w:val="true"/>
        </w:rPr>
        <w:t xml:space="preserve">״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לאור כל זאת</w:t>
      </w:r>
      <w:r>
        <w:rPr>
          <w:rtl w:val="true"/>
        </w:rPr>
        <w:t xml:space="preserve">, </w:t>
      </w:r>
      <w:r>
        <w:rPr>
          <w:rtl w:val="true"/>
        </w:rPr>
        <w:t>נקבע עונשו של המערער במרכז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כך שהושתו על המערער העונשים עליהם עמדתי בפסקה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והתשובה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במוקד טענותיו של המערער נגד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ניצבת אך טענה אחת שהיא משפטית באופיה </w:t>
      </w:r>
      <w:r>
        <w:rPr>
          <w:rtl w:val="true"/>
        </w:rPr>
        <w:t>–</w:t>
      </w:r>
      <w:r>
        <w:rPr>
          <w:rtl w:val="true"/>
        </w:rPr>
        <w:t xml:space="preserve"> ולפיה נוסחו הכללי של כתב האישום פגע ביכולתו להתגונן כראוי מפני האשמות שהוגשו נגדו</w:t>
      </w:r>
      <w:r>
        <w:rPr>
          <w:rtl w:val="true"/>
        </w:rPr>
        <w:t xml:space="preserve">. </w:t>
      </w:r>
      <w:r>
        <w:rPr>
          <w:rtl w:val="true"/>
        </w:rPr>
        <w:t>יתר טענותיו של המערער</w:t>
      </w:r>
      <w:r>
        <w:rPr>
          <w:rtl w:val="true"/>
        </w:rPr>
        <w:t xml:space="preserve">, </w:t>
      </w:r>
      <w:r>
        <w:rPr>
          <w:rtl w:val="true"/>
        </w:rPr>
        <w:t>מופנות נגד קביעותיו העובדתיות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ובפרט </w:t>
      </w:r>
      <w:r>
        <w:rPr>
          <w:rtl w:val="true"/>
        </w:rPr>
        <w:t>–</w:t>
      </w:r>
      <w:r>
        <w:rPr>
          <w:rtl w:val="true"/>
        </w:rPr>
        <w:t xml:space="preserve"> נגד ממצאי המהימנות והאמינות שעוגנו בקביעותיו ביחס לעדויות המתלוננת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הדודה והמערער</w:t>
      </w:r>
      <w:r>
        <w:rPr>
          <w:rtl w:val="true"/>
        </w:rPr>
        <w:t xml:space="preserve">.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כי קיימות סתירות מהותיות בגרסת המתלוננת</w:t>
      </w:r>
      <w:r>
        <w:rPr>
          <w:rtl w:val="true"/>
        </w:rPr>
        <w:t xml:space="preserve">, </w:t>
      </w:r>
      <w:r>
        <w:rPr>
          <w:rtl w:val="true"/>
        </w:rPr>
        <w:t>וכי המתלוננת לא סיפקה להם הסברים משכנעים</w:t>
      </w:r>
      <w:r>
        <w:rPr>
          <w:rtl w:val="true"/>
        </w:rPr>
        <w:t xml:space="preserve">. </w:t>
      </w:r>
      <w:r>
        <w:rPr>
          <w:rtl w:val="true"/>
        </w:rPr>
        <w:t>בפרט טוען המערער</w:t>
      </w:r>
      <w:r>
        <w:rPr>
          <w:rtl w:val="true"/>
        </w:rPr>
        <w:t xml:space="preserve">, </w:t>
      </w:r>
      <w:r>
        <w:rPr>
          <w:rtl w:val="true"/>
        </w:rPr>
        <w:t>כי גרסת המתלוננת בנוגע לכך שסיפרה לאמה על האירוע הראשון בסמוך להתרחשותו</w:t>
      </w:r>
      <w:r>
        <w:rPr>
          <w:rtl w:val="true"/>
        </w:rPr>
        <w:t xml:space="preserve">; </w:t>
      </w:r>
      <w:r>
        <w:rPr>
          <w:rtl w:val="true"/>
        </w:rPr>
        <w:t>לסיבה שבגינה נהגה לבקר בבית</w:t>
      </w:r>
      <w:r>
        <w:rPr>
          <w:rtl w:val="true"/>
        </w:rPr>
        <w:t xml:space="preserve">; </w:t>
      </w:r>
      <w:r>
        <w:rPr>
          <w:rtl w:val="true"/>
        </w:rPr>
        <w:t>לכך שלא הבינה את מהות מעשיו של המערער בעת שבוצעו</w:t>
      </w:r>
      <w:r>
        <w:rPr>
          <w:rtl w:val="true"/>
        </w:rPr>
        <w:t xml:space="preserve">; </w:t>
      </w:r>
      <w:r>
        <w:rPr>
          <w:rtl w:val="true"/>
        </w:rPr>
        <w:t>לנוכחותו של הדוד בבית במועד האירועים</w:t>
      </w:r>
      <w:r>
        <w:rPr>
          <w:rtl w:val="true"/>
        </w:rPr>
        <w:t xml:space="preserve">; </w:t>
      </w:r>
      <w:r>
        <w:rPr>
          <w:rtl w:val="true"/>
        </w:rPr>
        <w:t xml:space="preserve">ולמועד שבו הופסקו מעשיו של המערער </w:t>
      </w:r>
      <w:r>
        <w:rPr>
          <w:rtl w:val="true"/>
        </w:rPr>
        <w:t>–</w:t>
      </w:r>
      <w:r>
        <w:rPr>
          <w:rtl w:val="true"/>
        </w:rPr>
        <w:t xml:space="preserve"> אינם מתיישבים עם מארג הראיות בתיק</w:t>
      </w:r>
      <w:r>
        <w:rPr>
          <w:rtl w:val="true"/>
        </w:rPr>
        <w:t xml:space="preserve">, </w:t>
      </w:r>
      <w:r>
        <w:rPr>
          <w:rtl w:val="true"/>
        </w:rPr>
        <w:t>עובדות כתב האישום וההיגיון הבריא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קיימות סתירות בעדות האם אשר גם לגביהן לא ניתן כל הסבר משכנע</w:t>
      </w:r>
      <w:r>
        <w:rPr>
          <w:rtl w:val="true"/>
        </w:rPr>
        <w:t xml:space="preserve">; </w:t>
      </w:r>
      <w:r>
        <w:rPr>
          <w:rtl w:val="true"/>
        </w:rPr>
        <w:t>כי בית המשפט המחוזי שגה משקבע כי עדויותיהם של האב והדודה תומכות בגרסת המתלוננת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בגרסתו</w:t>
      </w:r>
      <w:r>
        <w:rPr>
          <w:rtl w:val="true"/>
        </w:rPr>
        <w:t xml:space="preserve">; </w:t>
      </w:r>
      <w:r>
        <w:rPr>
          <w:rtl w:val="true"/>
        </w:rPr>
        <w:t>וכי בית המשפט שגה משדחה את גרסתו וקבע כי עדותו איננה אמינה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>
          <w:color w:val="000000"/>
          <w:sz w:val="28"/>
          <w:shd w:fill="FFFFFF" w:val="clear"/>
        </w:rPr>
      </w:pPr>
      <w:r>
        <w:rPr>
          <w:rtl w:val="true"/>
        </w:rPr>
        <w:t>אשר לגזר הדין שניתן טוען המערער</w:t>
      </w:r>
      <w:r>
        <w:rPr>
          <w:rtl w:val="true"/>
        </w:rPr>
        <w:t xml:space="preserve">, </w:t>
      </w:r>
      <w:r>
        <w:rPr>
          <w:rtl w:val="true"/>
        </w:rPr>
        <w:t>כי העונש שהושת עליו הוא עונש חמור ובלתי מידתי</w:t>
      </w:r>
      <w:r>
        <w:rPr>
          <w:rtl w:val="true"/>
        </w:rPr>
        <w:t xml:space="preserve">, </w:t>
      </w:r>
      <w:r>
        <w:rPr>
          <w:rtl w:val="true"/>
        </w:rPr>
        <w:t xml:space="preserve">וכי בית המשפט המחוזי שגה </w:t>
      </w:r>
      <w:r>
        <w:rPr>
          <w:rtl w:val="true"/>
        </w:rPr>
        <w:t>–</w:t>
      </w:r>
      <w:r>
        <w:rPr>
          <w:rtl w:val="true"/>
        </w:rPr>
        <w:t xml:space="preserve"> הן בקביעת מתחם הענישה והן בקביעת עונשו בגדרו</w:t>
      </w:r>
      <w:r>
        <w:rPr>
          <w:rtl w:val="true"/>
        </w:rPr>
        <w:t>.</w:t>
      </w:r>
      <w:r>
        <w:rPr>
          <w:color w:val="000000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לטענתו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בית המשפט קבע את מתחם הענישה על בסיס מקרים אחרים בהם דובר על מעשים חמורים יותר מאלה בהם הורשע המערער</w:t>
      </w:r>
      <w:r>
        <w:rPr>
          <w:color w:val="000000"/>
          <w:sz w:val="28"/>
          <w:shd w:fill="FFFFFF" w:val="clear"/>
          <w:rtl w:val="true"/>
        </w:rPr>
        <w:t xml:space="preserve">; </w:t>
      </w:r>
      <w:r>
        <w:rPr>
          <w:color w:val="000000"/>
          <w:sz w:val="28"/>
          <w:sz w:val="28"/>
          <w:shd w:fill="FFFFFF" w:val="clear"/>
          <w:rtl w:val="true"/>
        </w:rPr>
        <w:t>וכי פרט למקרה אחד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נקבעו בהם עונשים מקלים יותר מאלו שהושתו על המערער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כן טוען המערער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כי בית המשפט המחוזי שגה שעה ששקל לחומרתו את העובדה שכפר במיוחס לו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ניהל הליך שלם ולא לקח אחריות על מעשיו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לבסוף טוען המערער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כי בית המשפט לא ייחס משקל מספק לעובדה שהוא נטול עבר פלילי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בעת קביעת עונשו בתוך מתחם הענישה</w:t>
      </w:r>
      <w:r>
        <w:rPr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>
          <w:color w:val="000000"/>
          <w:sz w:val="28"/>
          <w:shd w:fill="FFFFFF" w:val="clear"/>
        </w:rPr>
      </w:pPr>
      <w:r>
        <w:rPr>
          <w:rtl w:val="true"/>
        </w:rPr>
        <w:t>המשיבה מצידה טוענת</w:t>
      </w:r>
      <w:r>
        <w:rPr>
          <w:rtl w:val="true"/>
        </w:rPr>
        <w:t xml:space="preserve">, </w:t>
      </w:r>
      <w:r>
        <w:rPr>
          <w:rtl w:val="true"/>
        </w:rPr>
        <w:t xml:space="preserve">כי טענת המערער נגד מידת ההפשטה של כתב האישום </w:t>
      </w:r>
      <w:r>
        <w:rPr>
          <w:color w:val="000000"/>
          <w:sz w:val="28"/>
          <w:sz w:val="28"/>
          <w:shd w:fill="FFFFFF" w:val="clear"/>
          <w:rtl w:val="true"/>
        </w:rPr>
        <w:t>נטענה בשולי תשובתו לכתב האישום ואף נזנחה על</w:t>
      </w:r>
      <w:r>
        <w:rPr>
          <w:color w:val="000000"/>
          <w:sz w:val="28"/>
          <w:shd w:fill="FFFFFF" w:val="clear"/>
          <w:rtl w:val="true"/>
        </w:rPr>
        <w:t>-</w:t>
      </w:r>
      <w:r>
        <w:rPr>
          <w:color w:val="000000"/>
          <w:sz w:val="28"/>
          <w:sz w:val="28"/>
          <w:shd w:fill="FFFFFF" w:val="clear"/>
          <w:rtl w:val="true"/>
        </w:rPr>
        <w:t>ידו בהמשך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משלא הועלתה במסגרת סיכומיו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עוד טוענת המשיבה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כי יתר טענותיו של המערער מופנות נגד קביעות עובדתיות של בית המשפט המחוזי</w:t>
      </w:r>
      <w:r>
        <w:rPr>
          <w:color w:val="000000"/>
          <w:sz w:val="28"/>
          <w:shd w:fill="FFFFFF" w:val="clear"/>
          <w:rtl w:val="true"/>
        </w:rPr>
        <w:t xml:space="preserve">; </w:t>
      </w:r>
      <w:r>
        <w:rPr>
          <w:color w:val="000000"/>
          <w:sz w:val="28"/>
          <w:sz w:val="28"/>
          <w:shd w:fill="FFFFFF" w:val="clear"/>
          <w:rtl w:val="true"/>
        </w:rPr>
        <w:t xml:space="preserve">וכי המערער לא הרים את הנטל המוטל עליו לשכנע מדוע יש מקום בעניינו לסטות מן הכלל לפיו </w:t>
      </w:r>
      <w:r>
        <w:rPr>
          <w:color w:val="000000"/>
          <w:sz w:val="28"/>
          <w:sz w:val="28"/>
          <w:shd w:fill="FFFFFF" w:val="clear"/>
          <w:rtl w:val="true"/>
        </w:rPr>
        <w:t>–</w:t>
      </w:r>
      <w:r>
        <w:rPr>
          <w:color w:val="000000"/>
          <w:sz w:val="28"/>
          <w:sz w:val="28"/>
          <w:shd w:fill="FFFFFF" w:val="clear"/>
          <w:rtl w:val="true"/>
        </w:rPr>
        <w:t xml:space="preserve"> ערכאת הערעור לא תתערב בקביעות כאמור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לגופן של טענות נטען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כי הסתירות ואי</w:t>
      </w:r>
      <w:r>
        <w:rPr>
          <w:color w:val="000000"/>
          <w:sz w:val="28"/>
          <w:shd w:fill="FFFFFF" w:val="clear"/>
          <w:rtl w:val="true"/>
        </w:rPr>
        <w:t>-</w:t>
      </w:r>
      <w:r>
        <w:rPr>
          <w:color w:val="000000"/>
          <w:sz w:val="28"/>
          <w:sz w:val="28"/>
          <w:shd w:fill="FFFFFF" w:val="clear"/>
          <w:rtl w:val="true"/>
        </w:rPr>
        <w:t>הדיוקים בגרסת המתלוננת אליהן מתייחס המערער נמצאים ב</w:t>
      </w:r>
      <w:r>
        <w:rPr>
          <w:color w:val="000000"/>
          <w:sz w:val="28"/>
          <w:shd w:fill="FFFFFF" w:val="clear"/>
          <w:rtl w:val="true"/>
        </w:rPr>
        <w:t>"</w:t>
      </w:r>
      <w:r>
        <w:rPr>
          <w:color w:val="000000"/>
          <w:sz w:val="28"/>
          <w:sz w:val="28"/>
          <w:shd w:fill="FFFFFF" w:val="clear"/>
          <w:rtl w:val="true"/>
        </w:rPr>
        <w:t>מעגל החיצוני</w:t>
      </w:r>
      <w:r>
        <w:rPr>
          <w:color w:val="000000"/>
          <w:sz w:val="28"/>
          <w:shd w:fill="FFFFFF" w:val="clear"/>
          <w:rtl w:val="true"/>
        </w:rPr>
        <w:t xml:space="preserve">" </w:t>
      </w:r>
      <w:r>
        <w:rPr>
          <w:color w:val="000000"/>
          <w:sz w:val="28"/>
          <w:sz w:val="28"/>
          <w:shd w:fill="FFFFFF" w:val="clear"/>
          <w:rtl w:val="true"/>
        </w:rPr>
        <w:t>של גרסתה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ולא בליבתה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וכן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כי אין מקום לדרוש מנפגעת עבירת מין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בפרט נפגעת שהיא קטינה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לזכור כל פרט ופרט בתוך מסכת פגיעות מיניות שבוצעו בה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והתפרשו על פני תקופה ממושכת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כן נטען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כי בדין וב</w:t>
      </w:r>
      <w:r>
        <w:rPr>
          <w:color w:val="000000"/>
          <w:sz w:val="28"/>
          <w:sz w:val="28"/>
          <w:shd w:fill="FFFFFF" w:val="clear"/>
          <w:rtl w:val="true"/>
        </w:rPr>
        <w:t>צדק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העדיף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בית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המשפט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את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עדות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החוץ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של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האב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על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פני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עדותו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בבית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המשפט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וכי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עדותו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ועדות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הדודה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מחזקים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את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גרסתה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של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המתלוננת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ובכל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מקרה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בית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המשפט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המחוזי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ראה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בעדות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המתלוננת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ראיה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מספקת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להרשעת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והתייחסותו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ליתר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העדויות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כאמור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ממילא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נעשתה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בגדר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למעלה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מן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הצורך</w:t>
      </w:r>
      <w:r>
        <w:rPr>
          <w:color w:val="000000"/>
          <w:sz w:val="28"/>
          <w:shd w:fill="FFFFFF" w:val="clear"/>
          <w:rtl w:val="true"/>
        </w:rPr>
        <w:t xml:space="preserve">.  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ביחס לטענות המערער נגד גזר הדין נטען</w:t>
      </w:r>
      <w:r>
        <w:rPr>
          <w:rtl w:val="true"/>
        </w:rPr>
        <w:t xml:space="preserve">, </w:t>
      </w:r>
      <w:r>
        <w:rPr>
          <w:rtl w:val="true"/>
        </w:rPr>
        <w:t>כי העונש שהוטל על המערער אינו סוטה במידה קיצונית ממדיניות הענישה הנוהגת בעבירות מהסוג בהן הורשע המערער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 xml:space="preserve">כי גם לגופו של עניין </w:t>
      </w:r>
      <w:r>
        <w:rPr>
          <w:rtl w:val="true"/>
        </w:rPr>
        <w:t>–</w:t>
      </w:r>
      <w:r>
        <w:rPr>
          <w:rtl w:val="true"/>
        </w:rPr>
        <w:t xml:space="preserve"> מדובר בעונש ראוי בנסיבות העניין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לפגיעה במתלוננת</w:t>
      </w:r>
      <w:r>
        <w:rPr>
          <w:rtl w:val="true"/>
        </w:rPr>
        <w:t xml:space="preserve">, </w:t>
      </w:r>
      <w:r>
        <w:rPr>
          <w:rtl w:val="true"/>
        </w:rPr>
        <w:t>לשיקולי שיקום וכן לכך שהמערער ניהל הליך שלם</w:t>
      </w:r>
      <w:r>
        <w:rPr>
          <w:rtl w:val="true"/>
        </w:rPr>
        <w:t xml:space="preserve">, </w:t>
      </w:r>
      <w:r>
        <w:rPr>
          <w:rtl w:val="true"/>
        </w:rPr>
        <w:t xml:space="preserve">חייב את המתלוננת להעיד במסגרתו </w:t>
      </w:r>
      <w:r>
        <w:rPr>
          <w:rtl w:val="true"/>
        </w:rPr>
        <w:t>–</w:t>
      </w:r>
      <w:r>
        <w:rPr>
          <w:rtl w:val="true"/>
        </w:rPr>
        <w:t xml:space="preserve"> ובחר שלא לקחת אחריות על מעשיו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בדיון שנערך לפנינו ביום </w:t>
      </w:r>
      <w:r>
        <w:rPr/>
        <w:t>14.07.2022</w:t>
      </w:r>
      <w:r>
        <w:rPr>
          <w:rtl w:val="true"/>
        </w:rPr>
        <w:t xml:space="preserve"> </w:t>
      </w:r>
      <w:r>
        <w:rPr>
          <w:rtl w:val="true"/>
        </w:rPr>
        <w:t>חזרו הצדדים על עיקרי טענותיהם</w:t>
      </w:r>
      <w:r>
        <w:rPr>
          <w:rtl w:val="true"/>
        </w:rPr>
        <w:t xml:space="preserve">, </w:t>
      </w:r>
      <w:r>
        <w:rPr>
          <w:rtl w:val="true"/>
        </w:rPr>
        <w:t>הן לעניין הכרעת הדין והן לעניין גזר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>
          <w:color w:val="000000"/>
          <w:sz w:val="28"/>
          <w:shd w:fill="FFFFFF" w:val="clear"/>
        </w:rPr>
      </w:pPr>
      <w:r>
        <w:rPr>
          <w:color w:val="000000"/>
          <w:sz w:val="28"/>
          <w:sz w:val="28"/>
          <w:shd w:fill="FFFFFF" w:val="clear"/>
          <w:rtl w:val="true"/>
        </w:rPr>
        <w:t>לאחר שבחנתי את הכרעת הדין וגזר הדין של בית המשפט המחוזי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נתתי דעתי לטענות הצדדים ושמעתי את באי</w:t>
      </w:r>
      <w:r>
        <w:rPr>
          <w:color w:val="000000"/>
          <w:sz w:val="28"/>
          <w:shd w:fill="FFFFFF" w:val="clear"/>
          <w:rtl w:val="true"/>
        </w:rPr>
        <w:t>-</w:t>
      </w:r>
      <w:r>
        <w:rPr>
          <w:color w:val="000000"/>
          <w:sz w:val="28"/>
          <w:sz w:val="28"/>
          <w:shd w:fill="FFFFFF" w:val="clear"/>
          <w:rtl w:val="true"/>
        </w:rPr>
        <w:t>כוחם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אציע לחבריי לדחות את הערעור על שני חלקיו ולהותיר את פסק דינו של בית המשפט המחוזי על כנו</w:t>
      </w:r>
      <w:r>
        <w:rPr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color w:val="000000"/>
          <w:sz w:val="28"/>
          <w:sz w:val="28"/>
          <w:shd w:fill="FFFFFF" w:val="clear"/>
          <w:rtl w:val="true"/>
        </w:rPr>
        <w:t>כאמור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ערעורו של המערער על הכרעת הדין מושתת על שני אדנים</w:t>
      </w:r>
      <w:r>
        <w:rPr>
          <w:color w:val="000000"/>
          <w:sz w:val="28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אחד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הוא טענתו המשפטית נגד מידת ההפשטה של כתב האישום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בגינה נפגעה יכולתו להתגונן כראוי</w:t>
      </w:r>
      <w:r>
        <w:rPr>
          <w:color w:val="000000"/>
          <w:sz w:val="28"/>
          <w:shd w:fill="FFFFFF" w:val="clear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ושני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הוא טענותיו נגד ממצאי המהימנות של בית המשפט המחוזי ביחס למכלול העדויות והראיות אשר הובאו לפניו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אדון בטענות אלה כסדרן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ההפשטה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כתב האישום שהוגש בעניינו נוסח בצורה כללית</w:t>
      </w:r>
      <w:r>
        <w:rPr>
          <w:rtl w:val="true"/>
        </w:rPr>
        <w:t xml:space="preserve">, </w:t>
      </w:r>
      <w:r>
        <w:rPr>
          <w:rtl w:val="true"/>
        </w:rPr>
        <w:t>ובאופן שפגע ביכולתו להתגונן כראוי מפני העבירות המיוחסות לו בגדרו</w:t>
      </w:r>
      <w:r>
        <w:rPr>
          <w:rtl w:val="true"/>
        </w:rPr>
        <w:t xml:space="preserve">. </w:t>
      </w:r>
      <w:r>
        <w:rPr>
          <w:rtl w:val="true"/>
        </w:rPr>
        <w:t>בראי כך נטען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ראוי היה שבית משפט קמא לא יסתפק ברף ראייתי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נמוך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" </w:t>
      </w:r>
      <w:r>
        <w:rPr>
          <w:rtl w:val="true"/>
        </w:rPr>
        <w:t xml:space="preserve">לצורך הכרעתו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לנימוקי הערעור</w:t>
      </w:r>
      <w:r>
        <w:rPr>
          <w:rtl w:val="true"/>
        </w:rPr>
        <w:t xml:space="preserve">). </w:t>
      </w:r>
      <w:r>
        <w:rPr>
          <w:rtl w:val="true"/>
        </w:rPr>
        <w:t>אין בידי לקבל טענה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בחינת כתב האישום מעלה</w:t>
      </w:r>
      <w:r>
        <w:rPr>
          <w:rtl w:val="true"/>
        </w:rPr>
        <w:t xml:space="preserve">, </w:t>
      </w:r>
      <w:r>
        <w:rPr>
          <w:rtl w:val="true"/>
        </w:rPr>
        <w:t>כי בנסיבות המקרה שלפניי</w:t>
      </w:r>
      <w:r>
        <w:rPr>
          <w:rtl w:val="true"/>
        </w:rPr>
        <w:t xml:space="preserve">, </w:t>
      </w:r>
      <w:r>
        <w:rPr>
          <w:rtl w:val="true"/>
        </w:rPr>
        <w:t xml:space="preserve">אף אם אקבל את חלקה הראשון של הטענה </w:t>
      </w:r>
      <w:r>
        <w:rPr>
          <w:rtl w:val="true"/>
        </w:rPr>
        <w:t>–</w:t>
      </w:r>
      <w:r>
        <w:rPr>
          <w:rtl w:val="true"/>
        </w:rPr>
        <w:t xml:space="preserve"> היינו</w:t>
      </w:r>
      <w:r>
        <w:rPr>
          <w:rtl w:val="true"/>
        </w:rPr>
        <w:t xml:space="preserve">, </w:t>
      </w:r>
      <w:r>
        <w:rPr>
          <w:rtl w:val="true"/>
        </w:rPr>
        <w:t>כי כתב האישום נוסח במידת הפשטה גבוהה</w:t>
      </w:r>
      <w:r>
        <w:rPr>
          <w:rtl w:val="true"/>
        </w:rPr>
        <w:t xml:space="preserve">; </w:t>
      </w:r>
      <w:r>
        <w:rPr>
          <w:rtl w:val="true"/>
        </w:rPr>
        <w:t>אזי גם במקרה זה</w:t>
      </w:r>
      <w:r>
        <w:rPr>
          <w:rtl w:val="true"/>
        </w:rPr>
        <w:t xml:space="preserve">, </w:t>
      </w:r>
      <w:r>
        <w:rPr>
          <w:rtl w:val="true"/>
        </w:rPr>
        <w:t>לא נפגעה יכולתו של המערער להתגונן מפני העבירות שיוחסו לו במסגרתו</w:t>
      </w:r>
      <w:r>
        <w:rPr>
          <w:rtl w:val="true"/>
        </w:rPr>
        <w:t xml:space="preserve">. </w:t>
      </w:r>
      <w:r>
        <w:rPr>
          <w:rtl w:val="true"/>
        </w:rPr>
        <w:t>ובלאו הכי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לא הסתפק ברף ראייתי </w:t>
      </w:r>
      <w:r>
        <w:rPr>
          <w:rtl w:val="true"/>
        </w:rPr>
        <w:t>"</w:t>
      </w:r>
      <w:r>
        <w:rPr>
          <w:rtl w:val="true"/>
        </w:rPr>
        <w:t>נמוך</w:t>
      </w:r>
      <w:r>
        <w:rPr>
          <w:rtl w:val="true"/>
        </w:rPr>
        <w:t xml:space="preserve">" </w:t>
      </w:r>
      <w:r>
        <w:rPr>
          <w:rtl w:val="true"/>
        </w:rPr>
        <w:t>לצורך הרשעת המערער</w:t>
      </w:r>
      <w:r>
        <w:rPr>
          <w:rtl w:val="true"/>
        </w:rPr>
        <w:t xml:space="preserve">, </w:t>
      </w:r>
      <w:r>
        <w:rPr>
          <w:rtl w:val="true"/>
        </w:rPr>
        <w:t>בניגוד לטענתו בעניין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תפקידו של כתב האישום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הוא להגדיר בפני הנאשם ובפני בית המשפט את גדר המחלוקת בין הצדדים</w:t>
      </w:r>
      <w:r>
        <w:rPr>
          <w:rtl w:val="true"/>
        </w:rPr>
        <w:t xml:space="preserve">. </w:t>
      </w:r>
      <w:r>
        <w:rPr>
          <w:rtl w:val="true"/>
        </w:rPr>
        <w:t>כתב האישום מבהיר לנאשם מהן העובדות שעל בסיסן קם האישום נגדו</w:t>
      </w:r>
      <w:r>
        <w:rPr>
          <w:rtl w:val="true"/>
        </w:rPr>
        <w:t xml:space="preserve">, </w:t>
      </w:r>
      <w:r>
        <w:rPr>
          <w:rtl w:val="true"/>
        </w:rPr>
        <w:t>ומהו העונש שצפוי שיוטל עליו ככל שיורשע בדין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>, "</w:t>
      </w:r>
      <w:r>
        <w:rPr>
          <w:rFonts w:ascii="Century" w:hAnsi="Century" w:cs="Century"/>
          <w:sz w:val="22"/>
          <w:sz w:val="22"/>
          <w:rtl w:val="true"/>
        </w:rPr>
        <w:t>כתב האישום הוא המסמך המכונן של ההליך הפלילי</w:t>
      </w:r>
      <w:r>
        <w:rPr>
          <w:rtl w:val="true"/>
        </w:rPr>
        <w:t>"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15.10.2017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); </w:t>
      </w:r>
      <w:r>
        <w:rPr>
          <w:rtl w:val="true"/>
        </w:rPr>
        <w:t xml:space="preserve">והוא שמאפשר לנאשם בפלילים לבנות את קו הגנתו ולכלכל את צעדיו בהתאם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04.09.2007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יקותיאלי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12.02.2015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מורה כי על כתב האישום להכיל </w:t>
      </w:r>
      <w:r>
        <w:rPr>
          <w:rtl w:val="true"/>
        </w:rPr>
        <w:t>"</w:t>
      </w:r>
      <w:r>
        <w:rPr>
          <w:rtl w:val="true"/>
        </w:rPr>
        <w:t>תיאור עובדות המהוות את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בציון המקום והזמן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לבררם</w:t>
      </w:r>
      <w:r>
        <w:rPr>
          <w:rtl w:val="true"/>
        </w:rPr>
        <w:t>" [</w:t>
      </w:r>
      <w:r>
        <w:rPr>
          <w:rtl w:val="true"/>
        </w:rPr>
        <w:t xml:space="preserve">הדגשות שלי </w:t>
      </w:r>
      <w:r>
        <w:rPr>
          <w:rtl w:val="true"/>
        </w:rPr>
        <w:t>–</w:t>
      </w:r>
      <w:r>
        <w:rPr>
          <w:rtl w:val="true"/>
        </w:rPr>
        <w:t xml:space="preserve"> 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.]. </w:t>
      </w:r>
      <w:r>
        <w:rPr>
          <w:rtl w:val="true"/>
        </w:rPr>
        <w:t>טענה נגד מידת ההפשטה של כתב האישום הינה טענה מקדמית</w:t>
      </w:r>
      <w:r>
        <w:rPr>
          <w:rtl w:val="true"/>
        </w:rPr>
        <w:t xml:space="preserve">, </w:t>
      </w:r>
      <w:r>
        <w:rPr>
          <w:rtl w:val="true"/>
        </w:rPr>
        <w:t xml:space="preserve">אשר יש להעלותה במועד סמוך לתחילת המשפט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סעיף </w:t>
      </w:r>
      <w:r>
        <w:rPr/>
        <w:t>149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13.11.2006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ההיגיון הטמון בכלל זה הוא ברור</w:t>
      </w:r>
      <w:r>
        <w:rPr>
          <w:rtl w:val="true"/>
        </w:rPr>
        <w:t xml:space="preserve">, </w:t>
      </w:r>
      <w:r>
        <w:rPr>
          <w:rtl w:val="true"/>
        </w:rPr>
        <w:t xml:space="preserve">שכן ככל שנאשם בפלילים לא יעלה השגותיו נגד כלליותו של כתב האישום </w:t>
      </w:r>
      <w:r>
        <w:rPr>
          <w:rtl w:val="true"/>
        </w:rPr>
        <w:t>"</w:t>
      </w:r>
      <w:r>
        <w:rPr>
          <w:rtl w:val="true"/>
        </w:rPr>
        <w:t>על אתר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72/87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11.11.1987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שקיר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 ברור כיצד יוכל לבנות ולנהל כראוי את קו הגנתו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בענייננו עולה</w:t>
      </w:r>
      <w:r>
        <w:rPr>
          <w:rtl w:val="true"/>
        </w:rPr>
        <w:t xml:space="preserve">, </w:t>
      </w:r>
      <w:r>
        <w:rPr>
          <w:rtl w:val="true"/>
        </w:rPr>
        <w:t>כי המערער לא העלה טענה מקדמית נגד מידת ההפשטה של כתב האישום</w:t>
      </w:r>
      <w:r>
        <w:rPr>
          <w:rtl w:val="true"/>
        </w:rPr>
        <w:t xml:space="preserve">. </w:t>
      </w:r>
      <w:r>
        <w:rPr>
          <w:rtl w:val="true"/>
        </w:rPr>
        <w:t>התייחסותו של המערער לכלליות כתב האישום נעשתה במסגרת תשובתו לכתב האישום</w:t>
      </w:r>
      <w:r>
        <w:rPr>
          <w:rtl w:val="true"/>
        </w:rPr>
        <w:t xml:space="preserve">, </w:t>
      </w:r>
      <w:r>
        <w:rPr>
          <w:rtl w:val="true"/>
        </w:rPr>
        <w:t>בהקשר של טענת אליבי</w:t>
      </w:r>
      <w:r>
        <w:rPr>
          <w:rtl w:val="true"/>
        </w:rPr>
        <w:t xml:space="preserve">, </w:t>
      </w:r>
      <w:r>
        <w:rPr>
          <w:rtl w:val="true"/>
        </w:rPr>
        <w:t>ובזו הלשון</w:t>
      </w:r>
      <w:r>
        <w:rPr>
          <w:rtl w:val="true"/>
        </w:rPr>
        <w:t>: "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לנאשם אין טענת זוטא</w:t>
      </w:r>
      <w:r>
        <w:rPr>
          <w:rtl w:val="true"/>
        </w:rPr>
        <w:t xml:space="preserve">.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לנאשם אין טענת אליבי וזאת בשל הניסוח המעורפל של כתב האישום והן בשל חלוף הזמן</w:t>
      </w:r>
      <w:r>
        <w:rPr>
          <w:rtl w:val="true"/>
        </w:rPr>
        <w:t xml:space="preserve">".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 xml:space="preserve">מבקש המערער במסגרת ערעורו </w:t>
      </w:r>
      <w:r>
        <w:rPr>
          <w:rtl w:val="true"/>
        </w:rPr>
        <w:t>–</w:t>
      </w:r>
      <w:r>
        <w:rPr>
          <w:rtl w:val="true"/>
        </w:rPr>
        <w:t xml:space="preserve"> בפעם הראשונה </w:t>
      </w:r>
      <w:r>
        <w:rPr>
          <w:rtl w:val="true"/>
        </w:rPr>
        <w:t>–</w:t>
      </w:r>
      <w:r>
        <w:rPr>
          <w:rtl w:val="true"/>
        </w:rPr>
        <w:t xml:space="preserve"> להעלות טענה עצמאית נגד מידת ההפשטה של כתב האישום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מבלי שביקש רשות מבית משפט זה לטעון טענה זו</w:t>
      </w:r>
      <w:r>
        <w:rPr>
          <w:rtl w:val="true"/>
        </w:rPr>
        <w:t xml:space="preserve">, </w:t>
      </w:r>
      <w:r>
        <w:rPr>
          <w:rtl w:val="true"/>
        </w:rPr>
        <w:t>ומבלי שניתנה הרשות כאמור</w:t>
      </w:r>
      <w:r>
        <w:rPr>
          <w:rtl w:val="true"/>
        </w:rPr>
        <w:t xml:space="preserve">, </w:t>
      </w:r>
      <w:r>
        <w:rPr>
          <w:rtl w:val="true"/>
        </w:rPr>
        <w:t xml:space="preserve">כנדרש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).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לא הובא על</w:t>
      </w:r>
      <w:r>
        <w:rPr>
          <w:rtl w:val="true"/>
        </w:rPr>
        <w:t>-</w:t>
      </w:r>
      <w:r>
        <w:rPr>
          <w:rtl w:val="true"/>
        </w:rPr>
        <w:t xml:space="preserve">ידי המערער טעם מבורר מדוע נמנע המערער מלעשות כן עד עתה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דין טענתו זו של המערער להידחות על הסף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22.10.2012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4776/10</w:t>
        </w:r>
      </w:hyperlink>
      <w:r>
        <w:rPr>
          <w:rtl w:val="true"/>
        </w:rPr>
        <w:t>)).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אולם אף יתרה מכך</w:t>
      </w:r>
      <w:r>
        <w:rPr>
          <w:rtl w:val="true"/>
        </w:rPr>
        <w:t xml:space="preserve">, </w:t>
      </w:r>
      <w:r>
        <w:rPr>
          <w:rtl w:val="true"/>
        </w:rPr>
        <w:t>בבחינת למעלה מן הצורך 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גם לגופה </w:t>
      </w:r>
      <w:r>
        <w:rPr>
          <w:rtl w:val="true"/>
        </w:rPr>
        <w:t>–</w:t>
      </w:r>
      <w:r>
        <w:rPr>
          <w:rtl w:val="true"/>
        </w:rPr>
        <w:t xml:space="preserve"> דין טענה זו</w:t>
      </w:r>
      <w:r>
        <w:rPr>
          <w:rtl w:val="true"/>
        </w:rPr>
        <w:t xml:space="preserve">, </w:t>
      </w:r>
      <w:r>
        <w:rPr>
          <w:rtl w:val="true"/>
        </w:rPr>
        <w:t>דחייה</w:t>
      </w:r>
      <w:r>
        <w:rPr>
          <w:rtl w:val="true"/>
        </w:rPr>
        <w:t xml:space="preserve">. </w:t>
      </w:r>
      <w:r>
        <w:rPr>
          <w:rtl w:val="true"/>
        </w:rPr>
        <w:t>כפי שציינתי לעיל</w:t>
      </w:r>
      <w:r>
        <w:rPr>
          <w:rtl w:val="true"/>
        </w:rPr>
        <w:t xml:space="preserve">, </w:t>
      </w:r>
      <w:r>
        <w:rPr>
          <w:rtl w:val="true"/>
        </w:rPr>
        <w:t>על כתב האישום לציין את המקום והזמן של ביצוע העבירות הנטענות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לבררם</w:t>
      </w:r>
      <w:r>
        <w:rPr>
          <w:rtl w:val="true"/>
        </w:rPr>
        <w:t xml:space="preserve">". </w:t>
      </w:r>
      <w:r>
        <w:rPr>
          <w:rtl w:val="true"/>
        </w:rPr>
        <w:t xml:space="preserve">בית משפט זה עמד לא פעם ולא פעמיים על הקושי הטמון בלדרוש מנפגעות עבירות מין דיוק מוחלט בתיאור האירועים אשר עברו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8916/08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01.07.2009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13.08.2020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02.05.2018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 xml:space="preserve">לכך משנה תוקף כאשר מדובר בעבירות מין במשפחה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03.07.2007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6643/05</w:t>
        </w:r>
      </w:hyperlink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08.12.2020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), </w:t>
      </w:r>
      <w:r>
        <w:rPr>
          <w:rtl w:val="true"/>
        </w:rPr>
        <w:t xml:space="preserve">וכלפי קטינה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21.12.2021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2040/20</w:t>
        </w:r>
      </w:hyperlink>
      <w:r>
        <w:rPr>
          <w:rtl w:val="true"/>
        </w:rPr>
        <w:t xml:space="preserve">); 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4776/10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96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21.07.2021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לא ניתן לדרוש מגורמי התביעה</w:t>
      </w:r>
      <w:r>
        <w:rPr>
          <w:rtl w:val="true"/>
        </w:rPr>
        <w:t xml:space="preserve">, </w:t>
      </w:r>
      <w:r>
        <w:rPr>
          <w:rtl w:val="true"/>
        </w:rPr>
        <w:t xml:space="preserve">כי יפרטו באופן מדויק במסגרת כתב האישום את המועדים בהם התרחשו העבירות הנטענות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4776/10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106-105</w:t>
      </w:r>
      <w:r>
        <w:rPr>
          <w:rtl w:val="true"/>
        </w:rPr>
        <w:t xml:space="preserve">; 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6643/05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ומקום בו אלו לא פורטו</w:t>
      </w:r>
      <w:r>
        <w:rPr>
          <w:rtl w:val="true"/>
        </w:rPr>
        <w:t xml:space="preserve">, </w:t>
      </w:r>
      <w:r>
        <w:rPr>
          <w:rtl w:val="true"/>
        </w:rPr>
        <w:t>אין בכך מניה וביה כדי לבסס טענה בדבר מידת מופשטותו של כתב האישום</w:t>
      </w:r>
      <w:r>
        <w:rPr>
          <w:rtl w:val="true"/>
        </w:rPr>
        <w:t xml:space="preserve">. </w:t>
      </w:r>
      <w:r>
        <w:rPr>
          <w:rtl w:val="true"/>
        </w:rPr>
        <w:t>וכך בענייננו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בהתאם לכל האמור</w:t>
      </w:r>
      <w:r>
        <w:rPr>
          <w:rtl w:val="true"/>
        </w:rPr>
        <w:t xml:space="preserve">, </w:t>
      </w:r>
      <w:r>
        <w:rPr>
          <w:rtl w:val="true"/>
        </w:rPr>
        <w:t>איני סבור כי מידת ההפשטה של כתב האישום מעלה חשש כי קופחה הגנתו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ובכל מקרה </w:t>
      </w:r>
      <w:r>
        <w:rPr>
          <w:rtl w:val="true"/>
        </w:rPr>
        <w:t>–</w:t>
      </w:r>
      <w:r>
        <w:rPr>
          <w:rtl w:val="true"/>
        </w:rPr>
        <w:t xml:space="preserve"> כפי שיבואר היטב מהדיון שיערך להלן </w:t>
      </w:r>
      <w:r>
        <w:rPr>
          <w:rtl w:val="true"/>
        </w:rPr>
        <w:t>–</w:t>
      </w:r>
      <w:r>
        <w:rPr>
          <w:rtl w:val="true"/>
        </w:rPr>
        <w:t xml:space="preserve"> בוודאי שאין מקום לומר בנסיבות העניין כאן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הסתפק ברף ראייתי </w:t>
      </w:r>
      <w:r>
        <w:rPr>
          <w:rtl w:val="true"/>
        </w:rPr>
        <w:t>"</w:t>
      </w:r>
      <w:r>
        <w:rPr>
          <w:rtl w:val="true"/>
        </w:rPr>
        <w:t>נמוך</w:t>
      </w:r>
      <w:r>
        <w:rPr>
          <w:rtl w:val="true"/>
        </w:rPr>
        <w:t xml:space="preserve">" </w:t>
      </w:r>
      <w:r>
        <w:rPr>
          <w:rtl w:val="true"/>
        </w:rPr>
        <w:t>לצורך הרשעת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2"/>
        <w:numPr>
          <w:ilvl w:val="0"/>
          <w:numId w:val="1"/>
        </w:numPr>
        <w:tabs>
          <w:tab w:val="clear" w:pos="720"/>
        </w:tabs>
        <w:bidi w:val="1"/>
        <w:ind w:hanging="0" w:start="0" w:end="0"/>
        <w:jc w:val="both"/>
        <w:rPr/>
      </w:pPr>
      <w:r>
        <w:rPr>
          <w:rtl w:val="true"/>
        </w:rPr>
        <w:t>חלקן הארי של טענות המערער נגד הכרעת הדין מופנות נגד קביעותיו העובדתיות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ובפרט </w:t>
      </w:r>
      <w:r>
        <w:rPr>
          <w:rtl w:val="true"/>
        </w:rPr>
        <w:t>–</w:t>
      </w:r>
      <w:r>
        <w:rPr>
          <w:rtl w:val="true"/>
        </w:rPr>
        <w:t xml:space="preserve"> נגד ממצאי האמינות והמהימנות עליהם מושתתת הכרעת הדין</w:t>
      </w:r>
      <w:r>
        <w:rPr>
          <w:rtl w:val="true"/>
        </w:rPr>
        <w:t xml:space="preserve">. </w:t>
      </w: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>כי בית המשפט לא יחס משקל מספק לסתירות בגרסתה של המתלוננת ובגרסת אמה</w:t>
      </w:r>
      <w:r>
        <w:rPr>
          <w:rtl w:val="true"/>
        </w:rPr>
        <w:t xml:space="preserve">, </w:t>
      </w:r>
      <w:r>
        <w:rPr>
          <w:rtl w:val="true"/>
        </w:rPr>
        <w:t>ולכך שלא ניתן על ידיהן הסבר משכנע לסתירות אלה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שגה משקבע כי עדות האב ועדות הדודה מחזקות את גרסתה של המתלוננת </w:t>
      </w:r>
      <w:r>
        <w:rPr>
          <w:rtl w:val="true"/>
        </w:rPr>
        <w:t>–</w:t>
      </w:r>
      <w:r>
        <w:rPr>
          <w:rtl w:val="true"/>
        </w:rPr>
        <w:t xml:space="preserve"> ולא</w:t>
      </w:r>
      <w:r>
        <w:rPr>
          <w:rtl w:val="true"/>
        </w:rPr>
        <w:t xml:space="preserve">, </w:t>
      </w:r>
      <w:r>
        <w:rPr>
          <w:rtl w:val="true"/>
        </w:rPr>
        <w:t>כלעומת זאת</w:t>
      </w:r>
      <w:r>
        <w:rPr>
          <w:rtl w:val="true"/>
        </w:rPr>
        <w:t xml:space="preserve">, </w:t>
      </w:r>
      <w:r>
        <w:rPr>
          <w:rtl w:val="true"/>
        </w:rPr>
        <w:t>את גרסתו דווקא</w:t>
      </w:r>
      <w:r>
        <w:rPr>
          <w:rtl w:val="true"/>
        </w:rPr>
        <w:t xml:space="preserve">. </w:t>
      </w:r>
      <w:r>
        <w:rPr>
          <w:rtl w:val="true"/>
        </w:rPr>
        <w:t>לבסוף טוען המערער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משקבע כי גרסתו של המערער אינה מהימנה</w:t>
      </w:r>
      <w:r>
        <w:rPr>
          <w:rtl w:val="true"/>
        </w:rPr>
        <w:t xml:space="preserve">. </w:t>
      </w:r>
      <w:r>
        <w:rPr>
          <w:rtl w:val="true"/>
        </w:rPr>
        <w:t>דין טענות אלה להידחות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tabs>
          <w:tab w:val="clear" w:pos="720"/>
        </w:tabs>
        <w:bidi w:val="1"/>
        <w:ind w:hanging="0" w:start="0" w:end="0"/>
        <w:jc w:val="both"/>
        <w:rPr/>
      </w:pPr>
      <w:r>
        <w:rPr>
          <w:rtl w:val="true"/>
        </w:rPr>
        <w:t xml:space="preserve">כלל ידוע הוא כי בית המשפט שלערעור ימנע מלהתערב בקביעות עובדתיות של הערכאה הדיונית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28.04.2022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סונגו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17.05.2018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 xml:space="preserve">כלל זה מקבל משנה תוקף כאשר עסקינן בערעור על הרשעה בעבירת מין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04.06.2019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 xml:space="preserve">וכל האסמכתאות 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1987/17</w:t>
        </w:r>
      </w:hyperlink>
      <w:r>
        <w:rPr>
          <w:rtl w:val="true"/>
        </w:rPr>
        <w:t xml:space="preserve">)).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הרשעה בעבירות ממין זה תתבסס על העדפת גרסה אחת מבין שתי גרסאות עובדתיות סותרות</w:t>
      </w:r>
      <w:r>
        <w:rPr>
          <w:rtl w:val="true"/>
        </w:rPr>
        <w:t xml:space="preserve">, </w:t>
      </w:r>
      <w:r>
        <w:rPr>
          <w:rtl w:val="true"/>
        </w:rPr>
        <w:t>כאשר על</w:t>
      </w:r>
      <w:r>
        <w:rPr>
          <w:rtl w:val="true"/>
        </w:rPr>
        <w:t>-</w:t>
      </w:r>
      <w:r>
        <w:rPr>
          <w:rtl w:val="true"/>
        </w:rPr>
        <w:t xml:space="preserve">פי רוב גם אין בנמצא ראיות אובייקטיביות התומכות בה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17.08.2016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05.06.2013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18.11.2012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המשקל שיש ליתן להתרשמותה הישירה והבלתי אמצעית של הערכאה הדיונית </w:t>
      </w:r>
      <w:r>
        <w:rPr>
          <w:rtl w:val="true"/>
        </w:rPr>
        <w:t>–</w:t>
      </w:r>
      <w:r>
        <w:rPr>
          <w:rtl w:val="true"/>
        </w:rPr>
        <w:t xml:space="preserve"> הוא משמעותי ובלתי מבוטל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 שלפנינו</w:t>
      </w:r>
      <w:r>
        <w:rPr>
          <w:rtl w:val="true"/>
        </w:rPr>
        <w:t xml:space="preserve">, </w:t>
      </w:r>
      <w:r>
        <w:rPr>
          <w:rtl w:val="true"/>
        </w:rPr>
        <w:t>כל טענותיו של המערער זכו להתייחסות מקיפה ונרחבת במסגרת הכרעת הדין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>כממצא פוזיטיבי 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כי המתלוננת אמינה</w:t>
      </w:r>
      <w:r>
        <w:rPr>
          <w:rtl w:val="true"/>
        </w:rPr>
        <w:t xml:space="preserve">, </w:t>
      </w:r>
      <w:r>
        <w:rPr>
          <w:rtl w:val="true"/>
        </w:rPr>
        <w:t>בעוד שהמערער אינו</w:t>
      </w:r>
      <w:r>
        <w:rPr>
          <w:rtl w:val="true"/>
        </w:rPr>
        <w:t xml:space="preserve">. </w:t>
      </w:r>
      <w:r>
        <w:rPr>
          <w:rtl w:val="true"/>
        </w:rPr>
        <w:t>במסגרת זו ציין בית המשפט כי הסתירות בעדותה של המתלוננת לא פגעו בליבת גרסתה ולא ירדו לשורשו של עניין</w:t>
      </w:r>
      <w:r>
        <w:rPr>
          <w:rtl w:val="true"/>
        </w:rPr>
        <w:t xml:space="preserve">. </w:t>
      </w:r>
      <w:r>
        <w:rPr>
          <w:rtl w:val="true"/>
        </w:rPr>
        <w:t>בית המשפט היה ער לקשיים שעלו מעדותה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אך התמודד איתם </w:t>
      </w:r>
      <w:r>
        <w:rPr>
          <w:rtl w:val="true"/>
        </w:rPr>
        <w:t>–</w:t>
      </w:r>
      <w:r>
        <w:rPr>
          <w:rtl w:val="true"/>
        </w:rPr>
        <w:t xml:space="preserve"> באופן מספק ומשכנע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מצאתי כי בנסיבות מקרה זה מתקיים אחד מאותם החריגים לכלל בדבר אי</w:t>
      </w:r>
      <w:r>
        <w:rPr>
          <w:rtl w:val="true"/>
        </w:rPr>
        <w:t>-</w:t>
      </w:r>
      <w:r>
        <w:rPr>
          <w:rtl w:val="true"/>
        </w:rPr>
        <w:t>התערבותה של ערכאת הערעור בקביעות עובדתיות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והמערער אף אינו טוען כך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סבורני כי אין מקום להתערבותו של בית משפט זה בקביעותיו העובדתיות של בית המשפט המחוזי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כך גם לגופן </w:t>
      </w:r>
      <w:r>
        <w:rPr>
          <w:rtl w:val="true"/>
        </w:rPr>
        <w:t>–</w:t>
      </w:r>
      <w:r>
        <w:rPr>
          <w:rtl w:val="true"/>
        </w:rPr>
        <w:t xml:space="preserve"> בחנתי ולא מצאתי מקום לקבל את טענותיו של המערער בעניין זה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לצפות מעדים להיות </w:t>
      </w:r>
      <w:r>
        <w:rPr>
          <w:rtl w:val="true"/>
        </w:rPr>
        <w:t>"</w:t>
      </w:r>
      <w:r>
        <w:rPr>
          <w:rtl w:val="true"/>
        </w:rPr>
        <w:t>מכשיר דיוק אוטומטי</w:t>
      </w:r>
      <w:r>
        <w:rPr>
          <w:rtl w:val="true"/>
        </w:rPr>
        <w:t>" 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100/55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ט </w:t>
      </w:r>
      <w:r>
        <w:rPr/>
        <w:t>1218</w:t>
      </w:r>
      <w:r>
        <w:rPr>
          <w:rtl w:val="true"/>
        </w:rPr>
        <w:t xml:space="preserve">, </w:t>
      </w:r>
      <w:r>
        <w:rPr/>
        <w:t>1224</w:t>
      </w:r>
      <w:r>
        <w:rPr>
          <w:rtl w:val="true"/>
        </w:rPr>
        <w:t xml:space="preserve"> (</w:t>
      </w:r>
      <w:r>
        <w:rPr/>
        <w:t>1955</w:t>
      </w:r>
      <w:r>
        <w:rPr>
          <w:rtl w:val="true"/>
        </w:rPr>
        <w:t xml:space="preserve">); </w:t>
      </w:r>
      <w:hyperlink r:id="rId6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6643/05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ולעולם תהיינה סתירות ואי</w:t>
      </w:r>
      <w:r>
        <w:rPr>
          <w:rtl w:val="true"/>
        </w:rPr>
        <w:t>-</w:t>
      </w:r>
      <w:r>
        <w:rPr>
          <w:rtl w:val="true"/>
        </w:rPr>
        <w:t>דיוקים בגרסתם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בפרט כאשר מדובר בעדות קטינות שהן נפגעות של עבירות מין במשפחה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הזיכרונות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המודחקים</w:t>
      </w:r>
      <w:r>
        <w:rPr>
          <w:rtl w:val="true"/>
        </w:rPr>
        <w:t xml:space="preserve">)).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מתן עדות כאמור כרוכה בהתמודדות עם קשיים מרובים מצד הנפגעת</w:t>
      </w:r>
      <w:r>
        <w:rPr>
          <w:rtl w:val="true"/>
        </w:rPr>
        <w:t xml:space="preserve">, </w:t>
      </w:r>
      <w:r>
        <w:rPr>
          <w:rtl w:val="true"/>
        </w:rPr>
        <w:t>וביניהם חלוף הזמן בין מועד האירוע הנדון לבין מתן העדות</w:t>
      </w:r>
      <w:r>
        <w:rPr>
          <w:rtl w:val="true"/>
        </w:rPr>
        <w:t xml:space="preserve">; </w:t>
      </w:r>
      <w:r>
        <w:rPr>
          <w:rtl w:val="true"/>
        </w:rPr>
        <w:t>החוויה הטראומטית הקשה שעברה הנפגעת בהיותה קטינה</w:t>
      </w:r>
      <w:r>
        <w:rPr>
          <w:rtl w:val="true"/>
        </w:rPr>
        <w:t xml:space="preserve">; </w:t>
      </w:r>
      <w:r>
        <w:rPr>
          <w:rtl w:val="true"/>
        </w:rPr>
        <w:t>רצונה לשמור על התא המשפחתי</w:t>
      </w:r>
      <w:r>
        <w:rPr>
          <w:rtl w:val="true"/>
        </w:rPr>
        <w:t xml:space="preserve">; </w:t>
      </w:r>
      <w:r>
        <w:rPr>
          <w:rtl w:val="true"/>
        </w:rPr>
        <w:t>חששותיה מבני המשפחה</w:t>
      </w:r>
      <w:r>
        <w:rPr>
          <w:rtl w:val="true"/>
        </w:rPr>
        <w:t xml:space="preserve">; </w:t>
      </w:r>
      <w:r>
        <w:rPr>
          <w:rtl w:val="true"/>
        </w:rPr>
        <w:t xml:space="preserve">והמצב הנפשי המעורער בו היא עשויה להיות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6079/08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יג</w:t>
      </w:r>
      <w:r>
        <w:rPr>
          <w:rtl w:val="true"/>
        </w:rPr>
        <w:t xml:space="preserve">' </w:t>
      </w:r>
      <w:r>
        <w:rPr>
          <w:rtl w:val="true"/>
        </w:rPr>
        <w:t xml:space="preserve">לפסק דינו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30.08.2010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6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6643/05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18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הזיכרונות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המודחקים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84</w:t>
      </w:r>
      <w:r>
        <w:rPr>
          <w:rtl w:val="true"/>
        </w:rPr>
        <w:t xml:space="preserve">; </w:t>
      </w:r>
      <w:r>
        <w:rPr>
          <w:rtl w:val="true"/>
        </w:rPr>
        <w:t xml:space="preserve">רננה לוי </w:t>
      </w:r>
      <w:r>
        <w:rPr>
          <w:rtl w:val="true"/>
        </w:rPr>
        <w:t>"</w:t>
      </w:r>
      <w:hyperlink r:id="rId69">
        <w:r>
          <w:rPr>
            <w:rStyle w:val="Hyperlink"/>
            <w:rtl w:val="true"/>
          </w:rPr>
          <w:t>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יצא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מזה</w:t>
        </w:r>
        <w:r>
          <w:rPr>
            <w:rStyle w:val="Hyperlink"/>
            <w:rtl w:val="true"/>
          </w:rPr>
          <w:t xml:space="preserve">? </w:t>
        </w:r>
        <w:r>
          <w:rPr>
            <w:rStyle w:val="Hyperlink"/>
            <w:rtl w:val="true"/>
          </w:rPr>
          <w:t>מיעוט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הגשת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תלונות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למשטרה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ידי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נפגעות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גילוי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עריות</w:t>
        </w:r>
      </w:hyperlink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יג </w:t>
      </w:r>
      <w:r>
        <w:rPr/>
        <w:t>383</w:t>
      </w:r>
      <w:r>
        <w:rPr>
          <w:rtl w:val="true"/>
        </w:rPr>
        <w:t xml:space="preserve">, </w:t>
      </w:r>
      <w:r>
        <w:rPr/>
        <w:t>408-404</w:t>
      </w:r>
      <w:r>
        <w:rPr>
          <w:rtl w:val="true"/>
        </w:rPr>
        <w:t xml:space="preserve"> (</w:t>
      </w:r>
      <w:r>
        <w:rPr/>
        <w:t>2022</w:t>
      </w:r>
      <w:r>
        <w:rPr>
          <w:rtl w:val="true"/>
        </w:rPr>
        <w:t xml:space="preserve">);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ודית לואיס הרמן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והחלמה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/>
        <w:t>127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 xml:space="preserve">התאמות וסתירות בעדותן של נפגעות עבירות מין הם בגדר </w:t>
      </w:r>
      <w:r>
        <w:rPr>
          <w:rtl w:val="true"/>
        </w:rPr>
        <w:t>"</w:t>
      </w:r>
      <w:r>
        <w:rPr>
          <w:rtl w:val="true"/>
        </w:rPr>
        <w:t>חזון נפרץ</w:t>
      </w:r>
      <w:r>
        <w:rPr>
          <w:rtl w:val="true"/>
        </w:rPr>
        <w:t>" (</w:t>
      </w:r>
      <w:hyperlink r:id="rId7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993/00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220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בשל האמור</w:t>
      </w:r>
      <w:r>
        <w:rPr>
          <w:rtl w:val="true"/>
        </w:rPr>
        <w:t xml:space="preserve">, </w:t>
      </w:r>
      <w:r>
        <w:rPr>
          <w:rtl w:val="true"/>
        </w:rPr>
        <w:t xml:space="preserve">בתי המשפט נוטים למגמה של ריכוך מידת הפירוט והדיוק הנדרשת מנפגעות עבירות מין בעת מתן עדותן </w:t>
      </w:r>
      <w:r>
        <w:rPr>
          <w:rtl w:val="true"/>
        </w:rPr>
        <w:t>(</w:t>
      </w:r>
      <w:r>
        <w:rPr>
          <w:rtl w:val="true"/>
        </w:rPr>
        <w:t xml:space="preserve">ראו את האסמכות בפסקה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לעיל וכן</w:t>
      </w:r>
      <w:r>
        <w:rPr>
          <w:rtl w:val="true"/>
        </w:rPr>
        <w:t xml:space="preserve">: </w:t>
      </w:r>
      <w:hyperlink r:id="rId7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1987/17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21.09.2015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הזיכרונות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המודחקים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85-84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וכך נכון לטעמי בכלל</w:t>
      </w:r>
      <w:r>
        <w:rPr>
          <w:rtl w:val="true"/>
        </w:rPr>
        <w:t xml:space="preserve">, </w:t>
      </w:r>
      <w:r>
        <w:rPr>
          <w:rtl w:val="true"/>
        </w:rPr>
        <w:t>וכך נכון בנסיבות העניין כאן</w:t>
      </w:r>
      <w:r>
        <w:rPr>
          <w:rtl w:val="true"/>
        </w:rPr>
        <w:t xml:space="preserve">. </w:t>
      </w:r>
      <w:r>
        <w:rPr>
          <w:rtl w:val="true"/>
        </w:rPr>
        <w:t>עיינתי בעדות המתלוננת כפי שזו הובאה לפני בית משפט קמא</w:t>
      </w:r>
      <w:r>
        <w:rPr>
          <w:rtl w:val="true"/>
        </w:rPr>
        <w:t xml:space="preserve">, </w:t>
      </w:r>
      <w:r>
        <w:rPr>
          <w:rtl w:val="true"/>
        </w:rPr>
        <w:t>ולא מצאתי כי הסתירות ואי</w:t>
      </w:r>
      <w:r>
        <w:rPr>
          <w:rtl w:val="true"/>
        </w:rPr>
        <w:t>-</w:t>
      </w:r>
      <w:r>
        <w:rPr>
          <w:rtl w:val="true"/>
        </w:rPr>
        <w:t>הדיוקים העולים מעת לעת בגרסתה</w:t>
      </w:r>
      <w:r>
        <w:rPr>
          <w:rtl w:val="true"/>
        </w:rPr>
        <w:t xml:space="preserve">, </w:t>
      </w:r>
      <w:r>
        <w:rPr>
          <w:rtl w:val="true"/>
        </w:rPr>
        <w:t>הם כאלו היורדים לשורשו של העניין</w:t>
      </w:r>
      <w:r>
        <w:rPr>
          <w:rtl w:val="true"/>
        </w:rPr>
        <w:t xml:space="preserve">, </w:t>
      </w:r>
      <w:r>
        <w:rPr>
          <w:rtl w:val="true"/>
        </w:rPr>
        <w:t xml:space="preserve">אלא ההפך מכך </w:t>
      </w:r>
      <w:r>
        <w:rPr>
          <w:rtl w:val="true"/>
        </w:rPr>
        <w:t>–</w:t>
      </w:r>
      <w:r>
        <w:rPr>
          <w:rtl w:val="true"/>
        </w:rPr>
        <w:t xml:space="preserve"> הם טבעיים ואף בלתי נמנעים</w:t>
      </w:r>
      <w:r>
        <w:rPr>
          <w:rtl w:val="true"/>
        </w:rPr>
        <w:t xml:space="preserve">. </w:t>
      </w:r>
      <w:r>
        <w:rPr>
          <w:rtl w:val="true"/>
        </w:rPr>
        <w:t>אבאר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ראשית 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בעבור חלק מהשגותיו של המערער ניתן הסבר משכנע ומניח את הדעת </w:t>
      </w:r>
      <w:r>
        <w:rPr>
          <w:rtl w:val="true"/>
        </w:rPr>
        <w:t>–</w:t>
      </w:r>
      <w:r>
        <w:rPr>
          <w:rtl w:val="true"/>
        </w:rPr>
        <w:t xml:space="preserve"> הן על ידי המתלוננת עצמה</w:t>
      </w:r>
      <w:r>
        <w:rPr>
          <w:rtl w:val="true"/>
        </w:rPr>
        <w:t xml:space="preserve">, </w:t>
      </w:r>
      <w:r>
        <w:rPr>
          <w:rtl w:val="true"/>
        </w:rPr>
        <w:t xml:space="preserve">הן בגדרי נימוקיו של בית משפט קמא </w:t>
      </w:r>
      <w:r>
        <w:rPr>
          <w:rtl w:val="true"/>
        </w:rPr>
        <w:t>–</w:t>
      </w:r>
      <w:r>
        <w:rPr>
          <w:rtl w:val="true"/>
        </w:rPr>
        <w:t xml:space="preserve"> כך שגרסתה של המתלוננת ביחס אליהן</w:t>
      </w:r>
      <w:r>
        <w:rPr>
          <w:rtl w:val="true"/>
        </w:rPr>
        <w:t xml:space="preserve">, </w:t>
      </w:r>
      <w:r>
        <w:rPr>
          <w:rtl w:val="true"/>
        </w:rPr>
        <w:t>אינה מעלה לטעמי כל קושי</w:t>
      </w:r>
      <w:r>
        <w:rPr>
          <w:rtl w:val="true"/>
        </w:rPr>
        <w:t xml:space="preserve">. </w:t>
      </w:r>
      <w:r>
        <w:rPr>
          <w:rtl w:val="true"/>
        </w:rPr>
        <w:t>כך אשר לסיבה בגינה המתלוננת סיפרה לאמה על האירוע הראשון</w:t>
      </w:r>
      <w:r>
        <w:rPr>
          <w:rtl w:val="true"/>
        </w:rPr>
        <w:t xml:space="preserve">, </w:t>
      </w:r>
      <w:r>
        <w:rPr>
          <w:rtl w:val="true"/>
        </w:rPr>
        <w:t xml:space="preserve">אך לא על יתר האירועים </w:t>
      </w:r>
      <w:r>
        <w:rPr>
          <w:rtl w:val="true"/>
        </w:rPr>
        <w:t>–</w:t>
      </w:r>
      <w:r>
        <w:rPr>
          <w:rtl w:val="true"/>
        </w:rPr>
        <w:t xml:space="preserve"> כי פחדה מהמערער</w:t>
      </w:r>
      <w:r>
        <w:rPr>
          <w:rtl w:val="true"/>
        </w:rPr>
        <w:t xml:space="preserve">; </w:t>
      </w:r>
      <w:r>
        <w:rPr>
          <w:rtl w:val="true"/>
        </w:rPr>
        <w:t>וכך גם לגבי הסיבה מדוע המשיכה להגיע אל בית האב</w:t>
      </w:r>
      <w:r>
        <w:rPr>
          <w:rtl w:val="true"/>
        </w:rPr>
        <w:t xml:space="preserve">, </w:t>
      </w:r>
      <w:r>
        <w:rPr>
          <w:rtl w:val="true"/>
        </w:rPr>
        <w:t xml:space="preserve">גם כאשר אביה לא נכח שם </w:t>
      </w:r>
      <w:r>
        <w:rPr>
          <w:rtl w:val="true"/>
        </w:rPr>
        <w:t>–</w:t>
      </w:r>
      <w:r>
        <w:rPr>
          <w:rtl w:val="true"/>
        </w:rPr>
        <w:t xml:space="preserve"> כי ביקשה לטפל בחיות הבית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המערער טוען כי גרסת המתלוננת לפיה לא הבינה את טיב מעשיו אינה מתיישבת עם כך שסיפרה לאמה על האירוע הראשון ועם תיאור התנהלותו האלימה של המערער באירועים</w:t>
      </w:r>
      <w:r>
        <w:rPr>
          <w:rtl w:val="true"/>
        </w:rPr>
        <w:t xml:space="preserve">. </w:t>
      </w:r>
      <w:r>
        <w:rPr>
          <w:rtl w:val="true"/>
        </w:rPr>
        <w:t>עוד הוא טוען</w:t>
      </w:r>
      <w:r>
        <w:rPr>
          <w:rtl w:val="true"/>
        </w:rPr>
        <w:t xml:space="preserve">, </w:t>
      </w:r>
      <w:r>
        <w:rPr>
          <w:rtl w:val="true"/>
        </w:rPr>
        <w:t>כי גרסת המתלוננת לפיה הדוד נכח בבית בעת שבוצעו מרבית האירועים אינה סבירה ואינה מתיישבת עם ההיגיון</w:t>
      </w:r>
      <w:r>
        <w:rPr>
          <w:rtl w:val="true"/>
        </w:rPr>
        <w:t xml:space="preserve">. </w:t>
      </w:r>
      <w:r>
        <w:rPr>
          <w:rtl w:val="true"/>
        </w:rPr>
        <w:t>ולבסוף נטען</w:t>
      </w:r>
      <w:r>
        <w:rPr>
          <w:rtl w:val="true"/>
        </w:rPr>
        <w:t xml:space="preserve">, </w:t>
      </w:r>
      <w:r>
        <w:rPr>
          <w:rtl w:val="true"/>
        </w:rPr>
        <w:t>כי לגרסת המתלוננת</w:t>
      </w:r>
      <w:r>
        <w:rPr>
          <w:rtl w:val="true"/>
        </w:rPr>
        <w:t xml:space="preserve">, </w:t>
      </w:r>
      <w:r>
        <w:rPr>
          <w:rtl w:val="true"/>
        </w:rPr>
        <w:t>לפיה המועד בו חדל המערער מלבצע בה את מעשיו הוא בעת שנעצר</w:t>
      </w:r>
      <w:r>
        <w:rPr>
          <w:rtl w:val="true"/>
        </w:rPr>
        <w:t xml:space="preserve">, </w:t>
      </w:r>
      <w:r>
        <w:rPr>
          <w:rtl w:val="true"/>
        </w:rPr>
        <w:t>אין אחיזה במציאות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המערער נעצר כשנה וחודשיים ממועד האירוע החמישי</w:t>
      </w:r>
      <w:r>
        <w:rPr>
          <w:rtl w:val="true"/>
        </w:rPr>
        <w:t xml:space="preserve">, </w:t>
      </w:r>
      <w:r>
        <w:rPr>
          <w:rtl w:val="true"/>
        </w:rPr>
        <w:t>ומשכך ניתן היה להניח כי הייתה מעידה על אירועים נוספים שהתרחשו בזמן הזה</w:t>
      </w:r>
      <w:r>
        <w:rPr>
          <w:rtl w:val="true"/>
        </w:rPr>
        <w:t xml:space="preserve">. </w:t>
      </w:r>
      <w:r>
        <w:rPr>
          <w:rtl w:val="true"/>
        </w:rPr>
        <w:t>אינני סבור כי מדובר בקשיים מהותיים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חזרה באופן אחיד וברור על כך שהבינה </w:t>
      </w:r>
      <w:r>
        <w:rPr>
          <w:rtl w:val="true"/>
        </w:rPr>
        <w:t>"</w:t>
      </w:r>
      <w:r>
        <w:rPr>
          <w:rtl w:val="true"/>
        </w:rPr>
        <w:t>שיש משהו שהוא לא</w:t>
      </w:r>
      <w:r>
        <w:rPr>
          <w:rtl w:val="true"/>
        </w:rPr>
        <w:t xml:space="preserve">, </w:t>
      </w:r>
      <w:r>
        <w:rPr>
          <w:rtl w:val="true"/>
        </w:rPr>
        <w:t>לא טוב</w:t>
      </w:r>
      <w:r>
        <w:rPr>
          <w:rtl w:val="true"/>
        </w:rPr>
        <w:t xml:space="preserve">, </w:t>
      </w:r>
      <w:r>
        <w:rPr>
          <w:rtl w:val="true"/>
        </w:rPr>
        <w:t>משהו שהוא לא צריך לקרות</w:t>
      </w:r>
      <w:r>
        <w:rPr>
          <w:rtl w:val="true"/>
        </w:rPr>
        <w:t>" (</w:t>
      </w:r>
      <w:r>
        <w:rPr>
          <w:rtl w:val="true"/>
        </w:rPr>
        <w:t xml:space="preserve">פרוטוקול מיום </w:t>
      </w:r>
      <w:r>
        <w:rPr/>
        <w:t>05.03.2020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בשורה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עולה מעדותה כי היא לא הבינה את מהות הפגיעה שחוותה ואת אופייה המיני</w:t>
      </w:r>
      <w:r>
        <w:rPr>
          <w:rtl w:val="true"/>
        </w:rPr>
        <w:t xml:space="preserve">. </w:t>
      </w:r>
      <w:r>
        <w:rPr>
          <w:rtl w:val="true"/>
        </w:rPr>
        <w:t xml:space="preserve">ידוע כי </w:t>
      </w:r>
      <w:r>
        <w:rPr>
          <w:rtl w:val="true"/>
        </w:rPr>
        <w:t>"</w:t>
      </w:r>
      <w:r>
        <w:rPr>
          <w:rtl w:val="true"/>
        </w:rPr>
        <w:t>קשת התגובות האפשריות של קורבן עבירות מין מגוונת ביותר</w:t>
      </w:r>
      <w:r>
        <w:rPr>
          <w:rtl w:val="true"/>
        </w:rPr>
        <w:t>" 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4901/09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07.12.2009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), </w:t>
      </w:r>
      <w:r>
        <w:rPr>
          <w:rtl w:val="true"/>
        </w:rPr>
        <w:t xml:space="preserve">וביניהן גם </w:t>
      </w:r>
      <w:r>
        <w:rPr>
          <w:rtl w:val="true"/>
        </w:rPr>
        <w:t>"</w:t>
      </w:r>
      <w:r>
        <w:rPr>
          <w:rtl w:val="true"/>
        </w:rPr>
        <w:t>אי הבנה של הקורבן כי נעשו בו דברים אסורים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הזיכרונות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המודחקים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86</w:t>
      </w:r>
      <w:r>
        <w:rPr>
          <w:rtl w:val="true"/>
        </w:rPr>
        <w:t xml:space="preserve">). </w:t>
      </w:r>
      <w:r>
        <w:rPr>
          <w:rtl w:val="true"/>
        </w:rPr>
        <w:t>דברים אלה נכונים בפרט</w:t>
      </w:r>
      <w:r>
        <w:rPr>
          <w:rtl w:val="true"/>
        </w:rPr>
        <w:t xml:space="preserve">, </w:t>
      </w:r>
      <w:r>
        <w:rPr>
          <w:rtl w:val="true"/>
        </w:rPr>
        <w:t>כאשר המעשים בוצעו כלפי קטינים</w:t>
      </w:r>
      <w:r>
        <w:rPr>
          <w:rtl w:val="true"/>
        </w:rPr>
        <w:t xml:space="preserve">. </w:t>
      </w:r>
      <w:r>
        <w:rPr>
          <w:rtl w:val="true"/>
        </w:rPr>
        <w:t>שאז ייתכן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יידרשו לשנים ארוכות כדי לעמוד על דעתם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להבין לאשורו את שארע להם ולאזור אומץ לחשוף את סיפורם</w:t>
      </w:r>
      <w:r>
        <w:rPr>
          <w:rtl w:val="true"/>
        </w:rPr>
        <w:t>" 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כך עולה בענייננו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מקרים של עבירות מין אשר בוצעו במקום פומבי ואף בקרבת קרובי משפחה או חברים אינם זרים לבית משפט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6934/21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30.06.2022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6934/21</w:t>
        </w:r>
      </w:hyperlink>
      <w:r>
        <w:rPr>
          <w:rtl w:val="true"/>
        </w:rPr>
        <w:t xml:space="preserve">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07.02.2022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26.03.2020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): </w:t>
      </w:r>
    </w:p>
    <w:p>
      <w:pPr>
        <w:pStyle w:val="Ruller5"/>
        <w:spacing w:before="576" w:after="5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רציונליות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רציונאליות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למתבונן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>...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להיגיון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קרבתו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..."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הזיכרונות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המודחקים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87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אלה יפים גם לענייננו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למועד המדויק בו הופסקו מעשיו של המערער</w:t>
      </w:r>
      <w:r>
        <w:rPr>
          <w:rtl w:val="true"/>
        </w:rPr>
        <w:t xml:space="preserve">, </w:t>
      </w:r>
      <w:r>
        <w:rPr>
          <w:rtl w:val="true"/>
        </w:rPr>
        <w:t>מוכן אני לקבל את הטענה כי גרסת המתלוננת אינה חפה מאי אלו 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ניתן היה לשער</w:t>
      </w:r>
      <w:r>
        <w:rPr>
          <w:rtl w:val="true"/>
        </w:rPr>
        <w:t xml:space="preserve">, </w:t>
      </w:r>
      <w:r>
        <w:rPr>
          <w:rtl w:val="true"/>
        </w:rPr>
        <w:t xml:space="preserve">כי ככל שמעשיו של המערער הופסקו רק לאחר שנעצר </w:t>
      </w:r>
      <w:r>
        <w:rPr>
          <w:rtl w:val="true"/>
        </w:rPr>
        <w:t>–</w:t>
      </w:r>
      <w:r>
        <w:rPr>
          <w:rtl w:val="true"/>
        </w:rPr>
        <w:t xml:space="preserve"> כשנה וחודשיים לאחר מועד האירוע החמישי </w:t>
      </w:r>
      <w:r>
        <w:rPr>
          <w:rtl w:val="true"/>
        </w:rPr>
        <w:t>–</w:t>
      </w:r>
      <w:r>
        <w:rPr>
          <w:rtl w:val="true"/>
        </w:rPr>
        <w:t xml:space="preserve"> הייתה המתלוננת מעידה על מעשים נוספים שבוצעו בתקופה זו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יש לזכור כי ענייננו בשורת אירועים חוזרים ונשנים של ריבוי עבירות מין שבוצעו על</w:t>
      </w:r>
      <w:r>
        <w:rPr>
          <w:rtl w:val="true"/>
        </w:rPr>
        <w:t>-</w:t>
      </w:r>
      <w:r>
        <w:rPr>
          <w:rtl w:val="true"/>
        </w:rPr>
        <w:t>ידי המערער במתלוננת</w:t>
      </w:r>
      <w:r>
        <w:rPr>
          <w:rtl w:val="true"/>
        </w:rPr>
        <w:t xml:space="preserve">, </w:t>
      </w:r>
      <w:r>
        <w:rPr>
          <w:rtl w:val="true"/>
        </w:rPr>
        <w:t>הדומות זו לזו</w:t>
      </w:r>
      <w:r>
        <w:rPr>
          <w:rtl w:val="true"/>
        </w:rPr>
        <w:t xml:space="preserve">, </w:t>
      </w:r>
      <w:r>
        <w:rPr>
          <w:rtl w:val="true"/>
        </w:rPr>
        <w:t>ואשר מתפרשות על פני תקופה של כשנתיים</w:t>
      </w:r>
      <w:r>
        <w:rPr>
          <w:rtl w:val="true"/>
        </w:rPr>
        <w:t xml:space="preserve">. </w:t>
      </w:r>
      <w:r>
        <w:rPr>
          <w:rtl w:val="true"/>
        </w:rPr>
        <w:t>על כך יש להוסיף גם את גילה הצעיר של המתלוננת ואת הטראומה שחוותה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 אי</w:t>
      </w:r>
      <w:r>
        <w:rPr>
          <w:rtl w:val="true"/>
        </w:rPr>
        <w:t>-</w:t>
      </w:r>
      <w:r>
        <w:rPr>
          <w:rtl w:val="true"/>
        </w:rPr>
        <w:t>הדיוק בנקודה זו כשלעצמו</w:t>
      </w:r>
      <w:r>
        <w:rPr>
          <w:rtl w:val="true"/>
        </w:rPr>
        <w:t xml:space="preserve">, </w:t>
      </w:r>
      <w:r>
        <w:rPr>
          <w:rtl w:val="true"/>
        </w:rPr>
        <w:t>אינו פוגע לטעמי בליבת גרסתה של המתלוננת</w:t>
      </w:r>
      <w:r>
        <w:rPr>
          <w:rtl w:val="true"/>
        </w:rPr>
        <w:t xml:space="preserve">, </w:t>
      </w:r>
      <w:r>
        <w:rPr>
          <w:rtl w:val="true"/>
        </w:rPr>
        <w:t>ובוודאי שאין בו כדי לרדת לשורשו של עניין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 xml:space="preserve">אולם לא כך הוא בכל הנוגע לגרסת המערער </w:t>
      </w:r>
      <w:r>
        <w:rPr>
          <w:rtl w:val="true"/>
        </w:rPr>
        <w:t>–</w:t>
      </w:r>
      <w:r>
        <w:rPr>
          <w:rtl w:val="true"/>
        </w:rPr>
        <w:t xml:space="preserve"> שגם לגישתי</w:t>
      </w:r>
      <w:r>
        <w:rPr>
          <w:rtl w:val="true"/>
        </w:rPr>
        <w:t xml:space="preserve">, </w:t>
      </w:r>
      <w:r>
        <w:rPr>
          <w:rtl w:val="true"/>
        </w:rPr>
        <w:t>איננה אמינה</w:t>
      </w:r>
      <w:r>
        <w:rPr>
          <w:rtl w:val="true"/>
        </w:rPr>
        <w:t xml:space="preserve">. </w:t>
      </w:r>
      <w:r>
        <w:rPr>
          <w:rtl w:val="true"/>
        </w:rPr>
        <w:t>כך עולה מבחינת עדויותיו לפני בית משפט קמא</w:t>
      </w:r>
      <w:r>
        <w:rPr>
          <w:rtl w:val="true"/>
        </w:rPr>
        <w:t xml:space="preserve">, </w:t>
      </w:r>
      <w:r>
        <w:rPr>
          <w:rtl w:val="true"/>
        </w:rPr>
        <w:t>שבולטות בהן הכחשות מפלילות מטעמו פעם אחר פעם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הכחיש המערער כי היה מודע לקיומו של הלחצן</w:t>
      </w:r>
      <w:r>
        <w:rPr>
          <w:rtl w:val="true"/>
        </w:rPr>
        <w:t xml:space="preserve">, </w:t>
      </w:r>
      <w:r>
        <w:rPr>
          <w:rtl w:val="true"/>
        </w:rPr>
        <w:t>בעוד שמעדות האב והדודה עולה בבירור כי כל דרי הבית ידעו על קיומו</w:t>
      </w:r>
      <w:r>
        <w:rPr>
          <w:rtl w:val="true"/>
        </w:rPr>
        <w:t xml:space="preserve">. </w:t>
      </w:r>
      <w:r>
        <w:rPr>
          <w:rtl w:val="true"/>
        </w:rPr>
        <w:t>עוד הכחיש המערער כי הוא והמתלוננת היו משחקים שחמט בסלון</w:t>
      </w:r>
      <w:r>
        <w:rPr>
          <w:rtl w:val="true"/>
        </w:rPr>
        <w:t xml:space="preserve">, </w:t>
      </w:r>
      <w:r>
        <w:rPr>
          <w:rtl w:val="true"/>
        </w:rPr>
        <w:t xml:space="preserve">כאשר לטענתו שיחקו אך ורק בחצר הבית </w:t>
      </w:r>
      <w:r>
        <w:rPr>
          <w:rtl w:val="true"/>
        </w:rPr>
        <w:t>(</w:t>
      </w:r>
      <w:r>
        <w:rPr>
          <w:rtl w:val="true"/>
        </w:rPr>
        <w:t>הכחשה שבהמשך חזר ממנה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כך גם סבורני</w:t>
      </w:r>
      <w:r>
        <w:rPr>
          <w:rtl w:val="true"/>
        </w:rPr>
        <w:t xml:space="preserve">, </w:t>
      </w:r>
      <w:r>
        <w:rPr>
          <w:rtl w:val="true"/>
        </w:rPr>
        <w:t xml:space="preserve">כי טענת המערער לפיה האם הסיתה את המתלוננת נגדו ושכנעה אותה להמציא את האירועים </w:t>
      </w:r>
      <w:r>
        <w:rPr>
          <w:rtl w:val="true"/>
        </w:rPr>
        <w:t>–</w:t>
      </w:r>
      <w:r>
        <w:rPr>
          <w:rtl w:val="true"/>
        </w:rPr>
        <w:t xml:space="preserve"> משוללת כל יסוד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לא הציע מטעמו הוא כל הסבר משכנע למניע של האם לעשות כן </w:t>
      </w:r>
      <w:r>
        <w:rPr>
          <w:rtl w:val="true"/>
        </w:rPr>
        <w:t>–</w:t>
      </w:r>
      <w:r>
        <w:rPr>
          <w:rtl w:val="true"/>
        </w:rPr>
        <w:t xml:space="preserve"> ואם אכן מדובר בקנוניה של האם</w:t>
      </w:r>
      <w:r>
        <w:rPr>
          <w:rtl w:val="true"/>
        </w:rPr>
        <w:t xml:space="preserve">, </w:t>
      </w:r>
      <w:r>
        <w:rPr>
          <w:rtl w:val="true"/>
        </w:rPr>
        <w:t>מדוע סירבה המתלוננת לשתף פעולה במסגרת החקירה הראשונה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באופן ברור וחד כי </w:t>
      </w:r>
      <w:r>
        <w:rPr>
          <w:rtl w:val="true"/>
        </w:rPr>
        <w:t>"</w:t>
      </w:r>
      <w:r>
        <w:rPr>
          <w:rtl w:val="true"/>
        </w:rPr>
        <w:t>המתלוננת אמינה ומהימנה מאוד ובהתאם גם גרסתה</w:t>
      </w:r>
      <w:r>
        <w:rPr>
          <w:rtl w:val="true"/>
        </w:rPr>
        <w:t xml:space="preserve">"; </w:t>
      </w:r>
      <w:r>
        <w:rPr>
          <w:rtl w:val="true"/>
        </w:rPr>
        <w:t xml:space="preserve">כי המערער הותיר </w:t>
      </w:r>
      <w:r>
        <w:rPr>
          <w:rtl w:val="true"/>
        </w:rPr>
        <w:t>"</w:t>
      </w:r>
      <w:r>
        <w:rPr>
          <w:rtl w:val="true"/>
        </w:rPr>
        <w:t>רושם עגום ובלתי מהימן</w:t>
      </w:r>
      <w:r>
        <w:rPr>
          <w:rtl w:val="true"/>
        </w:rPr>
        <w:t>" (</w:t>
      </w:r>
      <w:r>
        <w:rPr>
          <w:rtl w:val="true"/>
        </w:rPr>
        <w:t xml:space="preserve">עמודים </w:t>
      </w:r>
      <w:r>
        <w:rPr/>
        <w:t>38</w:t>
      </w:r>
      <w:r>
        <w:rPr>
          <w:rtl w:val="true"/>
        </w:rPr>
        <w:t xml:space="preserve">,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); </w:t>
      </w:r>
      <w:r>
        <w:rPr>
          <w:rtl w:val="true"/>
        </w:rPr>
        <w:t>וכי די בעדותה היחידה של המתלוננת לצורך הרשעת המערער בדין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גם בסתירות הנטענות ביחס לגרסת האם</w:t>
      </w:r>
      <w:r>
        <w:rPr>
          <w:rtl w:val="true"/>
        </w:rPr>
        <w:t xml:space="preserve">, </w:t>
      </w:r>
      <w:r>
        <w:rPr>
          <w:rtl w:val="true"/>
        </w:rPr>
        <w:t>או בעדותם של האב והדודה כדי להעלות ספק סביר בעניינו של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לאור האמור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העדיף את עדות האב במשטרה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לפקודה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ובהתאם לכל האמור</w:t>
      </w:r>
      <w:r>
        <w:rPr>
          <w:rtl w:val="true"/>
        </w:rPr>
        <w:t xml:space="preserve">, </w:t>
      </w:r>
      <w:r>
        <w:rPr>
          <w:rtl w:val="true"/>
        </w:rPr>
        <w:t>סבור אני כי יש לדחות את הערעור על הכרעת הדין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המערער כאמור השיג גם נגד גזר הדין שניתן בעניינו</w:t>
      </w:r>
      <w:r>
        <w:rPr>
          <w:rtl w:val="true"/>
        </w:rPr>
        <w:t xml:space="preserve">. </w:t>
      </w:r>
      <w:r>
        <w:rPr>
          <w:rtl w:val="true"/>
        </w:rPr>
        <w:t>בתוך כך נטען</w:t>
      </w:r>
      <w:r>
        <w:rPr>
          <w:rtl w:val="true"/>
        </w:rPr>
        <w:t xml:space="preserve">, </w:t>
      </w:r>
      <w:r>
        <w:rPr>
          <w:rtl w:val="true"/>
        </w:rPr>
        <w:t>כי העונש שהושת עליו הינו בלתי מידתי ואינו תואם את מדיניות הענישה הנוהגת בעבירות בהן הורשע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טוען המערער כי בית משפט המחוזי שגה כשביסס את גזר דינו על מקרים שעניינם מעשים חמורים מאלה שיוחסו לו</w:t>
      </w:r>
      <w:r>
        <w:rPr>
          <w:rtl w:val="true"/>
        </w:rPr>
        <w:t xml:space="preserve">. </w:t>
      </w:r>
      <w:r>
        <w:rPr>
          <w:rtl w:val="true"/>
        </w:rPr>
        <w:t>כן משיג המערער על השיקולים אותם שקל בית המשפט המחוזי בקביעת עונשו</w:t>
      </w:r>
      <w:r>
        <w:rPr>
          <w:rtl w:val="true"/>
        </w:rPr>
        <w:t xml:space="preserve">, </w:t>
      </w:r>
      <w:r>
        <w:rPr>
          <w:rtl w:val="true"/>
        </w:rPr>
        <w:t>והמשקל שניתן להם</w:t>
      </w:r>
      <w:r>
        <w:rPr>
          <w:rtl w:val="true"/>
        </w:rPr>
        <w:t xml:space="preserve">. </w:t>
      </w:r>
      <w:r>
        <w:rPr>
          <w:rtl w:val="true"/>
        </w:rPr>
        <w:t xml:space="preserve">גם טענות אלו </w:t>
      </w:r>
      <w:r>
        <w:rPr>
          <w:rtl w:val="true"/>
        </w:rPr>
        <w:t>–</w:t>
      </w:r>
      <w:r>
        <w:rPr>
          <w:rtl w:val="true"/>
        </w:rPr>
        <w:t xml:space="preserve"> אין מקום לקבלן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הלכה ידועה היא</w:t>
      </w:r>
      <w:r>
        <w:rPr>
          <w:rtl w:val="true"/>
        </w:rPr>
        <w:t xml:space="preserve">, </w:t>
      </w:r>
      <w:r>
        <w:rPr>
          <w:rtl w:val="true"/>
        </w:rPr>
        <w:t>כי בית המשפט שלערעור לא יתערב בגזר הדין שהשיתה הערכאה הדיונית</w:t>
      </w:r>
      <w:r>
        <w:rPr>
          <w:rtl w:val="true"/>
        </w:rPr>
        <w:t xml:space="preserve">, </w:t>
      </w:r>
      <w:r>
        <w:rPr>
          <w:rtl w:val="true"/>
        </w:rPr>
        <w:t>פרט למקרים בהם השתכנע כי ניכרת חריגה קיצונית ובולטת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או לחלופין</w:t>
      </w:r>
      <w:r>
        <w:rPr>
          <w:rtl w:val="true"/>
        </w:rPr>
        <w:t xml:space="preserve">, </w:t>
      </w:r>
      <w:r>
        <w:rPr>
          <w:rtl w:val="true"/>
        </w:rPr>
        <w:t xml:space="preserve">כאשר נפלה טעות מהותית או בולטת בגזר הדין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14.07.2022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איני סבור כי עניינו של המערער נמנה על אותם מקרים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כך ובניגוד לטענותיו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עיון במקרים על יסודם קבע בית המשפט המחוזי את מתחם הענישה </w:t>
      </w:r>
      <w:r>
        <w:rPr>
          <w:rtl w:val="true"/>
        </w:rPr>
        <w:t>–</w:t>
      </w:r>
      <w:r>
        <w:rPr>
          <w:rtl w:val="true"/>
        </w:rPr>
        <w:t xml:space="preserve"> וכן עיון במקרים נוספים ורבים בפסיקה </w:t>
      </w:r>
      <w:r>
        <w:rPr>
          <w:rtl w:val="true"/>
        </w:rPr>
        <w:t>–</w:t>
      </w:r>
      <w:r>
        <w:rPr>
          <w:rtl w:val="true"/>
        </w:rPr>
        <w:t xml:space="preserve"> דווקא מלמדים ההפך</w:t>
      </w:r>
      <w:r>
        <w:rPr>
          <w:rtl w:val="true"/>
        </w:rPr>
        <w:t xml:space="preserve">. </w:t>
      </w:r>
      <w:r>
        <w:rPr>
          <w:rtl w:val="true"/>
        </w:rPr>
        <w:t>המתחם שנקבע על</w:t>
      </w:r>
      <w:r>
        <w:rPr>
          <w:rtl w:val="true"/>
        </w:rPr>
        <w:t>-</w:t>
      </w:r>
      <w:r>
        <w:rPr>
          <w:rtl w:val="true"/>
        </w:rPr>
        <w:t>ידי בית המשפט המחוזי אינו חורג במידה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אלא דווקא הולם את אלו</w:t>
      </w:r>
      <w:r>
        <w:rPr>
          <w:rtl w:val="true"/>
        </w:rPr>
        <w:t xml:space="preserve">, </w:t>
      </w:r>
      <w:r>
        <w:rPr>
          <w:rtl w:val="true"/>
        </w:rPr>
        <w:t xml:space="preserve">ומשכך אין הוא מצדיק את התערבותו של בית משפט זה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12.02.2015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;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22.08.2021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8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5832/20</w:t>
        </w:r>
      </w:hyperlink>
      <w:r>
        <w:rPr>
          <w:rtl w:val="true"/>
        </w:rPr>
        <w:t xml:space="preserve">);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29.09.2016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ענישתו של נאשם לעולם תהא אינדיווידואלית</w:t>
      </w:r>
      <w:r>
        <w:rPr>
          <w:rtl w:val="true"/>
        </w:rPr>
        <w:t xml:space="preserve">, </w:t>
      </w:r>
      <w:r>
        <w:rPr>
          <w:rtl w:val="true"/>
        </w:rPr>
        <w:t xml:space="preserve">וגזר דין ייתפר למידותיו הספציפיות של כל מקרה ומקרה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342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אלנשמי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06.09.2006</w:t>
      </w:r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בית המשפט המחוזי שקל את כלל השיקולים שעליו לשקול בקביעת עונשו של המערער</w:t>
      </w:r>
      <w:r>
        <w:rPr>
          <w:rtl w:val="true"/>
        </w:rPr>
        <w:t xml:space="preserve">, </w:t>
      </w:r>
      <w:r>
        <w:rPr>
          <w:rtl w:val="true"/>
        </w:rPr>
        <w:t>ובתוך כך הרתעת היחיד</w:t>
      </w:r>
      <w:r>
        <w:rPr>
          <w:rtl w:val="true"/>
        </w:rPr>
        <w:t xml:space="preserve">, </w:t>
      </w:r>
      <w:r>
        <w:rPr>
          <w:rtl w:val="true"/>
        </w:rPr>
        <w:t>הרתעת הרבים</w:t>
      </w:r>
      <w:r>
        <w:rPr>
          <w:rtl w:val="true"/>
        </w:rPr>
        <w:t xml:space="preserve">, </w:t>
      </w:r>
      <w:r>
        <w:rPr>
          <w:rtl w:val="true"/>
        </w:rPr>
        <w:t>הנזק שגרם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עברו הפלילי והעובדה כי לא שיתף פעולה עם רשויות האכיפה ולא נטל אחריות על מעשיו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8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, </w:t>
      </w:r>
      <w:hyperlink r:id="rId88"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, </w:t>
      </w:r>
      <w:hyperlink r:id="rId89"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hyperlink r:id="rId90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כך גם יש לדחות את 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שגה בית המשפט המחוזי מששקל את כפירתו לחובתו </w:t>
      </w:r>
      <w:r>
        <w:rPr>
          <w:rtl w:val="true"/>
        </w:rPr>
        <w:t>–</w:t>
      </w:r>
      <w:r>
        <w:rPr>
          <w:rtl w:val="true"/>
        </w:rPr>
        <w:t xml:space="preserve"> כשלא כך הוא</w:t>
      </w:r>
      <w:r>
        <w:rPr>
          <w:rtl w:val="true"/>
        </w:rPr>
        <w:t xml:space="preserve">. </w:t>
      </w:r>
      <w:r>
        <w:rPr>
          <w:rtl w:val="true"/>
        </w:rPr>
        <w:t>כפי שציטט המערער בעצמו בכתב הערעור</w:t>
      </w:r>
      <w:r>
        <w:rPr>
          <w:rtl w:val="true"/>
        </w:rPr>
        <w:t xml:space="preserve">, </w:t>
      </w:r>
      <w:r>
        <w:rPr>
          <w:rtl w:val="true"/>
        </w:rPr>
        <w:t>בית המשפט המחוזי ציין באופן ברור וחד</w:t>
      </w:r>
      <w:r>
        <w:rPr>
          <w:rtl w:val="true"/>
        </w:rPr>
        <w:t>-</w:t>
      </w:r>
      <w:r>
        <w:rPr>
          <w:rtl w:val="true"/>
        </w:rPr>
        <w:t>משמעי כי</w:t>
      </w:r>
      <w:r>
        <w:rPr>
          <w:rtl w:val="true"/>
        </w:rPr>
        <w:t xml:space="preserve">: </w:t>
      </w:r>
    </w:p>
    <w:p>
      <w:pPr>
        <w:pStyle w:val="Ruller5"/>
        <w:spacing w:before="576" w:after="576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בכפירת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להחמיר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שמודה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חוסך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...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שקל את העובדה שהמערער כפר במיוחס לו לחובתו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 xml:space="preserve">צוין כי אילו המערער היה מודה במיוחס לו ולוקח אחריות על מעשיו </w:t>
      </w:r>
      <w:r>
        <w:rPr>
          <w:rtl w:val="true"/>
        </w:rPr>
        <w:t>–</w:t>
      </w:r>
      <w:r>
        <w:rPr>
          <w:rtl w:val="true"/>
        </w:rPr>
        <w:t xml:space="preserve"> גם בשלב מאוחר של ההליך </w:t>
      </w:r>
      <w:r>
        <w:rPr>
          <w:rtl w:val="true"/>
        </w:rPr>
        <w:t>–</w:t>
      </w:r>
      <w:r>
        <w:rPr>
          <w:rtl w:val="true"/>
        </w:rPr>
        <w:t xml:space="preserve"> היה הדבר נשקל לזכותו</w:t>
      </w:r>
      <w:r>
        <w:rPr>
          <w:rtl w:val="true"/>
        </w:rPr>
        <w:t xml:space="preserve">. </w:t>
      </w:r>
      <w:r>
        <w:rPr>
          <w:rtl w:val="true"/>
        </w:rPr>
        <w:t>ומשהמערער נמנע מלעשות כן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</w:t>
      </w:r>
      <w:r>
        <w:rPr>
          <w:rtl w:val="true"/>
        </w:rPr>
        <w:t>–</w:t>
      </w:r>
      <w:r>
        <w:rPr>
          <w:rtl w:val="true"/>
        </w:rPr>
        <w:t xml:space="preserve"> ובצדק </w:t>
      </w:r>
      <w:r>
        <w:rPr>
          <w:rtl w:val="true"/>
        </w:rPr>
        <w:t>–</w:t>
      </w:r>
      <w:r>
        <w:rPr>
          <w:rtl w:val="true"/>
        </w:rPr>
        <w:t xml:space="preserve"> כי אין להקל בעונשו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בעצם ניצול זכותו של נאשם לנהל את ההליך בעניינו עד תום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כדי להצדיק החמרה בעונשו של המערער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בוודאי שאין בעובדה זו כדי להצדיק הקלה בעונשו </w:t>
      </w:r>
      <w:r>
        <w:rPr>
          <w:rtl w:val="true"/>
        </w:rPr>
        <w:t>–</w:t>
      </w:r>
      <w:r>
        <w:rPr>
          <w:rtl w:val="true"/>
        </w:rPr>
        <w:t xml:space="preserve"> וכך בעניין שלפנינו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כן מצאתי כי יש לדחות את טענות המערער לפיהן לא ניתן על</w:t>
      </w:r>
      <w:r>
        <w:rPr>
          <w:rtl w:val="true"/>
        </w:rPr>
        <w:t>-</w:t>
      </w:r>
      <w:r>
        <w:rPr>
          <w:rtl w:val="true"/>
        </w:rPr>
        <w:t xml:space="preserve">ידי בית המשפט המחוזי די משקל </w:t>
      </w:r>
      <w:r>
        <w:rPr>
          <w:rtl w:val="true"/>
        </w:rPr>
        <w:t>–</w:t>
      </w:r>
      <w:r>
        <w:rPr>
          <w:rtl w:val="true"/>
        </w:rPr>
        <w:t xml:space="preserve"> לקולא </w:t>
      </w:r>
      <w:r>
        <w:rPr>
          <w:rtl w:val="true"/>
        </w:rPr>
        <w:t>–</w:t>
      </w:r>
      <w:r>
        <w:rPr>
          <w:rtl w:val="true"/>
        </w:rPr>
        <w:t xml:space="preserve"> לנסיבות האישיות</w:t>
      </w:r>
      <w:r>
        <w:rPr>
          <w:rtl w:val="true"/>
        </w:rPr>
        <w:t xml:space="preserve">, </w:t>
      </w:r>
      <w:r>
        <w:rPr>
          <w:rtl w:val="true"/>
        </w:rPr>
        <w:t>ובפרט עברו הפלילי הנקי של המערער</w:t>
      </w:r>
      <w:r>
        <w:rPr>
          <w:rtl w:val="true"/>
        </w:rPr>
        <w:t xml:space="preserve">. </w:t>
      </w:r>
      <w:r>
        <w:rPr>
          <w:rtl w:val="true"/>
        </w:rPr>
        <w:t>כפי שעולה מפורשות מנימוקי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נתן דעתו לגילו של הנאשם וכן להיעדרן של הרשעות קודמות </w:t>
      </w:r>
      <w:r>
        <w:rPr>
          <w:rtl w:val="true"/>
        </w:rPr>
        <w:t>–</w:t>
      </w:r>
      <w:r>
        <w:rPr>
          <w:rtl w:val="true"/>
        </w:rPr>
        <w:t xml:space="preserve"> ועל יסוד כך קבע</w:t>
      </w:r>
      <w:r>
        <w:rPr>
          <w:rtl w:val="true"/>
        </w:rPr>
        <w:t xml:space="preserve">, </w:t>
      </w:r>
      <w:r>
        <w:rPr>
          <w:rtl w:val="true"/>
        </w:rPr>
        <w:t>כי מוצדק למקם את עונשו המערער במרכז מתחם העונש ההולם שנקבע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למותר לציין כי אל מול כל אלו </w:t>
      </w:r>
      <w:r>
        <w:rPr>
          <w:rtl w:val="true"/>
        </w:rPr>
        <w:t>–</w:t>
      </w:r>
      <w:r>
        <w:rPr>
          <w:rtl w:val="true"/>
        </w:rPr>
        <w:t xml:space="preserve"> עומדות נסיבותיהם החמורות של מעשי המערער</w:t>
      </w:r>
      <w:r>
        <w:rPr>
          <w:rtl w:val="true"/>
        </w:rPr>
        <w:t xml:space="preserve">, </w:t>
      </w:r>
      <w:r>
        <w:rPr>
          <w:rtl w:val="true"/>
        </w:rPr>
        <w:t>עליהם אעמוד להלן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</w:t>
      </w:r>
      <w:r>
        <w:rPr>
          <w:rtl w:val="true"/>
        </w:rPr>
        <w:t xml:space="preserve">, </w:t>
      </w:r>
      <w:r>
        <w:rPr>
          <w:rtl w:val="true"/>
        </w:rPr>
        <w:t>ובצדק רב</w:t>
      </w:r>
      <w:r>
        <w:rPr>
          <w:rtl w:val="true"/>
        </w:rPr>
        <w:t xml:space="preserve">, </w:t>
      </w:r>
      <w:r>
        <w:rPr>
          <w:rtl w:val="true"/>
        </w:rPr>
        <w:t xml:space="preserve">על תדירותם ונסיבות ביצועם של מעשי העבירה </w:t>
      </w:r>
      <w:r>
        <w:rPr>
          <w:rtl w:val="true"/>
        </w:rPr>
        <w:t>–</w:t>
      </w:r>
      <w:r>
        <w:rPr>
          <w:rtl w:val="true"/>
        </w:rPr>
        <w:t xml:space="preserve"> ואלו מעיבות לטעמי גם על עברו הנקי של הנאשם</w:t>
      </w:r>
      <w:r>
        <w:rPr>
          <w:rtl w:val="true"/>
        </w:rPr>
        <w:t xml:space="preserve">. </w:t>
      </w:r>
      <w:r>
        <w:rPr>
          <w:rtl w:val="true"/>
        </w:rPr>
        <w:t>אחרי ככלות הכל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ביצע במתלוננת</w:t>
      </w:r>
      <w:r>
        <w:rPr>
          <w:rtl w:val="true"/>
        </w:rPr>
        <w:t xml:space="preserve"> מעשים מיניים חמורים</w:t>
      </w:r>
      <w:r>
        <w:rPr>
          <w:rtl w:val="true"/>
        </w:rPr>
        <w:t xml:space="preserve"> במשך כשנתיים </w:t>
      </w:r>
      <w:r>
        <w:rPr>
          <w:rtl w:val="true"/>
        </w:rPr>
        <w:t>–</w:t>
      </w:r>
      <w:r>
        <w:rPr>
          <w:rtl w:val="true"/>
        </w:rPr>
        <w:t xml:space="preserve"> וכוחה של המתלוננת להתלונן נגד המערער</w:t>
      </w:r>
      <w:r>
        <w:rPr>
          <w:rtl w:val="true"/>
        </w:rPr>
        <w:t xml:space="preserve">, </w:t>
      </w:r>
      <w:r>
        <w:rPr>
          <w:rtl w:val="true"/>
        </w:rPr>
        <w:t>הם אשר הביאו לקץ הסבל שהיה מנת חלקה</w:t>
      </w:r>
      <w:r>
        <w:rPr>
          <w:rtl w:val="true"/>
        </w:rPr>
        <w:t xml:space="preserve">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לא מדובר במעשה </w:t>
      </w:r>
      <w:r>
        <w:rPr>
          <w:color w:val="000000"/>
          <w:rtl w:val="true"/>
        </w:rPr>
        <w:t>בודד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במעידה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פעמית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המכתימים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נקי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רבב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בתקופה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rtl w:val="true"/>
        </w:rPr>
        <w:t>ופגע במתלוננת – שב והכתים את עברו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לבסוף יש לתת את הדעת לחומרת מעשיו של המערער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החומרה הגלומה בביצוען של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בפרט כאשר הן מבוצעות כלפי קטינה ובידי קרוב משפחה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5832/20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וכן האסמכתאות שם</w:t>
      </w:r>
      <w:r>
        <w:rPr>
          <w:rtl w:val="true"/>
        </w:rPr>
        <w:t xml:space="preserve">). </w:t>
      </w:r>
      <w:r>
        <w:rPr>
          <w:rtl w:val="true"/>
        </w:rPr>
        <w:t>אף אני עמדתי בעניין אחר על הפגם החברתי והמוסרי בביצוע עבירות מין במשפחה</w:t>
      </w:r>
      <w:r>
        <w:rPr>
          <w:rtl w:val="true"/>
        </w:rPr>
        <w:t xml:space="preserve">, </w:t>
      </w:r>
      <w:r>
        <w:rPr>
          <w:rtl w:val="true"/>
        </w:rPr>
        <w:t>הנזקים שהן גורמות והצורך לבטא את הוקעתם של עבירות אלו בגדרי העונש</w:t>
      </w:r>
      <w:r>
        <w:rPr>
          <w:rtl w:val="true"/>
        </w:rPr>
        <w:t xml:space="preserve">: </w:t>
      </w:r>
    </w:p>
    <w:p>
      <w:pPr>
        <w:pStyle w:val="Ruller5"/>
        <w:spacing w:before="576" w:after="5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, </w:t>
      </w:r>
      <w:r>
        <w:rPr>
          <w:rtl w:val="true"/>
        </w:rPr>
        <w:t>מתווסף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מתווסף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הזוגית</w:t>
      </w:r>
      <w:r>
        <w:rPr>
          <w:rtl w:val="true"/>
        </w:rPr>
        <w:t xml:space="preserve">,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והאישית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על 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האינטרסים של הגנה על </w:t>
      </w:r>
      <w:r>
        <w:rPr>
          <w:rFonts w:ascii="FrankRuehl" w:hAnsi="FrankRuehl"/>
          <w:sz w:val="28"/>
          <w:sz w:val="28"/>
          <w:rtl w:val="true"/>
        </w:rPr>
        <w:t>שלום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הציבור ועל שלמות הגוף והנפש מחייבים כי העונש שנגזר בעבירות אונס ישקף את הסלידה ממעשים אלו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ואת הוקעתם של המעשים והעושים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תוך שליחת מסר מרתיע ליחיד ולרבים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9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6934/21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בפסקאות </w:t>
      </w:r>
      <w:r>
        <w:rPr>
          <w:rFonts w:cs="FrankRuehl" w:ascii="FrankRuehl" w:hAnsi="FrankRuehl"/>
          <w:color w:val="000000"/>
          <w:sz w:val="28"/>
        </w:rPr>
        <w:t>20-19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דודה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ניצל את מעמדו וקרבתו אל המתלוננת </w:t>
      </w:r>
      <w:r>
        <w:rPr>
          <w:rtl w:val="true"/>
        </w:rPr>
        <w:t>–</w:t>
      </w:r>
      <w:r>
        <w:rPr>
          <w:rtl w:val="true"/>
        </w:rPr>
        <w:t xml:space="preserve"> שכאמור</w:t>
      </w:r>
      <w:r>
        <w:rPr>
          <w:rtl w:val="true"/>
        </w:rPr>
        <w:t xml:space="preserve">, </w:t>
      </w:r>
      <w:r>
        <w:rPr>
          <w:rtl w:val="true"/>
        </w:rPr>
        <w:t xml:space="preserve">הייתה קטינה במועדים הרלוונטיים לכתב האישום </w:t>
      </w:r>
      <w:r>
        <w:rPr>
          <w:rtl w:val="true"/>
        </w:rPr>
        <w:t>–</w:t>
      </w:r>
      <w:r>
        <w:rPr>
          <w:rtl w:val="true"/>
        </w:rPr>
        <w:t xml:space="preserve"> ובמשך כשנתיים ביצע בה מעשים מגונים</w:t>
      </w:r>
      <w:r>
        <w:rPr>
          <w:rtl w:val="true"/>
        </w:rPr>
        <w:t xml:space="preserve">, </w:t>
      </w:r>
      <w:r>
        <w:rPr>
          <w:rtl w:val="true"/>
        </w:rPr>
        <w:t>בבית אביה</w:t>
      </w:r>
      <w:r>
        <w:rPr>
          <w:rtl w:val="true"/>
        </w:rPr>
        <w:t xml:space="preserve">, </w:t>
      </w:r>
      <w:r>
        <w:rPr>
          <w:rtl w:val="true"/>
        </w:rPr>
        <w:t>מקום אשר היה אמור להיות עבורה מקלט</w:t>
      </w:r>
      <w:r>
        <w:rPr>
          <w:rtl w:val="true"/>
        </w:rPr>
        <w:t xml:space="preserve">. </w:t>
      </w:r>
      <w:r>
        <w:rPr>
          <w:rtl w:val="true"/>
        </w:rPr>
        <w:t>המערער ניצל את אהבתה של המתלוננת לאביה ודאגתה לחיות שגידלה בביתו לצורך ביצוע מעשיו</w:t>
      </w:r>
      <w:r>
        <w:rPr>
          <w:rtl w:val="true"/>
        </w:rPr>
        <w:t xml:space="preserve">, </w:t>
      </w:r>
      <w:r>
        <w:rPr>
          <w:rtl w:val="true"/>
        </w:rPr>
        <w:t>כאשר ידע כי זו תמשיך להגיע אל בית האב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כאשר היא הגיעה</w:t>
      </w:r>
      <w:r>
        <w:rPr>
          <w:rtl w:val="true"/>
        </w:rPr>
        <w:t xml:space="preserve">, </w:t>
      </w:r>
      <w:r>
        <w:rPr>
          <w:rtl w:val="true"/>
        </w:rPr>
        <w:t>וברגע המתאים</w:t>
      </w:r>
      <w:r>
        <w:rPr>
          <w:rtl w:val="true"/>
        </w:rPr>
        <w:t xml:space="preserve">, </w:t>
      </w:r>
      <w:r>
        <w:rPr>
          <w:rtl w:val="true"/>
        </w:rPr>
        <w:t>תפס אותה המערער כעיט התופס את טרפו</w:t>
      </w:r>
      <w:r>
        <w:rPr>
          <w:rtl w:val="true"/>
        </w:rPr>
        <w:t xml:space="preserve">, </w:t>
      </w:r>
      <w:r>
        <w:rPr>
          <w:rtl w:val="true"/>
        </w:rPr>
        <w:t>וביצע בה את מעשיו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אף טענתו של המערער כי דאג למתלוננת ואהב אותה כבת </w:t>
      </w:r>
      <w:r>
        <w:rPr>
          <w:rtl w:val="true"/>
        </w:rPr>
        <w:t>(</w:t>
      </w:r>
      <w:r>
        <w:rPr>
          <w:rtl w:val="true"/>
        </w:rPr>
        <w:t xml:space="preserve">פרוטוקול מיום </w:t>
      </w:r>
      <w:r>
        <w:rPr/>
        <w:t>23.06.2020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בשורה 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נדמה כי אלו נסוגו פעם</w:t>
      </w:r>
      <w:r>
        <w:rPr>
          <w:rtl w:val="true"/>
        </w:rPr>
        <w:t xml:space="preserve">, </w:t>
      </w:r>
      <w:r>
        <w:rPr>
          <w:rtl w:val="true"/>
        </w:rPr>
        <w:t>ופעם שוב</w:t>
      </w:r>
      <w:r>
        <w:rPr>
          <w:rtl w:val="true"/>
        </w:rPr>
        <w:t xml:space="preserve">, </w:t>
      </w:r>
      <w:r>
        <w:rPr>
          <w:rtl w:val="true"/>
        </w:rPr>
        <w:t>אל מול סיפוקו העצמי</w:t>
      </w:r>
      <w:r>
        <w:rPr>
          <w:rtl w:val="true"/>
        </w:rPr>
        <w:t xml:space="preserve">. </w:t>
      </w:r>
      <w:r>
        <w:rPr>
          <w:rtl w:val="true"/>
        </w:rPr>
        <w:t xml:space="preserve">מעשיו של המערער נעשו מבלי לתת מחשבה שנייה </w:t>
      </w:r>
      <w:r>
        <w:rPr>
          <w:rtl w:val="true"/>
        </w:rPr>
        <w:t>–</w:t>
      </w:r>
      <w:r>
        <w:rPr>
          <w:rtl w:val="true"/>
        </w:rPr>
        <w:t xml:space="preserve"> ואף לא ראשונה </w:t>
      </w:r>
      <w:r>
        <w:rPr>
          <w:rtl w:val="true"/>
        </w:rPr>
        <w:t>–</w:t>
      </w:r>
      <w:r>
        <w:rPr>
          <w:rtl w:val="true"/>
        </w:rPr>
        <w:t xml:space="preserve"> לנזק שעשוי להיגרם למתלוננת</w:t>
      </w:r>
      <w:r>
        <w:rPr>
          <w:rtl w:val="true"/>
        </w:rPr>
        <w:t xml:space="preserve">. </w:t>
      </w:r>
      <w:r>
        <w:rPr>
          <w:rtl w:val="true"/>
        </w:rPr>
        <w:t>ועל אף זאת</w:t>
      </w:r>
      <w:r>
        <w:rPr>
          <w:rtl w:val="true"/>
        </w:rPr>
        <w:t xml:space="preserve">, </w:t>
      </w:r>
      <w:r>
        <w:rPr>
          <w:rtl w:val="true"/>
        </w:rPr>
        <w:t>ידע המערער היטב את טיב מעשיו</w:t>
      </w:r>
      <w:r>
        <w:rPr>
          <w:rtl w:val="true"/>
        </w:rPr>
        <w:t xml:space="preserve">, </w:t>
      </w:r>
      <w:r>
        <w:rPr>
          <w:rtl w:val="true"/>
        </w:rPr>
        <w:t>ואף איים על המתלוננת שמא תספר על כך לאחר</w:t>
      </w:r>
      <w:r>
        <w:rPr>
          <w:rtl w:val="true"/>
        </w:rPr>
        <w:t xml:space="preserve">, </w:t>
      </w:r>
      <w:r>
        <w:rPr>
          <w:rtl w:val="true"/>
        </w:rPr>
        <w:t xml:space="preserve">או אז יעשה לה </w:t>
      </w:r>
      <w:r>
        <w:rPr>
          <w:rtl w:val="true"/>
        </w:rPr>
        <w:t>"</w:t>
      </w:r>
      <w:r>
        <w:rPr>
          <w:rtl w:val="true"/>
        </w:rPr>
        <w:t>משהו גרוע יותר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המתלוננת מצאה עצמה כלואה במעגל של פגיעה</w:t>
      </w:r>
      <w:r>
        <w:rPr>
          <w:rtl w:val="true"/>
        </w:rPr>
        <w:t xml:space="preserve">, </w:t>
      </w:r>
      <w:r>
        <w:rPr>
          <w:rtl w:val="true"/>
        </w:rPr>
        <w:t xml:space="preserve">ללא יכולת להימנע ממקור סבלה </w:t>
      </w:r>
      <w:r>
        <w:rPr>
          <w:rtl w:val="true"/>
        </w:rPr>
        <w:t>–</w:t>
      </w:r>
      <w:r>
        <w:rPr>
          <w:rtl w:val="true"/>
        </w:rPr>
        <w:t xml:space="preserve"> בית האב </w:t>
      </w:r>
      <w:r>
        <w:rPr>
          <w:rtl w:val="true"/>
        </w:rPr>
        <w:t>–</w:t>
      </w:r>
      <w:r>
        <w:rPr>
          <w:rtl w:val="true"/>
        </w:rPr>
        <w:t xml:space="preserve"> וללא יכולת להפיג את הסכנה שריחפה מעל ראשה בכל פעם שביקרה 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בנסיבות המקרה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נכון בעיניי גם הדגש שניתן בגזר הדין לנזק שנגרם למתלוננת ממעשי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כמו גם דרך השיקום שעוד ניצבת לפניה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שציין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בהתייחס לתסקיר נפגעת עבירות שהוגש בעניינה של המתלוננת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מעשיו של המערער הותירו בנפשה ובגופה פגיעות ברובד האישי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הנפשי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ההתנהגותי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המשפחתי והחברתי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בעת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משתמו מעשיו החמורים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נותרה המתלוננת עם חשש כבד לעתידה ועם תחושת סיכון שאין לה ממנה מרפא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בפרט הדגיש בית המשפט את השלכותיה של הפגיעה על מערכות היחסים במשפחתה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שהן מערכות יחסים מורכבות בלאו הכי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וכל שכן בראי כל האמור והמפורט כאן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1"/>
        </w:numPr>
        <w:bidi w:val="1"/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יש מקום להתערבותו של בית משפט זה בפסק דינו של בית המשפט המחוזי </w:t>
      </w:r>
      <w:r>
        <w:rPr>
          <w:rtl w:val="true"/>
        </w:rPr>
        <w:t>–</w:t>
      </w:r>
      <w:r>
        <w:rPr>
          <w:rtl w:val="true"/>
        </w:rPr>
        <w:t xml:space="preserve"> הן ביחס לרכיב הכרעת הדין והן ביחס לרכיב גזר הדין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>ולהותיר את פסק דינו של בית המשפט המחוזי על כנו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bidi w:val="1"/>
        <w:ind w:hanging="0" w:start="0" w:end="0"/>
        <w:jc w:val="both"/>
        <w:rPr>
          <w:rFonts w:cs="Miriam"/>
          <w:szCs w:val="24"/>
          <w:u w:val="single"/>
        </w:rPr>
      </w:pPr>
      <w:r>
        <w:rPr>
          <w:rFonts w:cs="Miriam"/>
          <w:szCs w:val="24"/>
          <w:u w:val="single"/>
          <w:rtl w:val="true"/>
        </w:rPr>
        <w:t>השופט</w:t>
      </w:r>
      <w:r>
        <w:rPr>
          <w:rFonts w:cs="Miriam"/>
          <w:szCs w:val="24"/>
          <w:u w:val="single"/>
          <w:rtl w:val="true"/>
        </w:rPr>
        <w:t>ת</w:t>
      </w:r>
      <w:r>
        <w:rPr>
          <w:rFonts w:eastAsia="Garamond"/>
          <w:szCs w:val="24"/>
          <w:u w:val="single"/>
          <w:rtl w:val="true"/>
        </w:rPr>
        <w:t xml:space="preserve"> </w:t>
      </w:r>
      <w:r>
        <w:rPr>
          <w:rFonts w:cs="Miriam"/>
          <w:szCs w:val="24"/>
          <w:u w:val="single"/>
          <w:rtl w:val="true"/>
        </w:rPr>
        <w:t>ע</w:t>
      </w:r>
      <w:r>
        <w:rPr>
          <w:rFonts w:cs="Miriam"/>
          <w:szCs w:val="24"/>
          <w:u w:val="single"/>
          <w:rtl w:val="true"/>
        </w:rPr>
        <w:t xml:space="preserve">' </w:t>
      </w:r>
      <w:r>
        <w:rPr>
          <w:rFonts w:cs="Miriam"/>
          <w:szCs w:val="24"/>
          <w:u w:val="single"/>
          <w:rtl w:val="true"/>
        </w:rPr>
        <w:t>ברון</w:t>
      </w:r>
      <w:r>
        <w:rPr>
          <w:rFonts w:cs="Miriam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21.8.2022</w:t>
      </w:r>
      <w:r>
        <w:rPr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21026470</w:t>
      </w:r>
      <w:r>
        <w:rPr>
          <w:sz w:val="16"/>
          <w:rtl w:val="true"/>
        </w:rPr>
        <w:t>_</w:t>
      </w:r>
      <w:r>
        <w:rPr>
          <w:sz w:val="16"/>
        </w:rPr>
        <w:t>C08.docx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54678313-2647/21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5"/>
      <w:footerReference w:type="default" r:id="rId9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2647/21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overflowPunct w:val="true"/>
      <w:autoSpaceDE w:val="true"/>
      <w:bidi w:val="0"/>
      <w:spacing w:before="240" w:after="240"/>
      <w:textAlignment w:val="auto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overflowPunct w:val="true"/>
      <w:autoSpaceDE w:val="true"/>
      <w:bidi w:val="0"/>
      <w:spacing w:before="240" w:after="240"/>
      <w:textAlignment w:val="auto"/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60" w:after="240"/>
      <w:ind w:hanging="0" w:start="2835" w:end="0"/>
      <w:jc w:val="both"/>
      <w:textAlignment w:val="auto"/>
    </w:pPr>
    <w:rPr>
      <w:rFonts w:cs="Times New Roman"/>
      <w:szCs w:val="20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פסקה לא ממוספרת"/>
    <w:basedOn w:val="Ruller41"/>
    <w:qFormat/>
    <w:pPr>
      <w:overflowPunct w:val="true"/>
      <w:autoSpaceDE w:val="true"/>
      <w:bidi w:val="0"/>
      <w:spacing w:before="240" w:after="420"/>
      <w:ind w:firstLine="799" w:start="0" w:end="0"/>
      <w:textAlignment w:val="auto"/>
    </w:pPr>
    <w:rPr>
      <w:rFonts w:ascii="Garamond" w:hAnsi="Garamond" w:cs="Garamond"/>
      <w:sz w:val="24"/>
    </w:rPr>
  </w:style>
  <w:style w:type="paragraph" w:styleId="Style15">
    <w:name w:val="פסקה ממוספרת"/>
    <w:basedOn w:val="Style14"/>
    <w:next w:val="Style14"/>
    <w:qFormat/>
    <w:pPr>
      <w:ind w:hanging="0" w:start="0" w:end="0"/>
    </w:pPr>
    <w:rPr/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48975" TargetMode="External"/><Relationship Id="rId3" Type="http://schemas.openxmlformats.org/officeDocument/2006/relationships/hyperlink" Target="http://www.nevo.co.il/safrut/book/48975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.a.4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51.c.2" TargetMode="External"/><Relationship Id="rId13" Type="http://schemas.openxmlformats.org/officeDocument/2006/relationships/hyperlink" Target="http://www.nevo.co.il/law/70301/40ja.4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0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85.4" TargetMode="External"/><Relationship Id="rId18" Type="http://schemas.openxmlformats.org/officeDocument/2006/relationships/hyperlink" Target="http://www.nevo.co.il/law/74903/151" TargetMode="External"/><Relationship Id="rId19" Type="http://schemas.openxmlformats.org/officeDocument/2006/relationships/hyperlink" Target="http://www.nevo.co.il/law/70301/351.c.2" TargetMode="External"/><Relationship Id="rId20" Type="http://schemas.openxmlformats.org/officeDocument/2006/relationships/hyperlink" Target="http://www.nevo.co.il/law/70301/348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law/70301/351.c.2" TargetMode="External"/><Relationship Id="rId26" Type="http://schemas.openxmlformats.org/officeDocument/2006/relationships/hyperlink" Target="http://www.nevo.co.il/law/70301/348.b" TargetMode="External"/><Relationship Id="rId27" Type="http://schemas.openxmlformats.org/officeDocument/2006/relationships/hyperlink" Target="http://www.nevo.co.il/law/70301/345.b.1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/192" TargetMode="External"/><Relationship Id="rId30" Type="http://schemas.openxmlformats.org/officeDocument/2006/relationships/hyperlink" Target="http://www.nevo.co.il/law/98569/10a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case/21477271" TargetMode="External"/><Relationship Id="rId33" Type="http://schemas.openxmlformats.org/officeDocument/2006/relationships/hyperlink" Target="http://www.nevo.co.il/case/5993495" TargetMode="External"/><Relationship Id="rId34" Type="http://schemas.openxmlformats.org/officeDocument/2006/relationships/hyperlink" Target="http://www.nevo.co.il/case/13104263" TargetMode="External"/><Relationship Id="rId35" Type="http://schemas.openxmlformats.org/officeDocument/2006/relationships/hyperlink" Target="http://www.nevo.co.il/law/74903/85.4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case/6217119" TargetMode="External"/><Relationship Id="rId40" Type="http://schemas.openxmlformats.org/officeDocument/2006/relationships/hyperlink" Target="http://www.nevo.co.il/case/17935962" TargetMode="External"/><Relationship Id="rId41" Type="http://schemas.openxmlformats.org/officeDocument/2006/relationships/hyperlink" Target="http://www.nevo.co.il/law/74903/151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case/5832812" TargetMode="External"/><Relationship Id="rId44" Type="http://schemas.openxmlformats.org/officeDocument/2006/relationships/hyperlink" Target="http://www.nevo.co.il/case/5832812" TargetMode="External"/><Relationship Id="rId45" Type="http://schemas.openxmlformats.org/officeDocument/2006/relationships/hyperlink" Target="http://www.nevo.co.il/case/6248755" TargetMode="External"/><Relationship Id="rId46" Type="http://schemas.openxmlformats.org/officeDocument/2006/relationships/hyperlink" Target="http://www.nevo.co.il/case/25550812" TargetMode="External"/><Relationship Id="rId47" Type="http://schemas.openxmlformats.org/officeDocument/2006/relationships/hyperlink" Target="http://www.nevo.co.il/case/22636469" TargetMode="External"/><Relationship Id="rId48" Type="http://schemas.openxmlformats.org/officeDocument/2006/relationships/hyperlink" Target="http://www.nevo.co.il/case/6129410" TargetMode="External"/><Relationship Id="rId49" Type="http://schemas.openxmlformats.org/officeDocument/2006/relationships/hyperlink" Target="http://www.nevo.co.il/case/6129410" TargetMode="External"/><Relationship Id="rId50" Type="http://schemas.openxmlformats.org/officeDocument/2006/relationships/hyperlink" Target="http://www.nevo.co.il/case/26803858" TargetMode="External"/><Relationship Id="rId51" Type="http://schemas.openxmlformats.org/officeDocument/2006/relationships/hyperlink" Target="http://www.nevo.co.il/case/26544661" TargetMode="External"/><Relationship Id="rId52" Type="http://schemas.openxmlformats.org/officeDocument/2006/relationships/hyperlink" Target="http://www.nevo.co.il/case/26544661" TargetMode="External"/><Relationship Id="rId53" Type="http://schemas.openxmlformats.org/officeDocument/2006/relationships/hyperlink" Target="http://www.nevo.co.il/case/5832812" TargetMode="External"/><Relationship Id="rId54" Type="http://schemas.openxmlformats.org/officeDocument/2006/relationships/hyperlink" Target="http://www.nevo.co.il/case/26964729" TargetMode="External"/><Relationship Id="rId55" Type="http://schemas.openxmlformats.org/officeDocument/2006/relationships/hyperlink" Target="http://www.nevo.co.il/case/5832812" TargetMode="External"/><Relationship Id="rId56" Type="http://schemas.openxmlformats.org/officeDocument/2006/relationships/hyperlink" Target="http://www.nevo.co.il/case/6129410" TargetMode="External"/><Relationship Id="rId57" Type="http://schemas.openxmlformats.org/officeDocument/2006/relationships/hyperlink" Target="http://www.nevo.co.il/case/25788262" TargetMode="External"/><Relationship Id="rId58" Type="http://schemas.openxmlformats.org/officeDocument/2006/relationships/hyperlink" Target="http://www.nevo.co.il/case/20982179" TargetMode="External"/><Relationship Id="rId59" Type="http://schemas.openxmlformats.org/officeDocument/2006/relationships/hyperlink" Target="http://www.nevo.co.il/case/22303637" TargetMode="External"/><Relationship Id="rId60" Type="http://schemas.openxmlformats.org/officeDocument/2006/relationships/hyperlink" Target="http://www.nevo.co.il/case/22303637" TargetMode="External"/><Relationship Id="rId61" Type="http://schemas.openxmlformats.org/officeDocument/2006/relationships/hyperlink" Target="http://www.nevo.co.il/case/13055235" TargetMode="External"/><Relationship Id="rId62" Type="http://schemas.openxmlformats.org/officeDocument/2006/relationships/hyperlink" Target="http://www.nevo.co.il/case/5583846" TargetMode="External"/><Relationship Id="rId63" Type="http://schemas.openxmlformats.org/officeDocument/2006/relationships/hyperlink" Target="http://www.nevo.co.il/case/6247531" TargetMode="External"/><Relationship Id="rId64" Type="http://schemas.openxmlformats.org/officeDocument/2006/relationships/hyperlink" Target="http://www.nevo.co.il/case/18742532" TargetMode="External"/><Relationship Id="rId65" Type="http://schemas.openxmlformats.org/officeDocument/2006/relationships/hyperlink" Target="http://www.nevo.co.il/case/6129410" TargetMode="External"/><Relationship Id="rId66" Type="http://schemas.openxmlformats.org/officeDocument/2006/relationships/hyperlink" Target="http://www.nevo.co.il/case/6246452" TargetMode="External"/><Relationship Id="rId67" Type="http://schemas.openxmlformats.org/officeDocument/2006/relationships/hyperlink" Target="http://www.nevo.co.il/case/6246840" TargetMode="External"/><Relationship Id="rId68" Type="http://schemas.openxmlformats.org/officeDocument/2006/relationships/hyperlink" Target="http://www.nevo.co.il/case/6129410" TargetMode="External"/><Relationship Id="rId69" Type="http://schemas.openxmlformats.org/officeDocument/2006/relationships/hyperlink" Target="http://www.nevo.co.il/safrut/book/48975" TargetMode="External"/><Relationship Id="rId70" Type="http://schemas.openxmlformats.org/officeDocument/2006/relationships/hyperlink" Target="http://www.nevo.co.il/case/5739234" TargetMode="External"/><Relationship Id="rId71" Type="http://schemas.openxmlformats.org/officeDocument/2006/relationships/hyperlink" Target="http://www.nevo.co.il/case/22303637" TargetMode="External"/><Relationship Id="rId72" Type="http://schemas.openxmlformats.org/officeDocument/2006/relationships/hyperlink" Target="http://www.nevo.co.il/case/7697245" TargetMode="External"/><Relationship Id="rId73" Type="http://schemas.openxmlformats.org/officeDocument/2006/relationships/hyperlink" Target="http://www.nevo.co.il/case/2496929" TargetMode="External"/><Relationship Id="rId74" Type="http://schemas.openxmlformats.org/officeDocument/2006/relationships/hyperlink" Target="http://www.nevo.co.il/case/6189925" TargetMode="External"/><Relationship Id="rId75" Type="http://schemas.openxmlformats.org/officeDocument/2006/relationships/hyperlink" Target="http://www.nevo.co.il/case/27980952" TargetMode="External"/><Relationship Id="rId76" Type="http://schemas.openxmlformats.org/officeDocument/2006/relationships/hyperlink" Target="http://www.nevo.co.il/case/27980952" TargetMode="External"/><Relationship Id="rId77" Type="http://schemas.openxmlformats.org/officeDocument/2006/relationships/hyperlink" Target="http://www.nevo.co.il/case/26830322" TargetMode="External"/><Relationship Id="rId78" Type="http://schemas.openxmlformats.org/officeDocument/2006/relationships/hyperlink" Target="http://www.nevo.co.il/case/24156665" TargetMode="External"/><Relationship Id="rId79" Type="http://schemas.openxmlformats.org/officeDocument/2006/relationships/hyperlink" Target="http://www.nevo.co.il/law/98569/10a" TargetMode="External"/><Relationship Id="rId80" Type="http://schemas.openxmlformats.org/officeDocument/2006/relationships/hyperlink" Target="http://www.nevo.co.il/case/28092428" TargetMode="External"/><Relationship Id="rId81" Type="http://schemas.openxmlformats.org/officeDocument/2006/relationships/hyperlink" Target="http://www.nevo.co.il/case/18119169" TargetMode="External"/><Relationship Id="rId82" Type="http://schemas.openxmlformats.org/officeDocument/2006/relationships/hyperlink" Target="http://www.nevo.co.il/case/26938540" TargetMode="External"/><Relationship Id="rId83" Type="http://schemas.openxmlformats.org/officeDocument/2006/relationships/hyperlink" Target="http://www.nevo.co.il/case/26938540" TargetMode="External"/><Relationship Id="rId84" Type="http://schemas.openxmlformats.org/officeDocument/2006/relationships/hyperlink" Target="http://www.nevo.co.il/case/21482465" TargetMode="External"/><Relationship Id="rId85" Type="http://schemas.openxmlformats.org/officeDocument/2006/relationships/hyperlink" Target="http://www.nevo.co.il/case/5810781" TargetMode="External"/><Relationship Id="rId86" Type="http://schemas.openxmlformats.org/officeDocument/2006/relationships/hyperlink" Target="http://www.nevo.co.il/case/6062217" TargetMode="External"/><Relationship Id="rId87" Type="http://schemas.openxmlformats.org/officeDocument/2006/relationships/hyperlink" Target="http://www.nevo.co.il/law/70301/40f" TargetMode="External"/><Relationship Id="rId88" Type="http://schemas.openxmlformats.org/officeDocument/2006/relationships/hyperlink" Target="http://www.nevo.co.il/law/70301/40g" TargetMode="External"/><Relationship Id="rId89" Type="http://schemas.openxmlformats.org/officeDocument/2006/relationships/hyperlink" Target="http://www.nevo.co.il/law/70301/40i.a.4" TargetMode="External"/><Relationship Id="rId90" Type="http://schemas.openxmlformats.org/officeDocument/2006/relationships/hyperlink" Target="http://www.nevo.co.il/law/70301/40ja.4" TargetMode="External"/><Relationship Id="rId91" Type="http://schemas.openxmlformats.org/officeDocument/2006/relationships/hyperlink" Target="http://www.nevo.co.il/case/26938540" TargetMode="External"/><Relationship Id="rId92" Type="http://schemas.openxmlformats.org/officeDocument/2006/relationships/hyperlink" Target="http://www.nevo.co.il/case/27980952" TargetMode="External"/><Relationship Id="rId93" Type="http://schemas.openxmlformats.org/officeDocument/2006/relationships/hyperlink" Target="https://supreme.court.gov.il/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2022-08-22T09:16:00Z</dcterms:created>
  <dc:creator>h4</dc:creator>
  <dc:description/>
  <cp:keywords/>
  <dc:language>en-IL</dc:language>
  <cp:lastModifiedBy>hofit</cp:lastModifiedBy>
  <cp:lastPrinted>2022-08-21T09:32:00Z</cp:lastPrinted>
  <dcterms:modified xsi:type="dcterms:W3CDTF">2022-08-22T09:16:00Z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LISTTMP1">
    <vt:lpwstr>48975</vt:lpwstr>
  </property>
  <property fmtid="{D5CDD505-2E9C-101B-9397-08002B2CF9AE}" pid="5" name="CASESLISTTMP1">
    <vt:lpwstr>21477271;5993495;13104263;6217119;17935962;5832812:4;6248755;25550812;22636469;6129410:5;26803858;26544661:2;26964729;25788262;20982179;22303637:3;13055235;5583846;6247531;18742532;6246452;6246840;5739234;7697245;2496929;6189925;27980952:3;26830322</vt:lpwstr>
  </property>
  <property fmtid="{D5CDD505-2E9C-101B-9397-08002B2CF9AE}" pid="6" name="CASESLISTTMP2">
    <vt:lpwstr>24156665;28092428;18119169;26938540:3;21482465;5810781;6062217</vt:lpwstr>
  </property>
  <property fmtid="{D5CDD505-2E9C-101B-9397-08002B2CF9AE}" pid="7" name="DATE">
    <vt:lpwstr>20220821</vt:lpwstr>
  </property>
  <property fmtid="{D5CDD505-2E9C-101B-9397-08002B2CF9AE}" pid="8" name="ISABSTRACT">
    <vt:lpwstr>Y</vt:lpwstr>
  </property>
  <property fmtid="{D5CDD505-2E9C-101B-9397-08002B2CF9AE}" pid="9" name="JUDGE">
    <vt:lpwstr>ע' ברון;ע' גרוסקופף;ח' כבוב</vt:lpwstr>
  </property>
  <property fmtid="{D5CDD505-2E9C-101B-9397-08002B2CF9AE}" pid="10" name="LAWLISTTMP1">
    <vt:lpwstr>70301/351.c.2:2;348.b:2;345.b.1:2;345.a.1:2;192:2;040f;040g;040i.a.4;40ja.4</vt:lpwstr>
  </property>
  <property fmtid="{D5CDD505-2E9C-101B-9397-08002B2CF9AE}" pid="11" name="LAWLISTTMP2">
    <vt:lpwstr>98569/010a:2</vt:lpwstr>
  </property>
  <property fmtid="{D5CDD505-2E9C-101B-9397-08002B2CF9AE}" pid="12" name="LAWLISTTMP3">
    <vt:lpwstr>74903/085.4;151</vt:lpwstr>
  </property>
  <property fmtid="{D5CDD505-2E9C-101B-9397-08002B2CF9AE}" pid="13" name="LAWYER">
    <vt:lpwstr>ארז בן ארויה;וסאם עראף</vt:lpwstr>
  </property>
  <property fmtid="{D5CDD505-2E9C-101B-9397-08002B2CF9AE}" pid="14" name="METAKZER">
    <vt:lpwstr>פאני</vt:lpwstr>
  </property>
  <property fmtid="{D5CDD505-2E9C-101B-9397-08002B2CF9AE}" pid="15" name="NOSE11">
    <vt:lpwstr>דיון פלילי</vt:lpwstr>
  </property>
  <property fmtid="{D5CDD505-2E9C-101B-9397-08002B2CF9AE}" pid="16" name="NOSE12">
    <vt:lpwstr>דיון פלילי</vt:lpwstr>
  </property>
  <property fmtid="{D5CDD505-2E9C-101B-9397-08002B2CF9AE}" pid="17" name="NOSE13">
    <vt:lpwstr>ראיות</vt:lpwstr>
  </property>
  <property fmtid="{D5CDD505-2E9C-101B-9397-08002B2CF9AE}" pid="18" name="NOSE14">
    <vt:lpwstr>ראיות</vt:lpwstr>
  </property>
  <property fmtid="{D5CDD505-2E9C-101B-9397-08002B2CF9AE}" pid="19" name="NOSE15">
    <vt:lpwstr>עונשין</vt:lpwstr>
  </property>
  <property fmtid="{D5CDD505-2E9C-101B-9397-08002B2CF9AE}" pid="20" name="NOSE16">
    <vt:lpwstr>עונשין</vt:lpwstr>
  </property>
  <property fmtid="{D5CDD505-2E9C-101B-9397-08002B2CF9AE}" pid="21" name="NOSE1ID">
    <vt:lpwstr>18;18;89;89;77;77</vt:lpwstr>
  </property>
  <property fmtid="{D5CDD505-2E9C-101B-9397-08002B2CF9AE}" pid="22" name="NOSE21">
    <vt:lpwstr>כתב-אישום</vt:lpwstr>
  </property>
  <property fmtid="{D5CDD505-2E9C-101B-9397-08002B2CF9AE}" pid="23" name="NOSE22">
    <vt:lpwstr>ערעור</vt:lpwstr>
  </property>
  <property fmtid="{D5CDD505-2E9C-101B-9397-08002B2CF9AE}" pid="24" name="NOSE23">
    <vt:lpwstr>עדות</vt:lpwstr>
  </property>
  <property fmtid="{D5CDD505-2E9C-101B-9397-08002B2CF9AE}" pid="25" name="NOSE24">
    <vt:lpwstr>מהימנות</vt:lpwstr>
  </property>
  <property fmtid="{D5CDD505-2E9C-101B-9397-08002B2CF9AE}" pid="26" name="NOSE25">
    <vt:lpwstr>ענישה</vt:lpwstr>
  </property>
  <property fmtid="{D5CDD505-2E9C-101B-9397-08002B2CF9AE}" pid="27" name="NOSE26">
    <vt:lpwstr>ענישה</vt:lpwstr>
  </property>
  <property fmtid="{D5CDD505-2E9C-101B-9397-08002B2CF9AE}" pid="28" name="NOSE2ID">
    <vt:lpwstr>482;504;1654;1635;1446;1446</vt:lpwstr>
  </property>
  <property fmtid="{D5CDD505-2E9C-101B-9397-08002B2CF9AE}" pid="29" name="NOSE31">
    <vt:lpwstr>ניסוחו</vt:lpwstr>
  </property>
  <property fmtid="{D5CDD505-2E9C-101B-9397-08002B2CF9AE}" pid="30" name="NOSE32">
    <vt:lpwstr>אי-התערבות בממצאים עובדתיים</vt:lpwstr>
  </property>
  <property fmtid="{D5CDD505-2E9C-101B-9397-08002B2CF9AE}" pid="31" name="NOSE33">
    <vt:lpwstr>קורבן עבירת מין</vt:lpwstr>
  </property>
  <property fmtid="{D5CDD505-2E9C-101B-9397-08002B2CF9AE}" pid="32" name="NOSE34">
    <vt:lpwstr>סתירות</vt:lpwstr>
  </property>
  <property fmtid="{D5CDD505-2E9C-101B-9397-08002B2CF9AE}" pid="33" name="NOSE35">
    <vt:lpwstr>מדיניות ענישה: עבירות מין במשפחה</vt:lpwstr>
  </property>
  <property fmtid="{D5CDD505-2E9C-101B-9397-08002B2CF9AE}" pid="34" name="NOSE36">
    <vt:lpwstr>מדיניות ענישה: עבירות מין בקטינים</vt:lpwstr>
  </property>
  <property fmtid="{D5CDD505-2E9C-101B-9397-08002B2CF9AE}" pid="35" name="NOSE3ID">
    <vt:lpwstr>3725;3849;12270;16884;16241;16970</vt:lpwstr>
  </property>
  <property fmtid="{D5CDD505-2E9C-101B-9397-08002B2CF9AE}" pid="36" name="PADIDATE">
    <vt:lpwstr>20220822</vt:lpwstr>
  </property>
  <property fmtid="{D5CDD505-2E9C-101B-9397-08002B2CF9AE}" pid="37" name="PADIMAIL">
    <vt:lpwstr>YES</vt:lpwstr>
  </property>
  <property fmtid="{D5CDD505-2E9C-101B-9397-08002B2CF9AE}" pid="38" name="PROCESS">
    <vt:lpwstr>עפ</vt:lpwstr>
  </property>
  <property fmtid="{D5CDD505-2E9C-101B-9397-08002B2CF9AE}" pid="39" name="PROCNUM">
    <vt:lpwstr>2647</vt:lpwstr>
  </property>
  <property fmtid="{D5CDD505-2E9C-101B-9397-08002B2CF9AE}" pid="40" name="PROCYEAR">
    <vt:lpwstr>21</vt:lpwstr>
  </property>
  <property fmtid="{D5CDD505-2E9C-101B-9397-08002B2CF9AE}" pid="41" name="PSAKDIN">
    <vt:lpwstr>פסק-דין</vt:lpwstr>
  </property>
  <property fmtid="{D5CDD505-2E9C-101B-9397-08002B2CF9AE}" pid="42" name="TYPE">
    <vt:lpwstr>1</vt:lpwstr>
  </property>
  <property fmtid="{D5CDD505-2E9C-101B-9397-08002B2CF9AE}" pid="43" name="TYPE_ABS_DATE">
    <vt:lpwstr>410020220821</vt:lpwstr>
  </property>
  <property fmtid="{D5CDD505-2E9C-101B-9397-08002B2CF9AE}" pid="44" name="TYPE_N_DATE">
    <vt:lpwstr>41020220821</vt:lpwstr>
  </property>
  <property fmtid="{D5CDD505-2E9C-101B-9397-08002B2CF9AE}" pid="45" name="WORDNUMPAGES">
    <vt:lpwstr>20</vt:lpwstr>
  </property>
</Properties>
</file>