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2649/21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סילברה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עא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3868-05-14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3.3.2021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וינברג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נוטוביץ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14.12.2023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ברגמן</w:t>
            </w:r>
          </w:p>
          <w:p>
            <w:pPr>
              <w:pStyle w:val="BodyRuller1"/>
              <w:tabs>
                <w:tab w:val="clear" w:pos="720"/>
                <w:tab w:val="left" w:pos="1127" w:leader="none"/>
              </w:tabs>
              <w:ind w:end="0"/>
              <w:jc w:val="start"/>
              <w:rPr/>
            </w:pPr>
            <w:r>
              <w:rPr>
                <w:rtl w:val="true"/>
              </w:rPr>
              <w:tab/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בלפור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3-2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טובבין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תקרת הפיצוי לנפגע עברה בהליך הפלילי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מאזני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221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הליכים שלפני משפ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8" w:name="Links_End"/>
      <w:bookmarkStart w:id="9" w:name="Links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awTable"/>
      <w:bookmarkEnd w:id="10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153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3" w:name="ABSTRACT_START"/>
      <w:bookmarkEnd w:id="13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בשלוש עבירות של רצח באדישות ושלוש עבירות של גרימת חבלה חמורה בנסיבות מחמירות בגינן הוטל עליו עונש של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פיצוי על סך </w:t>
      </w:r>
      <w:r>
        <w:rPr>
          <w:rFonts w:cs="Times New Roman" w:ascii="Times New Roman" w:hAnsi="Times New Roman"/>
          <w:spacing w:val="0"/>
          <w:szCs w:val="26"/>
        </w:rPr>
        <w:t>40,000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ש״ח עבור כל אחד מהפצועים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200,00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לכל אחת ממשפחות המנוחים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רק שאין בעונש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סטייה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בתוצאה עונשית מקלה עד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הרפורמה בעבירות ההמתה משקפת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 – מהותית ערכית ועונשית בענישה במקרה של 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רצח באדישות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אחדות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הודאה – חזרה מהודאה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בשלוש עבירות של רצח באדישות ושלוש עבירות של גרימת חבלה חמורה בנסיבות מחמירות בגינן הוטל עליו עונש של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פיצוי על סך </w:t>
      </w:r>
      <w:r>
        <w:rPr>
          <w:rFonts w:cs="Times New Roman" w:ascii="Times New Roman" w:hAnsi="Times New Roman"/>
          <w:spacing w:val="0"/>
          <w:szCs w:val="26"/>
        </w:rPr>
        <w:t>40,000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ש״ח עבור כל אחד מהפצועים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200,00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לכל אחת ממשפחות המנוחים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נסוב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כישלון שותפותו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העסקית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תכנן להגיע לבית הקפה של יריבו מצויד בחומר דליק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שניים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ובהגיעו למקום שפך את החומר הדליק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כתוצאה ממעשי המערער האש שפרצה אחזה בגופם של </w:t>
      </w:r>
      <w:r>
        <w:rPr>
          <w:rFonts w:ascii="Times New Roman" w:hAnsi="Times New Roman" w:cs="Times New Roman"/>
          <w:spacing w:val="0"/>
          <w:szCs w:val="26"/>
          <w:rtl w:val="true"/>
        </w:rPr>
        <w:t>שלושה אנשים ש</w:t>
      </w:r>
      <w:r>
        <w:rPr>
          <w:rFonts w:ascii="Times New Roman" w:hAnsi="Times New Roman" w:cs="Times New Roman"/>
          <w:spacing w:val="0"/>
          <w:szCs w:val="26"/>
          <w:rtl w:val="true"/>
        </w:rPr>
        <w:t>שיחקו לתומם בבית קפה ובכך מצאו את מותם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נגרמו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כוויות נרחבות על גופם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שותפיו למעשה הורשעו במסגרת הסדרי טיעון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כללו הסכמות לעניין 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ריבוי עבירות של המתה בקלות דעת וגרימת חבלה חמורה בנסיבות מחמירות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 עליהם עונש של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לצד ענישה נלווית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למשפחות המנוחים בסך כולל של </w:t>
      </w:r>
      <w:r>
        <w:rPr>
          <w:rFonts w:cs="Times New Roman" w:ascii="Times New Roman" w:hAnsi="Times New Roman"/>
          <w:spacing w:val="0"/>
          <w:szCs w:val="26"/>
        </w:rPr>
        <w:t>80,000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הנוגע </w:t>
      </w:r>
      <w:r>
        <w:rPr>
          <w:rFonts w:ascii="Times New Roman" w:hAnsi="Times New Roman" w:cs="Times New Roman"/>
          <w:spacing w:val="0"/>
          <w:szCs w:val="26"/>
          <w:rtl w:val="true"/>
        </w:rPr>
        <w:t>לבקשת המערער לחזור בו מהודאתו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אותה הביע בדיון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153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קובע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 להיעתר לבקשה לחזרה מהודאה מ״נימוקים מיוחדים שיירשמו״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סמכות זו מתפרשת על כל שלבי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בשלב הערעור תתאפשר חזרה מהודאה רק בנסיבות חריגות ונדירות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כשהנאשם לא הודה באופן חופשי ומרצון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הבין את משמעות 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וכשנפל כשל בייצוגו העולה לכדי עיוות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מהותי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נבחן מניע הנאשם בבקשתו – האם מדובר ברצון כן ואמיתי לחזור מהודאת שווא או במהלך טקטי שנועד לגרוף תועלת משפטית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ישנה חשיבות לעיתוי הבקשה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והעלאתה רק בשלב הערעור מהווה טעם משמעותי לדחותה נוכח החשש כי היא נובעת מאכזבת הנאשם מעונשו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חקירת העדים ושמיעת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ובעקבות שיח ממושך עם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בחר להודות במיוחס לו בהסדר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הודאה זו ניתנה באופן חופשי ומרצון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שהמערער הבין את תוכנה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 בשלב הערעור על גזר 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העלה את בקשתו תוך שהוא טוען כי הודה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דבר שלא היה ולא נברא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ומלין על ייצוגו המשפטי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פגם בייצוגו המשפטי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פגם שבכוחו להצדיק חזרה מהודאה – אין בנמצא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מתעורר אפוא חשד ממשי כי בקשת המערער נובעת מאכזבתו מהעונש שהושת עליו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ולכן </w:t>
      </w:r>
      <w:r>
        <w:rPr>
          <w:rFonts w:ascii="Times New Roman" w:hAnsi="Times New Roman" w:cs="Times New Roman"/>
          <w:spacing w:val="0"/>
          <w:szCs w:val="26"/>
          <w:rtl w:val="true"/>
        </w:rPr>
        <w:t>דין הבקשה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מכאן לערעור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ייטה שלא להתערב בעונש שהושת על ידי הערכאה הדיונית אלא במקרים 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של המערער אינו נמנה עם מקרים חריגים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בשלוש עבירות של גרימת חבלה חמורה בנסיבות מחמירות ושלוש עבירות רצח ביסוד נפשי של 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יצרה מדרג חדש של עבירות אשר נועד לבטא את חומרת מעשי ההמתה השונים ועיקרון האשמה של מבצעיהן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ובהתאמה את העונש ההולם שיש לקבוע בצדן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במדרג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מעשה המתה ביסוד נפשי של אדישות חוסה תחת עבירת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>" (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חמורה ממנה רק עבירת הרצח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2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מיקומו עובר לרפורמה תחת עבירת 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 ביקש לבטא את החומרה הרבה שייחס למעשה ההמתה ביסוד נפשי של אדישות ולמידת האשם של מבצעו באמצעות ״תיוגו כ׳רוצח׳ על כל המשתמע מכך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׳אות הקין׳ שיישא בעקבות מעשיו״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הוחמר גם העונש הקבוע בצד עבירה זו – מעונש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כעונש מרבי טרם הרפורמה למאסר עולם כעונש מרבי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הרפורמה בעבירות ההמתה משקפת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 – מהותית ערכית ועונשית בענישה במקרה של 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רציחת המנוחים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הכוויות המשמעותיות שנגרמו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אנשים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 עליו עונש של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כי תוצאה עונשית זו אינה מקימה כל עילה להתערבות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מקלה עד מאוד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במישור העקרוני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וטעם כי מעשה המתה באמצעות הצתה עשוי להיכנס אף בגדרי העבירה החמורה ביותר בספר החוקים – 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כאשר הרצח נעשה ביסוד נפשי של 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נסיבה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פיה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בוצע תוך יצירת סכנה ממשית לחייו של אדם אחר נוסף על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לאורך הליך החקיקה של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היווה מעשה ההצתה דוגמה טיפוסית למקרה שבו נגרמת סכנה ממשית לחיי אדם נוספים נוסף על קורבן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במקרים שבהם מעשה המתה באמצעות הצתה נכנס בגדרי נסיבה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הממית יהא עונש מאסר עולם כעונש חובה – אף אם פעל ביסוד נפשי של 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מצא ממש גם בטענותיו באשר לפער בענישה בינו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שותפיו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 האחידות בענישה מהווה נדבך משמעותי בגזירת העונש ונועד להבטיח שוויון בפני החוק ולמנוע שרירותיות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מורנו כי ראוי להחיל שיקולי ענישה דומים על מקרים דומים מבחינת סוג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אופיין והנסיבות האישיות של הנאשמים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עסקינן באותה פרשה 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חשיבותו של עיקרון זה מוגברת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מחייב כי היחס בין העונש שנגזר על המעורבים ישקף את חומרת השתתפותם היחסית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דנא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עיקרון האחידות בענישה לא הופר כלל ועיקר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הטעים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חלקו היחסי של המערער בפרשה גדול באופן משמעותי מחלקם של </w:t>
      </w:r>
      <w:r>
        <w:rPr>
          <w:rFonts w:ascii="Times New Roman" w:hAnsi="Times New Roman" w:cs="Times New Roman"/>
          <w:spacing w:val="0"/>
          <w:szCs w:val="26"/>
          <w:rtl w:val="true"/>
        </w:rPr>
        <w:t>שותפיו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וניכר הן מהיותו בעל המניע להתרחשותה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מהמעשים האקטיביים שביצע במהלכה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בכללם יצירת הסיכון הקונקרטי בשפיכת החומר הדליק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חלקם השונה של המעורבים בפרשה בא לידי ביטוי גם בהרשעתם בעבירות שונות אשר נעשתה על יסוד הודאתם בהסדרי הטיעון – המערער ברצח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בסיסי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ביסוד נפשי של אדישות </w:t>
      </w:r>
      <w:r>
        <w:rPr>
          <w:rFonts w:ascii="Times New Roman" w:hAnsi="Times New Roman" w:cs="Times New Roman"/>
          <w:spacing w:val="0"/>
          <w:szCs w:val="26"/>
          <w:rtl w:val="true"/>
        </w:rPr>
        <w:t>והאחרים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בצדן של עבירות אלה קבע המחוקק מלכתחילה עונשים שונים המצדיקים פער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פער זה מוצדק בענייננו ביתר שאת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ההסכמות השונות אליהן הגיעו הצדדים לעניין העונש בהסדרי הטיעון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בעניינם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אחרים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הסכימו הצדדים כי השניים ירצו עונש של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שכל שהוסכם בעניין המערער הוא שהמדינה תעתור לעונש של שלושה מאסרי עולם לריצוי בחופף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הסכמות אלה מתבססות גם על הנסיבות האישיות השונות של המעורבים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Cs w:val="26"/>
          <w:rtl w:val="true"/>
        </w:rPr>
        <w:t>היקף הפיצוי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נקודת המוצא היא שאין להתערב בשיקול דעתה של הערכאה הדיונית בקביעת הפיצוי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במקרים יוצאי דופן בהם חרגה באופן קיצוני משיעור הפיצוי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פיצוי מכוח </w:t>
      </w:r>
      <w:hyperlink r:id="rId2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77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נועד ליתן מזור לנפגעי העבירה על הכאב והסבל שסבלו בעטיה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תקרת הפיצוי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הקבועה אף היא בסעיף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נועדה בעיקרה לאזן בין מטרה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שהיא אזרחית במהותה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המגבלות הנובעות ממימושה בהליך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לאורך השנים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 העלה את תקרת הפיצוי פעמים מספר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המדגיש את הצורך כי הפיצוי ייתן מענה ממשי לנזק של 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ודגש כי לצד המטרה האזרחית בבסיסו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הפיצוי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נושא בחוּבּוֹ גם היבטים עונשיים וחברתיים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הפיצוי שנפסק לחובת המערער ראוי בנסיבות העניין נוכח רצח המנוחים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בגינם הורשע בשלושה מעשי רצח נפרדים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והחבלות החמורות שגרם לשלושת הפצועים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אף נמוך מהתקרה הקבועה 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77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ופירושה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ה</w:t>
      </w:r>
      <w:r>
        <w:rPr>
          <w:rFonts w:ascii="Times New Roman" w:hAnsi="Times New Roman" w:cs="Times New Roman"/>
          <w:spacing w:val="0"/>
          <w:szCs w:val="26"/>
          <w:rtl w:val="true"/>
        </w:rPr>
        <w:t>ודגש כי תקרת הפיצוי אשר היה ניתן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עקרוני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לגזור על המערער אינה מושפעת מקביעת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כי גם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השניים האחרים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יפצו את משפחות המנוחים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לחייב כל אדם שהורשע בפיצוי עד לתקרה הקבועה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סוף 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שאין בעונש אשר נגזר על המערער סטייה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בתוצאה עונשית מקלה עד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יצחק סילברה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הורשע בשלוש עבירות של רצח באדישות ושלוש עבירות של גרימת חבלה חמורה בנסיבות מחמירות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דותן</w:t>
      </w:r>
      <w:r>
        <w:rPr>
          <w:rFonts w:ascii="Century" w:hAnsi="Century" w:cs="Century"/>
          <w:sz w:val="22"/>
          <w:sz w:val="22"/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וינברג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נוטוביץ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3.3.2021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3868-05-14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נגזר עליו עונש של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לצד ענישה נלווית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הערעור נסוב על חומרת העונש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ו</w:t>
      </w:r>
      <w:r>
        <w:rPr>
          <w:rtl w:val="true"/>
        </w:rPr>
        <w:t>-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הפעילו שני בתי קפה סמוכים זה לזה בעיר רמלה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בבתי הקפה התקיימו משחקי קלפים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והמערער ו</w:t>
      </w:r>
      <w:r>
        <w:rPr>
          <w:rFonts w:cs="Century" w:ascii="Century" w:hAnsi="Century"/>
          <w:sz w:val="22"/>
          <w:rtl w:val="true"/>
        </w:rPr>
        <w:t>-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ascii="Century" w:hAnsi="Century" w:cs="Century"/>
          <w:sz w:val="22"/>
          <w:sz w:val="22"/>
          <w:rtl w:val="true"/>
        </w:rPr>
        <w:t xml:space="preserve"> קיבלו כסף מהמשתתפים בהם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בשלהי חודש מרץ 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המערער ועא</w:t>
      </w:r>
      <w:r>
        <w:rPr>
          <w:rtl w:val="true"/>
        </w:rPr>
        <w:t>"</w:t>
      </w:r>
      <w:r>
        <w:rPr>
          <w:rtl w:val="true"/>
        </w:rPr>
        <w:t>ק החליטו לאחד את עסקיהם ולהפעיל יחדיו את בית הקפה של המערער</w:t>
      </w:r>
      <w:r>
        <w:rPr>
          <w:rtl w:val="true"/>
        </w:rPr>
        <w:t xml:space="preserve">. </w:t>
      </w: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7.4.2014</w:t>
      </w:r>
      <w:r>
        <w:rPr>
          <w:rtl w:val="true"/>
        </w:rPr>
        <w:t xml:space="preserve">, 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 xml:space="preserve">ק החליט לחזור ולהפעיל את בית הקפה שלו לבדו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הקפה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ועשה כן כבר למחרת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8.4.2014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ביום פתיחת בית הקפה תכננו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בנו </w:t>
      </w:r>
      <w:r>
        <w:rPr>
          <w:rtl w:val="true"/>
        </w:rPr>
        <w:t>–</w:t>
      </w:r>
      <w:r>
        <w:rPr>
          <w:rtl w:val="true"/>
        </w:rPr>
        <w:t xml:space="preserve"> ויקטור סילברה</w:t>
      </w:r>
      <w:r>
        <w:rPr>
          <w:rtl w:val="true"/>
        </w:rPr>
        <w:t xml:space="preserve">, </w:t>
      </w:r>
      <w:r>
        <w:rPr>
          <w:rtl w:val="true"/>
        </w:rPr>
        <w:t xml:space="preserve">וחברו של בנו </w:t>
      </w:r>
      <w:r>
        <w:rPr>
          <w:rtl w:val="true"/>
        </w:rPr>
        <w:t>–</w:t>
      </w:r>
      <w:r>
        <w:rPr>
          <w:rtl w:val="true"/>
        </w:rPr>
        <w:t xml:space="preserve"> ידידיה אלואשוילי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ויקטור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אלואשוילי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להגיע לבית הקפה כשהם נושאים עימם בקבוקי דלק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>הצטיידו כל אחד בבקבוקי פלסטיק בגודל ליטר וחצי המלאים בחומר דליק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בליל פתיחתו המחודשת של בית הקפה של עא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ויקטור ואלואשוילי נכנסו לבית הקפה כשכל אחד מהם נושא בידיו באחד מבקבוקי הדלק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בבית הקפה חדר חיצוני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החיצוני</w:t>
      </w:r>
      <w:r>
        <w:rPr>
          <w:rtl w:val="true"/>
        </w:rPr>
        <w:t xml:space="preserve">), </w:t>
      </w:r>
      <w:r>
        <w:rPr>
          <w:rtl w:val="true"/>
        </w:rPr>
        <w:t xml:space="preserve">ממנו כניסה צרה המובילה לחדר פנימי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הפנימי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בחדר החיצוני שהו באותה עת עא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ע ו</w:t>
      </w:r>
      <w:r>
        <w:rPr>
          <w:rtl w:val="true"/>
        </w:rPr>
        <w:t>-</w:t>
      </w:r>
      <w:r>
        <w:rPr>
          <w:rtl w:val="true"/>
        </w:rPr>
        <w:t>פא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בחדר הפנימי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שיחקו בקלפים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ונמצאה בו גם המלצרית 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ס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cs="Century"/>
          <w:sz w:val="22"/>
          <w:sz w:val="22"/>
          <w:rtl w:val="true"/>
        </w:rPr>
        <w:t xml:space="preserve">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המערער החל להתיז את החומר הדליק מבקבוקי הדלק בחדר החיצוני </w:t>
      </w:r>
      <w:r>
        <w:rPr>
          <w:rtl w:val="true"/>
        </w:rPr>
        <w:t>–</w:t>
      </w:r>
      <w:r>
        <w:rPr>
          <w:rtl w:val="true"/>
        </w:rPr>
        <w:t xml:space="preserve"> על השולחן אשר סביבו ישבו עא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ע ו</w:t>
      </w:r>
      <w:r>
        <w:rPr>
          <w:rtl w:val="true"/>
        </w:rPr>
        <w:t>-</w:t>
      </w:r>
      <w:r>
        <w:rPr>
          <w:rtl w:val="true"/>
        </w:rPr>
        <w:t>פא</w:t>
      </w:r>
      <w:r>
        <w:rPr>
          <w:rtl w:val="true"/>
        </w:rPr>
        <w:t>"</w:t>
      </w:r>
      <w:r>
        <w:rPr>
          <w:rtl w:val="true"/>
        </w:rPr>
        <w:t>י וכן על הרצפה והקירות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ויקטור ואלואשוילי נכנסו לחדר הפנימי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 ו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 נעמדו בקרבת היציאה מהחדר</w:t>
      </w:r>
      <w:r>
        <w:rPr>
          <w:rtl w:val="true"/>
        </w:rPr>
        <w:t xml:space="preserve">, </w:t>
      </w:r>
      <w:r>
        <w:rPr>
          <w:rtl w:val="true"/>
        </w:rPr>
        <w:t>בעוד ש</w:t>
      </w:r>
      <w:r>
        <w:rPr>
          <w:rtl w:val="true"/>
        </w:rPr>
        <w:t>"</w:t>
      </w:r>
      <w:r>
        <w:rPr>
          <w:rtl w:val="true"/>
        </w:rPr>
        <w:t>ח נמלט מהמקום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צעק לעבר הנוכחים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לסילברה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מילים דומות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חזר לחדר החיצוני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שלף סכין והניף אותה לעבר הנוכחים בתנועת איום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בשלב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ויקטור ואלואשוילי עמדו באופן שחסם בפועל את היציאה מהחדר הפנימי עבור 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בדרך שאינה ידועה למשיבה</w:t>
      </w:r>
      <w:r>
        <w:rPr>
          <w:rtl w:val="true"/>
        </w:rPr>
        <w:t xml:space="preserve">, </w:t>
      </w:r>
      <w:r>
        <w:rPr>
          <w:rtl w:val="true"/>
        </w:rPr>
        <w:t>פרצה אש בבית הקפה</w:t>
      </w:r>
      <w:r>
        <w:rPr>
          <w:rtl w:val="true"/>
        </w:rPr>
        <w:t xml:space="preserve">. </w:t>
      </w:r>
      <w:r>
        <w:rPr>
          <w:rtl w:val="true"/>
        </w:rPr>
        <w:t>כתוצאה ממעשיהם של המערער ויקטור ואלואשוילי האש אחזה בגופם של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ו</w:t>
      </w:r>
      <w:r>
        <w:rPr>
          <w:rtl w:val="true"/>
        </w:rPr>
        <w:t>-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אשר ניסתה להימלט מהמקום</w:t>
      </w:r>
      <w:r>
        <w:rPr>
          <w:rtl w:val="true"/>
        </w:rPr>
        <w:t xml:space="preserve">, </w:t>
      </w:r>
      <w:r>
        <w:rPr>
          <w:rtl w:val="true"/>
        </w:rPr>
        <w:t>החליקה על החומר הדליק שהיה על רצפת החדר החיצוני והאש אחזה גם בגופה</w:t>
      </w:r>
      <w:r>
        <w:rPr>
          <w:rtl w:val="true"/>
        </w:rPr>
        <w:t xml:space="preserve">. </w:t>
      </w:r>
      <w:r>
        <w:rPr>
          <w:rtl w:val="true"/>
        </w:rPr>
        <w:t>גם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וב</w:t>
      </w:r>
      <w:r>
        <w:rPr>
          <w:rtl w:val="true"/>
        </w:rPr>
        <w:t>-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>ק אחזה האש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ויקטור ואלואשוילי נפגעו אף הם מהאש ונמלטו מבית הקפה מבלי שהזעיקו עזרה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נסעו לבית חולים</w:t>
      </w:r>
      <w:r>
        <w:rPr>
          <w:rtl w:val="true"/>
        </w:rPr>
        <w:t xml:space="preserve">, </w:t>
      </w:r>
      <w:r>
        <w:rPr>
          <w:rtl w:val="true"/>
        </w:rPr>
        <w:t>שם אושפזו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ו</w:t>
      </w:r>
      <w:r>
        <w:rPr>
          <w:rtl w:val="true"/>
        </w:rPr>
        <w:t>-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א נפטרו </w:t>
      </w:r>
      <w:r>
        <w:rPr>
          <w:rtl w:val="true"/>
        </w:rPr>
        <w:t>(</w:t>
      </w:r>
      <w:r>
        <w:rPr>
          <w:rtl w:val="true"/>
        </w:rPr>
        <w:t>להלן 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המנוחים</w:t>
      </w:r>
      <w:r>
        <w:rPr>
          <w:rtl w:val="true"/>
        </w:rPr>
        <w:t xml:space="preserve">), </w:t>
      </w:r>
      <w:r>
        <w:rPr>
          <w:rtl w:val="true"/>
        </w:rPr>
        <w:t>לאחר שסבלו מכוויות בחלקים נרחבים בגופם</w:t>
      </w:r>
      <w:r>
        <w:rPr>
          <w:rtl w:val="true"/>
        </w:rPr>
        <w:t xml:space="preserve">;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 xml:space="preserve">ס נפגעה ואושפזה בבית חולים כשהיא סובלת מכוויות בדרגות </w:t>
      </w:r>
      <w:r>
        <w:rPr/>
        <w:t>3-2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אושפז בבית חולים בעודו סובל מכוויות בידו</w:t>
      </w:r>
      <w:r>
        <w:rPr>
          <w:rtl w:val="true"/>
        </w:rPr>
        <w:t xml:space="preserve">, </w:t>
      </w:r>
      <w:r>
        <w:rPr>
          <w:rtl w:val="true"/>
        </w:rPr>
        <w:t xml:space="preserve">בפניו ובגבו התחתון בדרגה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>ק נפצע</w:t>
      </w:r>
      <w:r>
        <w:rPr>
          <w:rtl w:val="true"/>
        </w:rPr>
        <w:t xml:space="preserve">, </w:t>
      </w:r>
      <w:r>
        <w:rPr>
          <w:rtl w:val="true"/>
        </w:rPr>
        <w:t xml:space="preserve">נבדק וטופל בבית חולים כשהוא סובל מכוויות בדרגה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על פני ידיו ורגליו </w:t>
      </w:r>
      <w:r>
        <w:rPr>
          <w:rtl w:val="true"/>
        </w:rPr>
        <w:t>(</w:t>
      </w:r>
      <w:r>
        <w:rPr>
          <w:rtl w:val="true"/>
        </w:rPr>
        <w:t>להלן 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הפצועים</w:t>
      </w:r>
      <w:r>
        <w:rPr>
          <w:rtl w:val="true"/>
        </w:rPr>
        <w:t xml:space="preserve">). </w:t>
      </w: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>המערער וויקטור נפצעו באורח בינוני ואלואשוילי נפצע באורח קשה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 שלוש עבירות של רצח באדישות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ושלוש עבירות של גרימת חבלה חמורה בנסיבות מחמירות לפי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למען שלמות התמונה</w:t>
      </w:r>
      <w:r>
        <w:rPr>
          <w:rtl w:val="true"/>
        </w:rPr>
        <w:t xml:space="preserve">, </w:t>
      </w:r>
      <w:r>
        <w:rPr>
          <w:rtl w:val="true"/>
        </w:rPr>
        <w:t>יצוין כי גם נגד ויקטור ואלואשוילי הוגשו כתבי אישום מתוקנים</w:t>
      </w:r>
      <w:r>
        <w:rPr>
          <w:rtl w:val="true"/>
        </w:rPr>
        <w:t xml:space="preserve">, </w:t>
      </w:r>
      <w:r>
        <w:rPr>
          <w:rtl w:val="true"/>
        </w:rPr>
        <w:t xml:space="preserve">המייחסים להם ריבוי עבירות של המתה בקלות דעת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 וגרימת חבלה חמורה בנסיבות מחמירות לפי </w:t>
      </w:r>
      <w:hyperlink r:id="rId2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ההליך בעניינם התנהל יחד עם עניינו של המערער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והם הורשעו במיוחס להם על פי הודאתם במסגרת הסדרי טיעון אשר כללו הסכמות לעניין העונש</w:t>
      </w:r>
      <w:r>
        <w:rPr>
          <w:rtl w:val="true"/>
        </w:rPr>
        <w:t xml:space="preserve">. </w:t>
      </w:r>
      <w:r>
        <w:rPr>
          <w:rtl w:val="true"/>
        </w:rPr>
        <w:t xml:space="preserve">נגזר עליהם עונש של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בהתאם להסכמות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ופיצוי למשפחות המנוחים בסך כולל של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 xml:space="preserve">ראו בהרחבה בגזר הדין בעניינם מיום </w:t>
      </w:r>
      <w:r>
        <w:rPr/>
        <w:t>28.1.2020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ויקטור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ואלואשוילי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שמיעת ראיות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הושג הסדר טיעון במסגרתו המערער הודה בעבירות אשר יוחסו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עוד הוסכם</w:t>
      </w:r>
      <w:r>
        <w:rPr>
          <w:rtl w:val="true"/>
        </w:rPr>
        <w:t xml:space="preserve">, </w:t>
      </w:r>
      <w:r>
        <w:rPr>
          <w:rtl w:val="true"/>
        </w:rPr>
        <w:t xml:space="preserve">כי המשיבה תטען לעונש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מאסרי עולם לריצוי בחופף בעוד שהמערער יהיה חופשי בטיעוניו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בדיון שבמהלכו נשמעו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המערער אמר כי הוא </w:t>
      </w:r>
      <w:r>
        <w:rPr>
          <w:rtl w:val="true"/>
        </w:rPr>
        <w:t>"</w:t>
      </w:r>
      <w:r>
        <w:rPr>
          <w:rtl w:val="true"/>
        </w:rPr>
        <w:t>אינו מסכים לעסקה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אולם נסוג מאמירה זו בסמוך להעלאתה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3.2.2021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12-11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במהלך ההליך הוחלפו סנגוריו של המערער</w:t>
      </w:r>
      <w:r>
        <w:rPr>
          <w:rtl w:val="true"/>
        </w:rPr>
        <w:t xml:space="preserve">, </w:t>
      </w:r>
      <w:r>
        <w:rPr>
          <w:rtl w:val="true"/>
        </w:rPr>
        <w:t>לרוב על פי בקשתו</w:t>
      </w:r>
      <w:r>
        <w:rPr>
          <w:rtl w:val="true"/>
        </w:rPr>
        <w:t xml:space="preserve">. </w:t>
      </w:r>
      <w:r>
        <w:rPr>
          <w:rtl w:val="true"/>
        </w:rPr>
        <w:t>המערער אף נטל חלק פעיל במסגרת ההליך כאשר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חקר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קבע כי המערער פגע במידה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tl w:val="true"/>
        </w:rPr>
        <w:t xml:space="preserve"> בערכי קדושת חיי האדם והשמירה על שלמות גופו ועל זכותו לביטחון</w:t>
      </w:r>
      <w:r>
        <w:rPr>
          <w:rtl w:val="true"/>
        </w:rPr>
        <w:t xml:space="preserve">. </w:t>
      </w:r>
      <w:r>
        <w:rPr>
          <w:rtl w:val="true"/>
        </w:rPr>
        <w:t>מעשיו גרמו למותם של שלושה חפים מפשע אשר שיחקו לתומם בקלפים בבית קפה</w:t>
      </w:r>
      <w:r>
        <w:rPr>
          <w:rtl w:val="true"/>
        </w:rPr>
        <w:t xml:space="preserve">, </w:t>
      </w:r>
      <w:r>
        <w:rPr>
          <w:rtl w:val="true"/>
        </w:rPr>
        <w:t>ולשלושה אחרים פציעות חמורות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בסקירת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בית המשפט עמד על כך שכתב האישום</w:t>
      </w:r>
      <w:r>
        <w:rPr>
          <w:rtl w:val="true"/>
        </w:rPr>
        <w:t xml:space="preserve">, </w:t>
      </w:r>
      <w:r>
        <w:rPr>
          <w:rtl w:val="true"/>
        </w:rPr>
        <w:t>לאחר תיקונו</w:t>
      </w:r>
      <w:r>
        <w:rPr>
          <w:rtl w:val="true"/>
        </w:rPr>
        <w:t xml:space="preserve">, </w:t>
      </w:r>
      <w:r>
        <w:rPr>
          <w:rtl w:val="true"/>
        </w:rPr>
        <w:t>לא ייחס למערער קשירת קשר להצתת האש או את הצתתה בפועל</w:t>
      </w:r>
      <w:r>
        <w:rPr>
          <w:rtl w:val="true"/>
        </w:rPr>
        <w:t xml:space="preserve">. </w:t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הודגש כי חלקו היחסי בפרשה גדול במידה משמעותית מזה של שותפיו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מאחר שהיה בעל המניע לביצוע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ואף יצר 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הקונקרטי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התממש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בהתזת החומר הדליק לבדו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הוא שאיים על הנוכחים בבית העסק ושלף סכין אותה הניף בתנועת איום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המערער פעל ביסוד נפשי של אדישות לאפשרות גרימת מותם של הנוכחים</w:t>
      </w:r>
      <w:r>
        <w:rPr>
          <w:rtl w:val="true"/>
        </w:rPr>
        <w:t xml:space="preserve">, </w:t>
      </w:r>
      <w:r>
        <w:rPr>
          <w:rtl w:val="true"/>
        </w:rPr>
        <w:t>בעוד ויקטור ואלואשוילי פעלו בקלות דעת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ניתן משקל לנזק הרב שנגרם</w:t>
      </w:r>
      <w:r>
        <w:rPr>
          <w:rtl w:val="true"/>
        </w:rPr>
        <w:t xml:space="preserve">, </w:t>
      </w:r>
      <w:r>
        <w:rPr>
          <w:rtl w:val="true"/>
        </w:rPr>
        <w:t>בכלל זה לבני משפחותיהם של המנוחים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ו</w:t>
      </w:r>
      <w:r>
        <w:rPr>
          <w:rtl w:val="true"/>
        </w:rPr>
        <w:t>-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הסובלים מקשיים מתמשכים כתוצאה מאובדנם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הוסיף ועמד על מדיניות הענישה הנוהגת בגין רצח באדישות בראי הרפורמה בעבירות ההמתה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הרפורמה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בעבירות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ההמתה</w:t>
      </w:r>
      <w:r>
        <w:rPr>
          <w:rtl w:val="true"/>
        </w:rPr>
        <w:t xml:space="preserve"> או </w:t>
      </w:r>
      <w:r>
        <w:rPr>
          <w:rFonts w:cs="Miriam"/>
          <w:b/>
          <w:b/>
          <w:spacing w:val="0"/>
          <w:szCs w:val="24"/>
          <w:rtl w:val="true"/>
        </w:rPr>
        <w:t>הרפורמה</w:t>
      </w:r>
      <w:r>
        <w:rPr>
          <w:rtl w:val="true"/>
        </w:rPr>
        <w:t xml:space="preserve">)).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אף שמעשי המערער מהווים חלק מאירוע אחד</w:t>
      </w:r>
      <w:r>
        <w:rPr>
          <w:rtl w:val="true"/>
        </w:rPr>
        <w:t xml:space="preserve">, </w:t>
      </w:r>
      <w:r>
        <w:rPr>
          <w:rtl w:val="true"/>
        </w:rPr>
        <w:t>המוות של כל אחד משלושת המנוחים מהווה מעשה רצח נפרד באופן המאפשר גזירת עונש של שלושה מאסרי עולם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נמצא כי בנסיבות העניין אין לקבוע עונש זה כרף העליון של מתחם הענישה או לגזור את עונשו של המערער למאסר עולם</w:t>
      </w:r>
      <w:r>
        <w:rPr>
          <w:rtl w:val="true"/>
        </w:rPr>
        <w:t xml:space="preserve">. </w:t>
      </w:r>
      <w:r>
        <w:rPr>
          <w:rtl w:val="true"/>
        </w:rPr>
        <w:t>בסופם של דברים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עבור כל העבירות נע בין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עונשו של המערער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שקל את הודאתו והאחריות שלקח על מעשיו</w:t>
      </w:r>
      <w:r>
        <w:rPr>
          <w:rtl w:val="true"/>
        </w:rPr>
        <w:t xml:space="preserve">; </w:t>
      </w:r>
      <w:r>
        <w:rPr>
          <w:rtl w:val="true"/>
        </w:rPr>
        <w:t>הזמן הרב שחלף ממועד ביצוע העבירות ועד מתן גזר הדין</w:t>
      </w:r>
      <w:r>
        <w:rPr>
          <w:rtl w:val="true"/>
        </w:rPr>
        <w:t xml:space="preserve">; </w:t>
      </w:r>
      <w:r>
        <w:rPr>
          <w:rtl w:val="true"/>
        </w:rPr>
        <w:t>וכן את גילו המבוגר של המערער</w:t>
      </w:r>
      <w:r>
        <w:rPr>
          <w:rtl w:val="true"/>
        </w:rPr>
        <w:t xml:space="preserve">. </w:t>
      </w:r>
      <w:r>
        <w:rPr>
          <w:rtl w:val="true"/>
        </w:rPr>
        <w:t>בהתחשב בכל אלו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גזר על המערער עונש של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אלימות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פיצוי על סך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ש״ח עבור כל אחד מהפצועים</w:t>
      </w:r>
      <w:r>
        <w:rPr>
          <w:rtl w:val="true"/>
        </w:rPr>
        <w:t xml:space="preserve">, </w:t>
      </w:r>
      <w:r>
        <w:rPr>
          <w:rtl w:val="true"/>
        </w:rPr>
        <w:t xml:space="preserve">ופיצוי על סך </w:t>
      </w:r>
      <w:r>
        <w:rPr/>
        <w:t>200,00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אחת ממשפחות המנוחים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הפער בין גובה הפיצוי שנפסק לחובת המערער לבין גובה הפיצוי שהושת על ויקטור ואלואשוילי </w:t>
      </w:r>
      <w:r>
        <w:rPr>
          <w:rtl w:val="true"/>
        </w:rPr>
        <w:t>–</w:t>
      </w:r>
      <w:r>
        <w:rPr>
          <w:rtl w:val="true"/>
        </w:rPr>
        <w:t xml:space="preserve"> העומד על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כאמור</w:t>
      </w:r>
      <w:r>
        <w:rPr>
          <w:rtl w:val="true"/>
        </w:rPr>
        <w:t xml:space="preserve">, </w:t>
      </w:r>
      <w:r>
        <w:rPr>
          <w:rtl w:val="true"/>
        </w:rPr>
        <w:t>ראוי נוכח חלקו היחסי של המערער במעשים והנזק שנגרם בהם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טענות המערער מופנות כלפי מתחם העונש ההולם שנקבע בעניינו וכלפי העונש שנגזר עליו בגדרו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החמיר בקביעת המתחם</w:t>
      </w:r>
      <w:r>
        <w:rPr>
          <w:rtl w:val="true"/>
        </w:rPr>
        <w:t xml:space="preserve">, </w:t>
      </w:r>
      <w:r>
        <w:rPr>
          <w:rtl w:val="true"/>
        </w:rPr>
        <w:t>מאחר שייחס למערער חלק גדול יותר במעשים נוכח הרשעתו בעבירות חמורות מאלו שהורשעו בהן יתר המבצעים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אין ליתן משקל לשוני זה</w:t>
      </w:r>
      <w:r>
        <w:rPr>
          <w:rtl w:val="true"/>
        </w:rPr>
        <w:t xml:space="preserve">, </w:t>
      </w:r>
      <w:r>
        <w:rPr>
          <w:rtl w:val="true"/>
        </w:rPr>
        <w:t>מאחר שמלכתחילה היה מקום להרשיע גם את ויקטור ואלואשוילי בעבירות רצח באדישות</w:t>
      </w:r>
      <w:r>
        <w:rPr>
          <w:rtl w:val="true"/>
        </w:rPr>
        <w:t xml:space="preserve">, </w:t>
      </w:r>
      <w:r>
        <w:rPr>
          <w:rtl w:val="true"/>
        </w:rPr>
        <w:t>נוכח האמור בכתבי האישום המתוקנים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המתחם שנקבע אף אינו הולם את יתר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ביניהן כי האש לא הוצתה על ידי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לגזירת עונשו בגדרי המתחם</w:t>
      </w:r>
      <w:r>
        <w:rPr>
          <w:rtl w:val="true"/>
        </w:rPr>
        <w:t xml:space="preserve">, </w:t>
      </w:r>
      <w:r>
        <w:rPr>
          <w:rtl w:val="true"/>
        </w:rPr>
        <w:t>המערער טען כי יש לשקול לקולה את פציעתו מהאש</w:t>
      </w:r>
      <w:r>
        <w:rPr>
          <w:rtl w:val="true"/>
        </w:rPr>
        <w:t xml:space="preserve">, </w:t>
      </w:r>
      <w:r>
        <w:rPr>
          <w:rtl w:val="true"/>
        </w:rPr>
        <w:t>כפי שנשקלו פציעותיהם של ויקטור ואלואשוילי על 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שיקול זה</w:t>
      </w:r>
      <w:r>
        <w:rPr>
          <w:rtl w:val="true"/>
        </w:rPr>
        <w:t xml:space="preserve">, </w:t>
      </w:r>
      <w:r>
        <w:rPr>
          <w:rtl w:val="true"/>
        </w:rPr>
        <w:t>לצד יתר נסיבותיו האישיות</w:t>
      </w:r>
      <w:r>
        <w:rPr>
          <w:rtl w:val="true"/>
        </w:rPr>
        <w:t xml:space="preserve">, </w:t>
      </w:r>
      <w:r>
        <w:rPr>
          <w:rtl w:val="true"/>
        </w:rPr>
        <w:t>מצדיקים הקלה נוספת בעונשו</w:t>
      </w:r>
      <w:r>
        <w:rPr>
          <w:rtl w:val="true"/>
        </w:rPr>
        <w:t xml:space="preserve">. </w:t>
      </w:r>
      <w:r>
        <w:rPr>
          <w:rtl w:val="true"/>
        </w:rPr>
        <w:t>עוד נטען כי הפיצוי שנפסק לחובת המערער סוטה באופן קיצוני משיעור הפיצוי הראוי</w:t>
      </w:r>
      <w:r>
        <w:rPr>
          <w:rtl w:val="true"/>
        </w:rPr>
        <w:t xml:space="preserve">; </w:t>
      </w:r>
      <w:r>
        <w:rPr>
          <w:rtl w:val="true"/>
        </w:rPr>
        <w:t>אינו מתחשב בנסיבותיו האישיות</w:t>
      </w:r>
      <w:r>
        <w:rPr>
          <w:rtl w:val="true"/>
        </w:rPr>
        <w:t xml:space="preserve">, </w:t>
      </w:r>
      <w:r>
        <w:rPr>
          <w:rtl w:val="true"/>
        </w:rPr>
        <w:t>בכללן מצבו הכלכלי</w:t>
      </w:r>
      <w:r>
        <w:rPr>
          <w:rtl w:val="true"/>
        </w:rPr>
        <w:t xml:space="preserve">; </w:t>
      </w:r>
      <w:r>
        <w:rPr>
          <w:rtl w:val="true"/>
        </w:rPr>
        <w:t>ואינו מוצדק נוכח היקף הפיצוי שהושת על יתר מבצעי 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הוסיף וטען כי הפער בין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לעונשם של ויקטור ואלואשוילי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אינו מוצדק ומחייב את התערבות בית משפט זה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טען בעצמו כי למעשה לא הגיע להסדר טיעון עם המשיבה ולא הודה במעשים שיוחסו לו לפני בית המשפט המחוזי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באומרו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נברא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cs="Century" w:ascii="Century" w:hAnsi="Century"/>
          <w:sz w:val="22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הודיתי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בחיים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המערער אף טען כי לא ניתן לו ייצוג משפטי הולם לפני בית משפט 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טענות אלו</w:t>
      </w:r>
      <w:r>
        <w:rPr>
          <w:rtl w:val="true"/>
        </w:rPr>
        <w:t xml:space="preserve">, </w:t>
      </w:r>
      <w:r>
        <w:rPr>
          <w:rtl w:val="true"/>
        </w:rPr>
        <w:t xml:space="preserve">הובאה </w:t>
      </w:r>
      <w:r>
        <w:rPr>
          <w:rtl w:val="true"/>
        </w:rPr>
        <w:t>במעמד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עמדת הסניגוריה הציבורית</w:t>
      </w:r>
      <w:r>
        <w:rPr>
          <w:rtl w:val="true"/>
        </w:rPr>
        <w:t xml:space="preserve">, </w:t>
      </w:r>
      <w:r>
        <w:rPr>
          <w:rtl w:val="true"/>
        </w:rPr>
        <w:t>אשר ייצגה את המערער גם בהליך קמא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המערער הודה במעשים המיוחסים לו</w:t>
      </w:r>
      <w:r>
        <w:rPr>
          <w:rtl w:val="true"/>
        </w:rPr>
        <w:t xml:space="preserve">, </w:t>
      </w:r>
      <w:r>
        <w:rPr>
          <w:rtl w:val="true"/>
        </w:rPr>
        <w:t xml:space="preserve">וכי אף שבשלב הטיעונים לעונש אמר כי אינו מסכים </w:t>
      </w:r>
      <w:r>
        <w:rPr>
          <w:rtl w:val="true"/>
        </w:rPr>
        <w:t>"</w:t>
      </w:r>
      <w:r>
        <w:rPr>
          <w:rtl w:val="true"/>
        </w:rPr>
        <w:t>לעסקה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עמדתו הסופית אותה שיקף סנגורו לבית המשפט המחוזי בסמוך לכך הייתה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שוחחתי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שנקבע משקף את היות המערער </w:t>
      </w:r>
      <w:r>
        <w:rPr>
          <w:rtl w:val="true"/>
        </w:rPr>
        <w:t>"</w:t>
      </w:r>
      <w:r>
        <w:rPr>
          <w:rtl w:val="true"/>
        </w:rPr>
        <w:t>הרוח החיה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מאחורי המעשים המתוארים </w:t>
      </w:r>
      <w:r>
        <w:rPr>
          <w:rtl w:val="true"/>
        </w:rPr>
        <w:t>–</w:t>
      </w:r>
      <w:r>
        <w:rPr>
          <w:rtl w:val="true"/>
        </w:rPr>
        <w:t xml:space="preserve"> המערער הוא שיזם את המעשים</w:t>
      </w:r>
      <w:r>
        <w:rPr>
          <w:rtl w:val="true"/>
        </w:rPr>
        <w:t xml:space="preserve">; </w:t>
      </w:r>
      <w:r>
        <w:rPr>
          <w:rtl w:val="true"/>
        </w:rPr>
        <w:t>יצר בפועל את הסיכון בשפיכת החומר הדליק</w:t>
      </w:r>
      <w:r>
        <w:rPr>
          <w:rtl w:val="true"/>
        </w:rPr>
        <w:t xml:space="preserve">; </w:t>
      </w:r>
      <w:r>
        <w:rPr>
          <w:rtl w:val="true"/>
        </w:rPr>
        <w:t>ואיים על הנוכחים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מתחם העונש שנקבע מקל עמו</w:t>
      </w:r>
      <w:r>
        <w:rPr>
          <w:rtl w:val="true"/>
        </w:rPr>
        <w:t xml:space="preserve">, </w:t>
      </w:r>
      <w:r>
        <w:rPr>
          <w:rtl w:val="true"/>
        </w:rPr>
        <w:t>וכי העונש שנגזר על המערער אף אינו מצוי ברף העליון של המתחם שנקבע</w:t>
      </w:r>
      <w:r>
        <w:rPr>
          <w:rtl w:val="true"/>
        </w:rPr>
        <w:t xml:space="preserve">. </w:t>
      </w:r>
      <w:r>
        <w:rPr>
          <w:rtl w:val="true"/>
        </w:rPr>
        <w:t>אשר לסכום הפיצוי שהושת על המערער</w:t>
      </w:r>
      <w:r>
        <w:rPr>
          <w:rtl w:val="true"/>
        </w:rPr>
        <w:t xml:space="preserve">, </w:t>
      </w:r>
      <w:r>
        <w:rPr>
          <w:rtl w:val="true"/>
        </w:rPr>
        <w:t>נטען כי הוא הולם נוכח הנזק הרב שנגרם ואינו חורג מהסכום המרבי אותו ניתן לפסוק על פי 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משפחות המנוחים מ</w:t>
      </w:r>
      <w:r>
        <w:rPr>
          <w:rtl w:val="true"/>
        </w:rPr>
        <w:t>"</w:t>
      </w:r>
      <w:r>
        <w:rPr>
          <w:rtl w:val="true"/>
        </w:rPr>
        <w:t>ב וא</w:t>
      </w:r>
      <w:r>
        <w:rPr>
          <w:rtl w:val="true"/>
        </w:rPr>
        <w:t>"</w:t>
      </w:r>
      <w:r>
        <w:rPr>
          <w:rtl w:val="true"/>
        </w:rPr>
        <w:t>ל טענה כי אין להתערב בגובה הפיצוי אשר נפסק לחובת המערער נוכח הנזק הרב שנגרם למשפחות</w:t>
      </w:r>
      <w:r>
        <w:rPr>
          <w:rtl w:val="true"/>
        </w:rPr>
        <w:t xml:space="preserve">, </w:t>
      </w:r>
      <w:r>
        <w:rPr>
          <w:rtl w:val="true"/>
        </w:rPr>
        <w:t xml:space="preserve">אשר חוו את מות יקיריהם </w:t>
      </w:r>
      <w:r>
        <w:rPr>
          <w:rtl w:val="true"/>
        </w:rPr>
        <w:t>–</w:t>
      </w:r>
      <w:r>
        <w:rPr>
          <w:rtl w:val="true"/>
        </w:rPr>
        <w:t xml:space="preserve"> כאשר חלקם אף חזו בשריפה עצמה</w:t>
      </w:r>
      <w:r>
        <w:rPr>
          <w:rtl w:val="true"/>
        </w:rPr>
        <w:t xml:space="preserve">. </w:t>
      </w:r>
      <w:r>
        <w:rPr>
          <w:rtl w:val="true"/>
        </w:rPr>
        <w:t>לעניין זה הביאה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דברי בנותיו של א</w:t>
      </w:r>
      <w:r>
        <w:rPr>
          <w:rtl w:val="true"/>
        </w:rPr>
        <w:t>"</w:t>
      </w:r>
      <w:r>
        <w:rPr>
          <w:rtl w:val="true"/>
        </w:rPr>
        <w:t xml:space="preserve">ל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מדממים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אבא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הדגישה את הנזק שנגרם לבנו של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אשר נכח בזירת האירוע ונאלץ לראות את האש אוחזת באביו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עמדה על חשיבות הפיצוי לשיקום המשפחות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בפתח הדברים</w:t>
      </w:r>
      <w:r>
        <w:rPr>
          <w:rtl w:val="true"/>
        </w:rPr>
        <w:t xml:space="preserve">, </w:t>
      </w:r>
      <w:r>
        <w:rPr>
          <w:rtl w:val="true"/>
        </w:rPr>
        <w:t>אדרש לבקשת המערער לחזור בו מהודאתו</w:t>
      </w:r>
      <w:r>
        <w:rPr>
          <w:rtl w:val="true"/>
        </w:rPr>
        <w:t xml:space="preserve">, </w:t>
      </w:r>
      <w:r>
        <w:rPr>
          <w:rtl w:val="true"/>
        </w:rPr>
        <w:t>אותה הביע בדיון לפנינו</w:t>
      </w:r>
      <w:r>
        <w:rPr>
          <w:rtl w:val="true"/>
        </w:rPr>
        <w:t xml:space="preserve">.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התשמ״ב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קובע כי בית המשפט רשאי להיעתר לבקשה לחזרה מהודאה מ״נימוקים מיוחדים שיירשמו״</w:t>
      </w:r>
      <w:r>
        <w:rPr>
          <w:rtl w:val="true"/>
        </w:rPr>
        <w:t xml:space="preserve">. </w:t>
      </w:r>
      <w:r>
        <w:rPr>
          <w:rtl w:val="true"/>
        </w:rPr>
        <w:t>סמכות זו מתפרשת על כל שלבי המשפט</w:t>
      </w:r>
      <w:r>
        <w:rPr>
          <w:rtl w:val="true"/>
        </w:rPr>
        <w:t xml:space="preserve">, </w:t>
      </w:r>
      <w:r>
        <w:rPr>
          <w:rtl w:val="true"/>
        </w:rPr>
        <w:t>אולם בשלב הערעור תתאפשר חזרה מהודאה רק בנסיבות חריגות ונדירות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כשהנאשם לא הודה באופן חופשי ומרצון</w:t>
      </w:r>
      <w:r>
        <w:rPr>
          <w:rtl w:val="true"/>
        </w:rPr>
        <w:t xml:space="preserve">; </w:t>
      </w:r>
      <w:r>
        <w:rPr>
          <w:rtl w:val="true"/>
        </w:rPr>
        <w:t>לא הבין את משמעות הודאתו</w:t>
      </w:r>
      <w:r>
        <w:rPr>
          <w:rtl w:val="true"/>
        </w:rPr>
        <w:t xml:space="preserve">; </w:t>
      </w:r>
      <w:r>
        <w:rPr>
          <w:rtl w:val="true"/>
        </w:rPr>
        <w:t>וכשנפל כשל בייצוגו העולה לכדי עיוות דין</w:t>
      </w:r>
      <w:r>
        <w:rPr>
          <w:rtl w:val="true"/>
        </w:rPr>
        <w:t xml:space="preserve">. </w:t>
      </w:r>
      <w:r>
        <w:rPr>
          <w:rtl w:val="true"/>
        </w:rPr>
        <w:t>באופן מהותי</w:t>
      </w:r>
      <w:r>
        <w:rPr>
          <w:rtl w:val="true"/>
        </w:rPr>
        <w:t xml:space="preserve">, </w:t>
      </w:r>
      <w:r>
        <w:rPr>
          <w:rtl w:val="true"/>
        </w:rPr>
        <w:t xml:space="preserve">נבחן מניע הנאשם בבקשתו </w:t>
      </w:r>
      <w:r>
        <w:rPr>
          <w:rtl w:val="true"/>
        </w:rPr>
        <w:t>–</w:t>
      </w:r>
      <w:r>
        <w:rPr>
          <w:rtl w:val="true"/>
        </w:rPr>
        <w:t xml:space="preserve"> האם מדובר ברצון כן ואמיתי לחזור מהודאת שווא או במהלך טקטי שנועד לגרוף תועלת משפטית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ישנה חשיבות לעיתוי הבקשה</w:t>
      </w:r>
      <w:r>
        <w:rPr>
          <w:rtl w:val="true"/>
        </w:rPr>
        <w:t xml:space="preserve">, </w:t>
      </w:r>
      <w:r>
        <w:rPr>
          <w:rtl w:val="true"/>
        </w:rPr>
        <w:t xml:space="preserve">והעלאתה רק בשלב הערעור מהווה טעם משמעותי לדחותה נוכח החשש כי היא נובעת מאכזבת הנאשם מעונשו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 חברתי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9.11.2022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25.9.2019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במקרה דנן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3-2</w:t>
      </w:r>
      <w:r>
        <w:rPr>
          <w:rtl w:val="true"/>
        </w:rPr>
        <w:t xml:space="preserve">).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נברא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.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מאכזבתו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: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/>
        <w:t>1382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מעודכנת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).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לערעור על חומרת העונש</w:t>
      </w:r>
      <w:r>
        <w:rPr>
          <w:rtl w:val="true"/>
        </w:rPr>
        <w:t xml:space="preserve">. </w:t>
      </w:r>
      <w:r>
        <w:rPr>
          <w:rtl w:val="true"/>
        </w:rPr>
        <w:t>הלכה היא כי בית המשפט ייטה שלא להתערב בעונש שהושת על ידי הערכאה הדיונית אלא במקרים בהם ניכרת חריגה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על פני הדברים טעות מהותית ובולטת בגזר הדין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5057/22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28.12.2022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קוואסמי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1.12.2022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 של המערער אינו נמנה עם מקרים חריגים אלה</w:t>
      </w:r>
      <w:r>
        <w:rPr>
          <w:rtl w:val="true"/>
        </w:rPr>
        <w:t xml:space="preserve">. </w:t>
      </w:r>
      <w:r>
        <w:rPr>
          <w:rtl w:val="true"/>
        </w:rPr>
        <w:t xml:space="preserve">נוכח כישלון שותפותו </w:t>
      </w:r>
      <w:r>
        <w:rPr>
          <w:rtl w:val="true"/>
        </w:rPr>
        <w:t>"</w:t>
      </w:r>
      <w:r>
        <w:rPr>
          <w:rtl w:val="true"/>
        </w:rPr>
        <w:t>העסקית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המערער תכנן להגיע לבית הקפה של יריבו מצויד בחומר דליק</w:t>
      </w:r>
      <w:r>
        <w:rPr>
          <w:rtl w:val="true"/>
        </w:rPr>
        <w:t xml:space="preserve">, </w:t>
      </w:r>
      <w:r>
        <w:rPr>
          <w:rtl w:val="true"/>
        </w:rPr>
        <w:t>יחד עם שניים נוספים</w:t>
      </w:r>
      <w:r>
        <w:rPr>
          <w:rtl w:val="true"/>
        </w:rPr>
        <w:t xml:space="preserve">, </w:t>
      </w:r>
      <w:r>
        <w:rPr>
          <w:rtl w:val="true"/>
        </w:rPr>
        <w:t>ובהגיעו למקום שפך את החומר הדליק</w:t>
      </w:r>
      <w:r>
        <w:rPr>
          <w:rtl w:val="true"/>
        </w:rPr>
        <w:t xml:space="preserve">; </w:t>
      </w:r>
      <w:r>
        <w:rPr>
          <w:rtl w:val="true"/>
        </w:rPr>
        <w:t>הניף סכין לעבר חלק מהשוהים במקום בתנועה מאיימת</w:t>
      </w:r>
      <w:r>
        <w:rPr>
          <w:rtl w:val="true"/>
        </w:rPr>
        <w:t xml:space="preserve">; </w:t>
      </w:r>
      <w:r>
        <w:rPr>
          <w:rtl w:val="true"/>
        </w:rPr>
        <w:t xml:space="preserve">וצעק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לסילברה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צעקה זו התריעה על המאוחר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שכן כתוצאה ממעשי המערער האש שפרצה אחזה בגופם של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 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ל  </w:t>
      </w:r>
      <w:r>
        <w:rPr>
          <w:rtl w:val="true"/>
        </w:rPr>
        <w:t>–</w:t>
      </w:r>
      <w:r>
        <w:rPr>
          <w:rtl w:val="true"/>
        </w:rPr>
        <w:t xml:space="preserve"> ובכך מצאו את מותם</w:t>
      </w:r>
      <w:r>
        <w:rPr>
          <w:rtl w:val="true"/>
        </w:rPr>
        <w:t xml:space="preserve">. </w:t>
      </w:r>
      <w:r>
        <w:rPr>
          <w:rtl w:val="true"/>
        </w:rPr>
        <w:t>לצדם</w:t>
      </w:r>
      <w:r>
        <w:rPr>
          <w:rtl w:val="true"/>
        </w:rPr>
        <w:t xml:space="preserve">, </w:t>
      </w:r>
      <w:r>
        <w:rPr>
          <w:rtl w:val="true"/>
        </w:rPr>
        <w:t>נגרמו 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ו</w:t>
      </w:r>
      <w:r>
        <w:rPr>
          <w:rtl w:val="true"/>
        </w:rPr>
        <w:t>-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>ק כוויות נרחבות על גופם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ראשיתו של המקרה שלפנינו </w:t>
      </w:r>
      <w:r>
        <w:rPr>
          <w:rtl w:val="true"/>
        </w:rPr>
        <w:t>–</w:t>
      </w:r>
      <w:r>
        <w:rPr>
          <w:rtl w:val="true"/>
        </w:rPr>
        <w:t xml:space="preserve"> בשותפות </w:t>
      </w:r>
      <w:r>
        <w:rPr>
          <w:rtl w:val="true"/>
        </w:rPr>
        <w:t>"</w:t>
      </w:r>
      <w:r>
        <w:rPr>
          <w:rtl w:val="true"/>
        </w:rPr>
        <w:t>עסקית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שלא צלחה</w:t>
      </w:r>
      <w:r>
        <w:rPr>
          <w:rtl w:val="true"/>
        </w:rPr>
        <w:t xml:space="preserve">; </w:t>
      </w:r>
      <w:r>
        <w:rPr>
          <w:rtl w:val="true"/>
        </w:rPr>
        <w:t xml:space="preserve">סופו </w:t>
      </w:r>
      <w:r>
        <w:rPr>
          <w:rtl w:val="true"/>
        </w:rPr>
        <w:t>–</w:t>
      </w:r>
      <w:r>
        <w:rPr>
          <w:rtl w:val="true"/>
        </w:rPr>
        <w:t xml:space="preserve"> בשלוש עבירות של גרימת חבלה חמורה בנסיבות מחמירות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ביסוד נפשי של אדישות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בהקשר זה יש לעמוד על כך שהרפורמה </w:t>
      </w:r>
      <w:r>
        <w:rPr>
          <w:rFonts w:ascii="Century" w:hAnsi="Century" w:cs="Century"/>
          <w:sz w:val="22"/>
          <w:sz w:val="22"/>
          <w:rtl w:val="true"/>
        </w:rPr>
        <w:t>בעבירות ההמתה מבטאת שינוי משמעותי של המחוקק ביחס למעשי המתה המבוצעים ביסוד נפשי של אדישות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כפי שהדגשתי לא אחת בפסקי דיני לאחרונה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הרפורמה יצרה מדרג חדש של עבירות אשר נועד לבטא את חומרת מעשי ההמתה השונים ועיקרון האשמה של מבצעיהן</w:t>
      </w:r>
      <w:r>
        <w:rPr>
          <w:rtl w:val="true"/>
        </w:rPr>
        <w:t xml:space="preserve">, </w:t>
      </w:r>
      <w:r>
        <w:rPr>
          <w:rtl w:val="true"/>
        </w:rPr>
        <w:t xml:space="preserve">ובהתאמה את העונש ההולם שיש לקבוע בצדן </w:t>
      </w:r>
      <w:r>
        <w:rPr>
          <w:rtl w:val="true"/>
        </w:rPr>
        <w:t>(</w:t>
      </w:r>
      <w:r>
        <w:rPr>
          <w:rtl w:val="true"/>
        </w:rPr>
        <w:t xml:space="preserve">דברי הסבר להצעת 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166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לרפורמה</w:t>
      </w:r>
      <w:r>
        <w:rPr>
          <w:rtl w:val="true"/>
        </w:rPr>
        <w:t xml:space="preserve">)). </w:t>
      </w:r>
      <w:r>
        <w:rPr>
          <w:rtl w:val="true"/>
        </w:rPr>
        <w:t>במדרג זה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מעשה המתה ביסוד נפשי של אדישות</w:t>
      </w:r>
      <w:r>
        <w:rPr>
          <w:rtl w:val="true"/>
        </w:rPr>
        <w:t xml:space="preserve"> חוסה תחת 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אשר חמורה ממנה רק עבירת הרצח בנסיבות מחמירות </w:t>
      </w:r>
      <w:r>
        <w:rPr>
          <w:rtl w:val="true"/>
        </w:rPr>
        <w:t>(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חלף מיקומו עובר לרפורמה תחת עבירת ההריגה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ראו בהרחבה ב</w:t>
      </w:r>
      <w:r>
        <w:rPr>
          <w:rtl w:val="true"/>
        </w:rPr>
        <w:t>-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44</w:t>
      </w:r>
      <w:r>
        <w:rPr>
          <w:rtl w:val="true"/>
        </w:rPr>
        <w:t xml:space="preserve"> -</w:t>
      </w:r>
      <w:r>
        <w:rPr/>
        <w:t>45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 xml:space="preserve">)).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המחוקק ביקש לבטא את החומרה הרבה שייחס למעשה ההמתה ביסוד נפשי של אדישות ולמידת האשם של מבצעו באמצעות ״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תיוגו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כ׳רוצח׳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המשתמע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׳אות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הקין׳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tl w:val="true"/>
        </w:rPr>
        <w:t xml:space="preserve">״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6.12.2022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הוחמר גם העונש הקבוע בצד עבירה זו </w:t>
      </w:r>
      <w:r>
        <w:rPr>
          <w:rtl w:val="true"/>
        </w:rPr>
        <w:t>–</w:t>
      </w:r>
      <w:r>
        <w:rPr>
          <w:rtl w:val="true"/>
        </w:rPr>
        <w:t xml:space="preserve"> מעונש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כעונש מרבי טרם הרפורמה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כעונש מרבי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5.4.2020</w:t>
      </w:r>
      <w:r>
        <w:rPr>
          <w:rtl w:val="true"/>
        </w:rPr>
        <w:t xml:space="preserve">)).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הרפורמה בעבירות ההמתה משקפת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באדישות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)).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בעניינו של המערער</w:t>
      </w:r>
      <w:r>
        <w:rPr>
          <w:rtl w:val="true"/>
        </w:rPr>
        <w:t xml:space="preserve">, </w:t>
      </w:r>
      <w:r>
        <w:rPr>
          <w:rtl w:val="true"/>
        </w:rPr>
        <w:t>בגין רציחת המנוחים</w:t>
      </w:r>
      <w:r>
        <w:rPr>
          <w:rtl w:val="true"/>
        </w:rPr>
        <w:t xml:space="preserve">, </w:t>
      </w:r>
      <w:r>
        <w:rPr>
          <w:rtl w:val="true"/>
        </w:rPr>
        <w:t>כמו גם הכוויות המשמעותיות שנגרמו 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ו</w:t>
      </w:r>
      <w:r>
        <w:rPr>
          <w:rtl w:val="true"/>
        </w:rPr>
        <w:t>-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 xml:space="preserve">נגזר עליו עונש של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ניכר כי תוצאה עונשית זו אינה מקימה כל עילה להתערבותנו</w:t>
      </w:r>
      <w:r>
        <w:rPr>
          <w:rtl w:val="true"/>
        </w:rPr>
        <w:t xml:space="preserve">. </w:t>
      </w:r>
      <w:r>
        <w:rPr>
          <w:rtl w:val="true"/>
        </w:rPr>
        <w:t>על פניה</w:t>
      </w:r>
      <w:r>
        <w:rPr>
          <w:rtl w:val="true"/>
        </w:rPr>
        <w:t xml:space="preserve">, </w:t>
      </w:r>
      <w:r>
        <w:rPr>
          <w:rtl w:val="true"/>
        </w:rPr>
        <w:t>היא מקלה עד מאוד עם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במישור העקרוני</w:t>
      </w:r>
      <w:r>
        <w:rPr>
          <w:rtl w:val="true"/>
        </w:rPr>
        <w:t xml:space="preserve">, </w:t>
      </w:r>
      <w:r>
        <w:rPr>
          <w:rtl w:val="true"/>
        </w:rPr>
        <w:t xml:space="preserve">יוטעם כי מעשה המתה באמצעות הצתה עשוי להיכנס אף בגדרי העבירה החמורה ביותר בספר החוקים </w:t>
      </w:r>
      <w:r>
        <w:rPr>
          <w:rtl w:val="true"/>
        </w:rPr>
        <w:t>–</w:t>
      </w:r>
      <w:r>
        <w:rPr>
          <w:rtl w:val="true"/>
        </w:rPr>
        <w:t xml:space="preserve"> 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כאשר הרצח נעשה ביסוד נפשי של אדישות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מבין הנסיבות שבהתקיימן ניתן להרשיע את הממית בעבירה זו קבע המחוקק את נסיבה </w:t>
      </w:r>
      <w:hyperlink r:id="rId47"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 פיה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15.1.2023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15-14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גם המחוקק הבליט דוגמה זו בדברי ההסבר לנסיבה המחמירה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כשציין כי סכנה ממשית לחיי אדם נוספים עשויה להיווצר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פצצה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שוהים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המיועד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דברי ההסבר לרפורמה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בעמוד </w:t>
      </w:r>
      <w:r>
        <w:rPr>
          <w:rFonts w:cs="Century" w:ascii="Century" w:hAnsi="Century"/>
        </w:rPr>
        <w:t>173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בוועדת החוקה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חוק ומשפט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פרוטוקול ישיבה </w:t>
      </w:r>
      <w:r>
        <w:rPr>
          <w:rFonts w:cs="Century" w:ascii="Century" w:hAnsi="Century"/>
        </w:rPr>
        <w:t>544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ועדת החוקה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 ומשפט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הכנסת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5.2.2018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9</w:t>
      </w:r>
      <w:r>
        <w:rPr>
          <w:rtl w:val="true"/>
        </w:rPr>
        <w:t xml:space="preserve">),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בחזרה לעניינו הפרטני של המערער</w:t>
      </w:r>
      <w:r>
        <w:rPr>
          <w:rtl w:val="true"/>
        </w:rPr>
        <w:t xml:space="preserve">. </w:t>
      </w:r>
      <w:r>
        <w:rPr>
          <w:rtl w:val="true"/>
        </w:rPr>
        <w:t>לא מצאתי ממש גם בטענותיו באשר לפער בענישה בינו לויקטור ואלואשוילי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עקרון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האחידות בענישה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מהווה נדבך משמעותי בגזירת העונש ונועד להבטיח שוויון בפני החוק ולמנוע שרירותיות בענישה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הוא מורנו כי ראוי להחיל שיקולי ענישה דומים על מקרים דומים מבחינת סוג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אופיין והנסיבות האישיות של הנאשמים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 xml:space="preserve">)). </w:t>
      </w:r>
      <w:r>
        <w:rPr>
          <w:rtl w:val="true"/>
        </w:rPr>
        <w:t>כאשר עסקינן באותה פרשה עבריינית</w:t>
      </w:r>
      <w:r>
        <w:rPr>
          <w:rtl w:val="true"/>
        </w:rPr>
        <w:t xml:space="preserve">, </w:t>
      </w:r>
      <w:r>
        <w:rPr>
          <w:rtl w:val="true"/>
        </w:rPr>
        <w:t>חשיבותו של עיקרון זה מוגברת</w:t>
      </w:r>
      <w:r>
        <w:rPr>
          <w:rtl w:val="true"/>
        </w:rPr>
        <w:t xml:space="preserve">, </w:t>
      </w:r>
      <w:r>
        <w:rPr>
          <w:rtl w:val="true"/>
        </w:rPr>
        <w:t>והוא מחייב כי היחס בין העונש שנגזר על המעורבים ישקף את חומרת השתתפותם היחסית בה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כפי שבואר זה מכבר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שאפליה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מלאכותי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נאשמים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50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5195/11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קריניאן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28.3.2012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במקרה שלפנינו עיקרון האחידות בענישה לא הופר כלל ועיקר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בהרחבה על הטעמים להבחנה בין עונשו של המערער לבין עונשם של ויקטור ואלואשוילי</w:t>
      </w:r>
      <w:r>
        <w:rPr>
          <w:rtl w:val="true"/>
        </w:rPr>
        <w:t xml:space="preserve">. </w:t>
      </w:r>
      <w:r>
        <w:rPr>
          <w:rtl w:val="true"/>
        </w:rPr>
        <w:t>בגדר זאת</w:t>
      </w:r>
      <w:r>
        <w:rPr>
          <w:rtl w:val="true"/>
        </w:rPr>
        <w:t xml:space="preserve">, </w:t>
      </w:r>
      <w:r>
        <w:rPr>
          <w:rtl w:val="true"/>
        </w:rPr>
        <w:t>נתן דעתו כנדרש לכך שחלקו היחסי של המערער בפרשה גדול באופן משמעותי מחלקם של ויקטור ואלואשוילי</w:t>
      </w:r>
      <w:r>
        <w:rPr>
          <w:rtl w:val="true"/>
        </w:rPr>
        <w:t xml:space="preserve">, </w:t>
      </w:r>
      <w:r>
        <w:rPr>
          <w:rtl w:val="true"/>
        </w:rPr>
        <w:t>וניכר הן מהיותו בעל המניע להתרחשותה</w:t>
      </w:r>
      <w:r>
        <w:rPr>
          <w:rtl w:val="true"/>
        </w:rPr>
        <w:t xml:space="preserve">; </w:t>
      </w:r>
      <w:r>
        <w:rPr>
          <w:rtl w:val="true"/>
        </w:rPr>
        <w:t>הן מהמעשים האקטיביים שביצע במהלכה</w:t>
      </w:r>
      <w:r>
        <w:rPr>
          <w:rtl w:val="true"/>
        </w:rPr>
        <w:t xml:space="preserve">, </w:t>
      </w:r>
      <w:r>
        <w:rPr>
          <w:rtl w:val="true"/>
        </w:rPr>
        <w:t>בכללם יצירת הסיכון הקונקרטי בשפיכת החומר הדליק</w:t>
      </w:r>
      <w:r>
        <w:rPr>
          <w:rtl w:val="true"/>
        </w:rPr>
        <w:t xml:space="preserve">. </w:t>
      </w:r>
      <w:r>
        <w:rPr>
          <w:rtl w:val="true"/>
        </w:rPr>
        <w:t xml:space="preserve">חלקם השונה של המעורבים בפרשה בא לידי ביטוי גם בהרשעתם בעבירות שונות אשר נעשתה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הודאתם</w:t>
      </w:r>
      <w:r>
        <w:rPr>
          <w:rtl w:val="true"/>
        </w:rPr>
        <w:t xml:space="preserve"> בהסדרי הטיעון </w:t>
      </w:r>
      <w:r>
        <w:rPr>
          <w:rtl w:val="true"/>
        </w:rPr>
        <w:t>–</w:t>
      </w:r>
      <w:r>
        <w:rPr>
          <w:rtl w:val="true"/>
        </w:rPr>
        <w:t xml:space="preserve"> המערער ברצח </w:t>
      </w:r>
      <w:r>
        <w:rPr>
          <w:rtl w:val="true"/>
        </w:rPr>
        <w:t>"</w:t>
      </w:r>
      <w:r>
        <w:rPr>
          <w:rtl w:val="true"/>
        </w:rPr>
        <w:t>בסיסי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ביסוד נפשי של אדישות וויקטור ואלואשוילי בהמתה בקלות 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בצדן של עבירות אלה קבע המחוקק מלכתחילה עונשים שונים המצדיקים פער בענישה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פער זה מוצדק בענייננו ביתר שאת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נוכח ההסכמות השונות אליהן הגיעו הצדדים לעניין העונש בהסדרי הטיעון </w:t>
      </w:r>
      <w:r>
        <w:rPr>
          <w:rFonts w:cs="Century" w:ascii="Century" w:hAnsi="Century"/>
          <w:rtl w:val="true"/>
        </w:rPr>
        <w:t>(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1074/22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דעתה של 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20.7.2022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בעניינם של ויקטור ואלואשוילי הסכימו הצדדים כי השניים ירצו עונש של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בעוד שכל שהוסכם בעניין המערער הוא שהמדינה תעתור לעונש של שלושה מאסרי עולם לריצוי בחופף</w:t>
      </w:r>
      <w:r>
        <w:rPr>
          <w:rtl w:val="true"/>
        </w:rPr>
        <w:t xml:space="preserve">. </w:t>
      </w:r>
      <w:r>
        <w:rPr>
          <w:rtl w:val="true"/>
        </w:rPr>
        <w:t>עוד יוער</w:t>
      </w:r>
      <w:r>
        <w:rPr>
          <w:rtl w:val="true"/>
        </w:rPr>
        <w:t xml:space="preserve">, </w:t>
      </w:r>
      <w:r>
        <w:rPr>
          <w:rtl w:val="true"/>
        </w:rPr>
        <w:t xml:space="preserve">כי הסכמות אלה מתבססות גם על הנסיבות האישיות השונות של המעורבים </w:t>
      </w:r>
      <w:r>
        <w:rPr>
          <w:rtl w:val="true"/>
        </w:rPr>
        <w:t>(</w:t>
      </w:r>
      <w:r>
        <w:rPr>
          <w:rtl w:val="true"/>
        </w:rPr>
        <w:t>ראו גזר דינם של ויקטור ואלואשוילי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229</w:t>
      </w:r>
      <w:r>
        <w:rPr>
          <w:rtl w:val="true"/>
        </w:rPr>
        <w:t xml:space="preserve">). </w:t>
      </w:r>
      <w:r>
        <w:rPr>
          <w:rtl w:val="true"/>
        </w:rPr>
        <w:t>משאלו פני הדברים</w:t>
      </w:r>
      <w:r>
        <w:rPr>
          <w:rtl w:val="true"/>
        </w:rPr>
        <w:t xml:space="preserve">, </w:t>
      </w:r>
      <w:r>
        <w:rPr>
          <w:rtl w:val="true"/>
        </w:rPr>
        <w:t>אין כל פגם בפער שבין העונש שהושת על המערער לבין עונשם של ויקטור ואלואשוילי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כעת לטענות המערער בעניין היקף הפיצוי</w:t>
      </w:r>
      <w:r>
        <w:rPr>
          <w:rtl w:val="true"/>
        </w:rPr>
        <w:t xml:space="preserve">. </w:t>
      </w:r>
      <w:r>
        <w:rPr>
          <w:rtl w:val="true"/>
        </w:rPr>
        <w:t>נקודת המוצא היא שאין להתערב בשיקול דעתה של הערכאה הדיונית בקביעת הפיצוי</w:t>
      </w:r>
      <w:r>
        <w:rPr>
          <w:rtl w:val="true"/>
        </w:rPr>
        <w:t xml:space="preserve">, </w:t>
      </w:r>
      <w:r>
        <w:rPr>
          <w:rtl w:val="true"/>
        </w:rPr>
        <w:t xml:space="preserve">למעט במקרים יוצאי דופן בהם חרגה באופן קיצוני משיעור הפיצוי הראוי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קורובקוב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13.7.2022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7.6.2020</w:t>
      </w:r>
      <w:r>
        <w:rPr>
          <w:rtl w:val="true"/>
        </w:rPr>
        <w:t xml:space="preserve">)).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פיצוי מכוח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נועד ליתן מזור לנפגעי העבירה על הכאב והסבל שסבלו בעטיה</w:t>
      </w:r>
      <w:r>
        <w:rPr>
          <w:rtl w:val="true"/>
        </w:rPr>
        <w:t xml:space="preserve">. </w:t>
      </w:r>
      <w:r>
        <w:rPr>
          <w:rtl w:val="true"/>
        </w:rPr>
        <w:t>תקרת הפיצוי</w:t>
      </w:r>
      <w:r>
        <w:rPr>
          <w:rtl w:val="true"/>
        </w:rPr>
        <w:t xml:space="preserve">, </w:t>
      </w:r>
      <w:r>
        <w:rPr>
          <w:rtl w:val="true"/>
        </w:rPr>
        <w:t>הקבועה אף היא בסעיף זה</w:t>
      </w:r>
      <w:r>
        <w:rPr>
          <w:rtl w:val="true"/>
        </w:rPr>
        <w:t xml:space="preserve">, </w:t>
      </w:r>
      <w:r>
        <w:rPr>
          <w:rtl w:val="true"/>
        </w:rPr>
        <w:t>נועדה בעיקרה לאזן בין מטרה זו</w:t>
      </w:r>
      <w:r>
        <w:rPr>
          <w:rtl w:val="true"/>
        </w:rPr>
        <w:t xml:space="preserve">, </w:t>
      </w:r>
      <w:r>
        <w:rPr>
          <w:rtl w:val="true"/>
        </w:rPr>
        <w:t>שהיא אזרחית במהותה</w:t>
      </w:r>
      <w:r>
        <w:rPr>
          <w:rtl w:val="true"/>
        </w:rPr>
        <w:t xml:space="preserve">, </w:t>
      </w:r>
      <w:r>
        <w:rPr>
          <w:rtl w:val="true"/>
        </w:rPr>
        <w:t xml:space="preserve">לבין המגבלות הנובעות ממימושה בהליך הפלילי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ט</w:t>
      </w:r>
      <w:r>
        <w:rPr>
          <w:rtl w:val="true"/>
        </w:rPr>
        <w:t>"</w:t>
      </w:r>
      <w:r>
        <w:rPr>
          <w:rtl w:val="true"/>
        </w:rPr>
        <w:t xml:space="preserve">ו לחוות דעתו של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7.6.2016</w:t>
      </w:r>
      <w:r>
        <w:rPr>
          <w:rtl w:val="true"/>
        </w:rPr>
        <w:t xml:space="preserve">) </w:t>
      </w:r>
      <w:r>
        <w:rPr>
          <w:rtl w:val="true"/>
        </w:rPr>
        <w:t xml:space="preserve">ופסקה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tl w:val="true"/>
        </w:rPr>
        <w:t xml:space="preserve"> בדיון הנוסף </w:t>
      </w:r>
      <w:hyperlink r:id="rId56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בוקובזה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 xml:space="preserve">)). </w:t>
      </w:r>
      <w:r>
        <w:rPr>
          <w:rtl w:val="true"/>
        </w:rPr>
        <w:t>לאורך השנים</w:t>
      </w:r>
      <w:r>
        <w:rPr>
          <w:rtl w:val="true"/>
        </w:rPr>
        <w:t xml:space="preserve">, </w:t>
      </w:r>
      <w:r>
        <w:rPr>
          <w:rtl w:val="true"/>
        </w:rPr>
        <w:t>המחוקק העלה את תקרת הפיצוי פעמים מספר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המדגיש את הצורך כי הפיצוי ייתן מענה ממשי לנזק של נפגעי העבירה </w:t>
      </w:r>
      <w:r>
        <w:rPr>
          <w:rtl w:val="true"/>
        </w:rPr>
        <w:t>(</w:t>
      </w:r>
      <w:r>
        <w:rPr>
          <w:rtl w:val="true"/>
        </w:rPr>
        <w:t xml:space="preserve">יניב </w:t>
      </w:r>
      <w:hyperlink r:id="rId57">
        <w:r>
          <w:rPr>
            <w:rStyle w:val="Hyperlink"/>
            <w:color w:val="0000FF"/>
            <w:u w:val="single"/>
            <w:rtl w:val="true"/>
          </w:rPr>
          <w:t>ואקי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תקרת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הפיצוי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לנפגע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עברה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בהליך הפלילי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מאזני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יא </w:t>
      </w:r>
      <w:r>
        <w:rPr>
          <w:rFonts w:cs="Century" w:ascii="Century" w:hAnsi="Century"/>
        </w:rPr>
        <w:t>221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232-230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 xml:space="preserve">יחד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יודגש כי לצד המטרה האזרחית בבסיסו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הפיצוי </w:t>
      </w:r>
      <w:r>
        <w:rPr>
          <w:rtl w:val="true"/>
        </w:rPr>
        <w:t>"</w:t>
      </w:r>
      <w:r>
        <w:rPr>
          <w:rtl w:val="true"/>
        </w:rPr>
        <w:t xml:space="preserve">נושא </w:t>
      </w:r>
      <w:r>
        <w:rPr>
          <w:rFonts w:ascii="Century" w:hAnsi="Century" w:cs="Century"/>
          <w:sz w:val="22"/>
          <w:sz w:val="22"/>
          <w:rtl w:val="true"/>
        </w:rPr>
        <w:t xml:space="preserve">בחוּבּוֹ </w:t>
      </w:r>
      <w:r>
        <w:rPr>
          <w:rtl w:val="true"/>
        </w:rPr>
        <w:t>גם היבטים עונשיים וחברתיים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אלרפעיה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2.7.2014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22.7.2010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 xml:space="preserve"> </w:t>
      </w:r>
      <w:r>
        <w:rPr>
          <w:rtl w:val="true"/>
        </w:rPr>
        <w:t>לחובת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 </w:t>
      </w:r>
      <w:r>
        <w:rPr>
          <w:rtl w:val="true"/>
        </w:rPr>
        <w:t>נוכח רצח המנוחים</w:t>
      </w:r>
      <w:r>
        <w:rPr>
          <w:rtl w:val="true"/>
        </w:rPr>
        <w:t xml:space="preserve">, </w:t>
      </w:r>
      <w:r>
        <w:rPr>
          <w:rtl w:val="true"/>
        </w:rPr>
        <w:t xml:space="preserve">בגינם הורשע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רצח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נפרדים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והחבלות החמורות שגרם לשלושת הפצועים</w:t>
      </w:r>
      <w:r>
        <w:rPr>
          <w:rFonts w:cs="Century" w:ascii="Century" w:hAnsi="Century"/>
          <w:sz w:val="22"/>
          <w:rtl w:val="true"/>
        </w:rPr>
        <w:t xml:space="preserve">. 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 </w:t>
      </w:r>
      <w:r>
        <w:rPr>
          <w:rtl w:val="true"/>
        </w:rPr>
        <w:t>מהתקרה</w:t>
      </w:r>
      <w:r>
        <w:rPr>
          <w:rtl w:val="true"/>
        </w:rPr>
        <w:t xml:space="preserve"> </w:t>
      </w:r>
      <w:r>
        <w:rPr>
          <w:rtl w:val="true"/>
        </w:rPr>
        <w:t>הקבועה</w:t>
      </w:r>
      <w:r>
        <w:rPr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ופירושה</w:t>
      </w:r>
      <w:r>
        <w:rPr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תקרת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עקרוני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מושפעת</w:t>
      </w:r>
      <w:r>
        <w:rPr>
          <w:rtl w:val="true"/>
        </w:rPr>
        <w:t xml:space="preserve"> </w:t>
      </w:r>
      <w:r>
        <w:rPr>
          <w:rtl w:val="true"/>
        </w:rPr>
        <w:t>מקביעת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ויקטור</w:t>
      </w:r>
      <w:r>
        <w:rPr>
          <w:rtl w:val="true"/>
        </w:rPr>
        <w:t xml:space="preserve"> </w:t>
      </w:r>
      <w:r>
        <w:rPr>
          <w:rtl w:val="true"/>
        </w:rPr>
        <w:t>ואלואשוילי</w:t>
      </w:r>
      <w:r>
        <w:rPr>
          <w:rtl w:val="true"/>
        </w:rPr>
        <w:t xml:space="preserve"> </w:t>
      </w:r>
      <w:r>
        <w:rPr>
          <w:rtl w:val="true"/>
        </w:rPr>
        <w:t>יפצו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 </w:t>
      </w:r>
      <w:r>
        <w:rPr>
          <w:rtl w:val="true"/>
        </w:rPr>
        <w:t>המנוחים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ניתן לחייב כל אדם שהורשע בפיצוי עד לתקרה הקבועה בחוק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8074/16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סוליימנוב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72-70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2.4.2020</w:t>
      </w:r>
      <w:r>
        <w:rPr>
          <w:rtl w:val="true"/>
        </w:rPr>
        <w:t xml:space="preserve">)). </w:t>
      </w:r>
      <w:r>
        <w:rPr>
          <w:rtl w:val="true"/>
        </w:rPr>
        <w:t>בית המשפט המחוזי נדרש בהרחבה לנזקים המשמעותיים שנגרמו ממעשיו של המערער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משפחותיהם של מ</w:t>
      </w:r>
      <w:r>
        <w:rPr>
          <w:rtl w:val="true"/>
        </w:rPr>
        <w:t>"</w:t>
      </w:r>
      <w:r>
        <w:rPr>
          <w:rtl w:val="true"/>
        </w:rPr>
        <w:t>ב 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חזרה על מקצתם בטיעוניה לפנינו</w:t>
      </w:r>
      <w:r>
        <w:rPr>
          <w:rtl w:val="true"/>
        </w:rPr>
        <w:t xml:space="preserve">, </w:t>
      </w:r>
      <w:r>
        <w:rPr>
          <w:rtl w:val="true"/>
        </w:rPr>
        <w:t>והדגישה כי נזקים אלה עודם מלווים את בני המשפחות של שני המנוחים</w:t>
      </w:r>
      <w:r>
        <w:rPr>
          <w:rtl w:val="true"/>
        </w:rPr>
        <w:t xml:space="preserve">. </w:t>
      </w:r>
      <w:r>
        <w:rPr>
          <w:rtl w:val="true"/>
        </w:rPr>
        <w:t>מפאת פרטיותם</w:t>
      </w:r>
      <w:r>
        <w:rPr>
          <w:rtl w:val="true"/>
        </w:rPr>
        <w:t xml:space="preserve">, </w:t>
      </w:r>
      <w:r>
        <w:rPr>
          <w:rtl w:val="true"/>
        </w:rPr>
        <w:t>לא ארחיב בעניין נזקים אלו</w:t>
      </w:r>
      <w:r>
        <w:rPr>
          <w:rtl w:val="true"/>
        </w:rPr>
        <w:t xml:space="preserve">, </w:t>
      </w:r>
      <w:r>
        <w:rPr>
          <w:rtl w:val="true"/>
        </w:rPr>
        <w:t>אסתפק בלציין כי כפי שעולה מתסקיר נפגעי העבירה</w:t>
      </w:r>
      <w:r>
        <w:rPr>
          <w:rtl w:val="true"/>
        </w:rPr>
        <w:t xml:space="preserve">, </w:t>
      </w:r>
      <w:r>
        <w:rPr>
          <w:rtl w:val="true"/>
        </w:rPr>
        <w:t>בני משפחתו של מ</w:t>
      </w:r>
      <w:r>
        <w:rPr>
          <w:rtl w:val="true"/>
        </w:rPr>
        <w:t>"</w:t>
      </w:r>
      <w:r>
        <w:rPr>
          <w:rtl w:val="true"/>
        </w:rPr>
        <w:t>ב התגוררו בסמוך לבית הקפה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למשמע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שריפה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השריפה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מתוכו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סיפרו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ב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לבדוק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שלומו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בנו של מ</w:t>
      </w:r>
      <w:r>
        <w:rPr>
          <w:rtl w:val="true"/>
        </w:rPr>
        <w:t>"</w:t>
      </w:r>
      <w:r>
        <w:rPr>
          <w:rtl w:val="true"/>
        </w:rPr>
        <w:t>ב היה בן כתשע שנים במועד האירוע</w:t>
      </w:r>
      <w:r>
        <w:rPr>
          <w:rtl w:val="true"/>
        </w:rPr>
        <w:t xml:space="preserve">, </w:t>
      </w:r>
      <w:r>
        <w:rPr>
          <w:rtl w:val="true"/>
        </w:rPr>
        <w:t>ובאת</w:t>
      </w:r>
      <w:r>
        <w:rPr>
          <w:rtl w:val="true"/>
        </w:rPr>
        <w:t>-</w:t>
      </w:r>
      <w:r>
        <w:rPr>
          <w:rtl w:val="true"/>
        </w:rPr>
        <w:t>כוחו הדגישה בדיון את השפעת האירוע על נפשו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לא רק שאין בעונש אשר נגזר על המערער סטייה לחומרה</w:t>
      </w:r>
      <w:r>
        <w:rPr>
          <w:rtl w:val="true"/>
        </w:rPr>
        <w:t xml:space="preserve">, </w:t>
      </w:r>
      <w:r>
        <w:rPr>
          <w:rtl w:val="true"/>
        </w:rPr>
        <w:t>אלא שכאמור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מדובר בתוצאה עונשית מקלה עד מאוד</w:t>
      </w:r>
      <w:r>
        <w:rPr>
          <w:rtl w:val="true"/>
        </w:rPr>
        <w:t xml:space="preserve">. </w:t>
      </w:r>
      <w:r>
        <w:rPr>
          <w:rtl w:val="true"/>
        </w:rPr>
        <w:t>אין מילים לתאר ולהכיל את זוועת מעשיו מעוררי החלחלה של המערער</w:t>
      </w:r>
      <w:r>
        <w:rPr>
          <w:rtl w:val="true"/>
        </w:rPr>
        <w:t xml:space="preserve">. </w:t>
      </w:r>
      <w:r>
        <w:rPr>
          <w:rtl w:val="true"/>
        </w:rPr>
        <w:t>מעשים אשר גדעו את חייהם של שלושת המנוחים</w:t>
      </w:r>
      <w:r>
        <w:rPr>
          <w:rtl w:val="true"/>
        </w:rPr>
        <w:t xml:space="preserve">, </w:t>
      </w:r>
      <w:r>
        <w:rPr>
          <w:rtl w:val="true"/>
        </w:rPr>
        <w:t>ופצעו את גופם</w:t>
      </w:r>
      <w:r>
        <w:rPr>
          <w:rtl w:val="true"/>
        </w:rPr>
        <w:t xml:space="preserve">, </w:t>
      </w:r>
      <w:r>
        <w:rPr>
          <w:rtl w:val="true"/>
        </w:rPr>
        <w:t>וודאי שגם את נפשם</w:t>
      </w:r>
      <w:r>
        <w:rPr>
          <w:rtl w:val="true"/>
        </w:rPr>
        <w:t xml:space="preserve">, </w:t>
      </w:r>
      <w:r>
        <w:rPr>
          <w:rtl w:val="true"/>
        </w:rPr>
        <w:t>של שלושה נוספים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לחברתי ולחברי כי נדחה 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19.2.2023</w:t>
      </w:r>
      <w:r>
        <w:rPr>
          <w:rtl w:val="true"/>
        </w:rPr>
        <w:t xml:space="preserve">). </w:t>
      </w:r>
      <w:bookmarkEnd w:id="20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6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21026490</w:t>
      </w:r>
      <w:r>
        <w:rPr>
          <w:sz w:val="16"/>
          <w:rtl w:val="true"/>
        </w:rPr>
        <w:t>_</w:t>
      </w:r>
      <w:r>
        <w:rPr>
          <w:sz w:val="16"/>
        </w:rPr>
        <w:t>J10.docx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אלרון </w:t>
      </w:r>
      <w:r>
        <w:rPr>
          <w:rFonts w:cs="David;Times New Roman" w:ascii="David;Times New Roman" w:hAnsi="David;Times New Roman"/>
          <w:color w:val="000000"/>
          <w:szCs w:val="22"/>
        </w:rPr>
        <w:t>54678313-2649/21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2649/21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יצחק סילברה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05255" TargetMode="External"/><Relationship Id="rId3" Type="http://schemas.openxmlformats.org/officeDocument/2006/relationships/hyperlink" Target="http://www.nevo.co.il/safrut/book/26617" TargetMode="External"/><Relationship Id="rId4" Type="http://schemas.openxmlformats.org/officeDocument/2006/relationships/hyperlink" Target="http://www.nevo.co.il/safrut/book/26617" TargetMode="External"/><Relationship Id="rId5" Type="http://schemas.openxmlformats.org/officeDocument/2006/relationships/hyperlink" Target="http://www.nevo.co.il/safrut/bookgroup/2344" TargetMode="External"/><Relationship Id="rId6" Type="http://schemas.openxmlformats.org/officeDocument/2006/relationships/hyperlink" Target="http://www.nevo.co.il/safrut/bookgroup/23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77.a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301a" TargetMode="External"/><Relationship Id="rId12" Type="http://schemas.openxmlformats.org/officeDocument/2006/relationships/hyperlink" Target="http://www.nevo.co.il/law/70301/301a.a.9" TargetMode="External"/><Relationship Id="rId13" Type="http://schemas.openxmlformats.org/officeDocument/2006/relationships/hyperlink" Target="http://www.nevo.co.il/law/70301/310c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/335.a.2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53.a" TargetMode="External"/><Relationship Id="rId18" Type="http://schemas.openxmlformats.org/officeDocument/2006/relationships/hyperlink" Target="http://www.nevo.co.il/law/74903/153.a" TargetMode="External"/><Relationship Id="rId19" Type="http://schemas.openxmlformats.org/officeDocument/2006/relationships/hyperlink" Target="http://www.nevo.co.il/law/70301/300.a" TargetMode="External"/><Relationship Id="rId20" Type="http://schemas.openxmlformats.org/officeDocument/2006/relationships/hyperlink" Target="http://www.nevo.co.il/law/70301/301a" TargetMode="External"/><Relationship Id="rId21" Type="http://schemas.openxmlformats.org/officeDocument/2006/relationships/hyperlink" Target="http://www.nevo.co.il/law/70301/77.a" TargetMode="External"/><Relationship Id="rId22" Type="http://schemas.openxmlformats.org/officeDocument/2006/relationships/hyperlink" Target="http://www.nevo.co.il/law/70301/77.a" TargetMode="External"/><Relationship Id="rId23" Type="http://schemas.openxmlformats.org/officeDocument/2006/relationships/hyperlink" Target="http://www.nevo.co.il/case/16905255" TargetMode="External"/><Relationship Id="rId24" Type="http://schemas.openxmlformats.org/officeDocument/2006/relationships/hyperlink" Target="http://www.nevo.co.il/law/70301/300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/335.a.2" TargetMode="External"/><Relationship Id="rId28" Type="http://schemas.openxmlformats.org/officeDocument/2006/relationships/hyperlink" Target="http://www.nevo.co.il/law/70301/310c" TargetMode="External"/><Relationship Id="rId29" Type="http://schemas.openxmlformats.org/officeDocument/2006/relationships/hyperlink" Target="http://www.nevo.co.il/law/70301/333" TargetMode="External"/><Relationship Id="rId30" Type="http://schemas.openxmlformats.org/officeDocument/2006/relationships/hyperlink" Target="http://www.nevo.co.il/law/70301/335.a.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4903/153.a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case/27648809" TargetMode="External"/><Relationship Id="rId35" Type="http://schemas.openxmlformats.org/officeDocument/2006/relationships/hyperlink" Target="http://www.nevo.co.il/case/25305739" TargetMode="External"/><Relationship Id="rId36" Type="http://schemas.openxmlformats.org/officeDocument/2006/relationships/hyperlink" Target="http://www.nevo.co.il/safrut/bookgroup/2344" TargetMode="External"/><Relationship Id="rId37" Type="http://schemas.openxmlformats.org/officeDocument/2006/relationships/hyperlink" Target="http://www.nevo.co.il/case/28805715" TargetMode="External"/><Relationship Id="rId38" Type="http://schemas.openxmlformats.org/officeDocument/2006/relationships/hyperlink" Target="http://www.nevo.co.il/case/28614520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00.a" TargetMode="External"/><Relationship Id="rId41" Type="http://schemas.openxmlformats.org/officeDocument/2006/relationships/hyperlink" Target="http://www.nevo.co.il/law/70301/301a" TargetMode="External"/><Relationship Id="rId42" Type="http://schemas.openxmlformats.org/officeDocument/2006/relationships/hyperlink" Target="http://www.nevo.co.il/law/70301/298" TargetMode="External"/><Relationship Id="rId43" Type="http://schemas.openxmlformats.org/officeDocument/2006/relationships/hyperlink" Target="http://www.nevo.co.il/case/27443208" TargetMode="External"/><Relationship Id="rId44" Type="http://schemas.openxmlformats.org/officeDocument/2006/relationships/hyperlink" Target="http://www.nevo.co.il/case/28538252" TargetMode="External"/><Relationship Id="rId45" Type="http://schemas.openxmlformats.org/officeDocument/2006/relationships/hyperlink" Target="http://www.nevo.co.il/case/25535283" TargetMode="External"/><Relationship Id="rId46" Type="http://schemas.openxmlformats.org/officeDocument/2006/relationships/hyperlink" Target="http://www.nevo.co.il/case/28912788" TargetMode="External"/><Relationship Id="rId47" Type="http://schemas.openxmlformats.org/officeDocument/2006/relationships/hyperlink" Target="http://www.nevo.co.il/law/70301/301a.a.9" TargetMode="External"/><Relationship Id="rId48" Type="http://schemas.openxmlformats.org/officeDocument/2006/relationships/hyperlink" Target="http://www.nevo.co.il/case/25727571" TargetMode="External"/><Relationship Id="rId49" Type="http://schemas.openxmlformats.org/officeDocument/2006/relationships/hyperlink" Target="http://www.nevo.co.il/case/27912651" TargetMode="External"/><Relationship Id="rId50" Type="http://schemas.openxmlformats.org/officeDocument/2006/relationships/hyperlink" Target="http://www.nevo.co.il/case/5933664" TargetMode="External"/><Relationship Id="rId51" Type="http://schemas.openxmlformats.org/officeDocument/2006/relationships/hyperlink" Target="http://www.nevo.co.il/case/28313643" TargetMode="External"/><Relationship Id="rId52" Type="http://schemas.openxmlformats.org/officeDocument/2006/relationships/hyperlink" Target="http://www.nevo.co.il/case/27907115" TargetMode="External"/><Relationship Id="rId53" Type="http://schemas.openxmlformats.org/officeDocument/2006/relationships/hyperlink" Target="http://www.nevo.co.il/case/25305595" TargetMode="External"/><Relationship Id="rId54" Type="http://schemas.openxmlformats.org/officeDocument/2006/relationships/hyperlink" Target="http://www.nevo.co.il/law/70301/77.a" TargetMode="External"/><Relationship Id="rId55" Type="http://schemas.openxmlformats.org/officeDocument/2006/relationships/hyperlink" Target="http://www.nevo.co.il/case/20770422" TargetMode="External"/><Relationship Id="rId56" Type="http://schemas.openxmlformats.org/officeDocument/2006/relationships/hyperlink" Target="http://www.nevo.co.il/case/21477594" TargetMode="External"/><Relationship Id="rId57" Type="http://schemas.openxmlformats.org/officeDocument/2006/relationships/hyperlink" Target="http://www.nevo.co.il/safrut/book/26617" TargetMode="External"/><Relationship Id="rId58" Type="http://schemas.openxmlformats.org/officeDocument/2006/relationships/hyperlink" Target="http://www.nevo.co.il/case/7707493" TargetMode="External"/><Relationship Id="rId59" Type="http://schemas.openxmlformats.org/officeDocument/2006/relationships/hyperlink" Target="http://www.nevo.co.il/case/5685874" TargetMode="External"/><Relationship Id="rId60" Type="http://schemas.openxmlformats.org/officeDocument/2006/relationships/hyperlink" Target="http://www.nevo.co.il/law/70301/77.a" TargetMode="External"/><Relationship Id="rId61" Type="http://schemas.openxmlformats.org/officeDocument/2006/relationships/hyperlink" Target="http://www.nevo.co.il/case/21506844" TargetMode="External"/><Relationship Id="rId62" Type="http://schemas.openxmlformats.org/officeDocument/2006/relationships/hyperlink" Target="https://supreme.court.gov.il/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2023-02-20T08:04:00Z</dcterms:created>
  <dc:creator>h4</dc:creator>
  <dc:description/>
  <cp:keywords/>
  <dc:language>en-IL</dc:language>
  <cp:lastModifiedBy>orly</cp:lastModifiedBy>
  <cp:lastPrinted>2023-02-19T08:02:00Z</cp:lastPrinted>
  <dcterms:modified xsi:type="dcterms:W3CDTF">2023-02-20T08:04:00Z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יצחק סילברה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המנוח מ#ב ז#ל;משפחת המנוח א#ל ז#ל;משפחת המנוח ש#א ז#ל;ל#ס;ע#ב;עא#ק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2344</vt:lpwstr>
  </property>
  <property fmtid="{D5CDD505-2E9C-101B-9397-08002B2CF9AE}" pid="9" name="BOOKLISTTMP1">
    <vt:lpwstr>26617</vt:lpwstr>
  </property>
  <property fmtid="{D5CDD505-2E9C-101B-9397-08002B2CF9AE}" pid="10" name="CASESLISTTMP1">
    <vt:lpwstr>16905255:2;27648809;25305739;28805715;28614520;27443208;28538252;25535283;28912788;25727571;27912651;5933664;28313643;27907115;25305595;20770422;21477594;7707493;5685874;21506844</vt:lpwstr>
  </property>
  <property fmtid="{D5CDD505-2E9C-101B-9397-08002B2CF9AE}" pid="11" name="CITY">
    <vt:lpwstr/>
  </property>
  <property fmtid="{D5CDD505-2E9C-101B-9397-08002B2CF9AE}" pid="12" name="DATE">
    <vt:lpwstr>20230219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אלרון;ג' כנפי שטייניץ;י' כשר</vt:lpwstr>
  </property>
  <property fmtid="{D5CDD505-2E9C-101B-9397-08002B2CF9AE}" pid="16" name="LAWLISTTMP1">
    <vt:lpwstr>70301/300.a:2;333:2;335.a.2:2;310c;301a;298;301a.a.9;077.a:2</vt:lpwstr>
  </property>
  <property fmtid="{D5CDD505-2E9C-101B-9397-08002B2CF9AE}" pid="17" name="LAWLISTTMP2">
    <vt:lpwstr>74903/153.a</vt:lpwstr>
  </property>
  <property fmtid="{D5CDD505-2E9C-101B-9397-08002B2CF9AE}" pid="18" name="LAWYER">
    <vt:lpwstr>רחלי זוארץ לוי;שירן ברגמן;יגאל בלפור;שרית טובבין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>דיון פלילי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77;77;77;77;77;77;18</vt:lpwstr>
  </property>
  <property fmtid="{D5CDD505-2E9C-101B-9397-08002B2CF9AE}" pid="40" name="NOSE21">
    <vt:lpwstr>עבירת הרצח</vt:lpwstr>
  </property>
  <property fmtid="{D5CDD505-2E9C-101B-9397-08002B2CF9AE}" pid="41" name="NOSE210">
    <vt:lpwstr/>
  </property>
  <property fmtid="{D5CDD505-2E9C-101B-9397-08002B2CF9AE}" pid="42" name="NOSE22">
    <vt:lpwstr>עבירת הרצח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>הודאה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12455;12455;1446;1446;1446;1446;456</vt:lpwstr>
  </property>
  <property fmtid="{D5CDD505-2E9C-101B-9397-08002B2CF9AE}" pid="51" name="NOSE31">
    <vt:lpwstr>רצח באדישות</vt:lpwstr>
  </property>
  <property fmtid="{D5CDD505-2E9C-101B-9397-08002B2CF9AE}" pid="52" name="NOSE310">
    <vt:lpwstr/>
  </property>
  <property fmtid="{D5CDD505-2E9C-101B-9397-08002B2CF9AE}" pid="53" name="NOSE32">
    <vt:lpwstr>תיקון 137</vt:lpwstr>
  </property>
  <property fmtid="{D5CDD505-2E9C-101B-9397-08002B2CF9AE}" pid="54" name="NOSE33">
    <vt:lpwstr>מדיניות ענישה: עבירת רצח</vt:lpwstr>
  </property>
  <property fmtid="{D5CDD505-2E9C-101B-9397-08002B2CF9AE}" pid="55" name="NOSE34">
    <vt:lpwstr>מדיניות ענישה: אחדות הענישה</vt:lpwstr>
  </property>
  <property fmtid="{D5CDD505-2E9C-101B-9397-08002B2CF9AE}" pid="56" name="NOSE35">
    <vt:lpwstr>דרכי ענישה: פיצויים</vt:lpwstr>
  </property>
  <property fmtid="{D5CDD505-2E9C-101B-9397-08002B2CF9AE}" pid="57" name="NOSE36">
    <vt:lpwstr>מדיניות ענישה: התערבות ערכאת ערעור</vt:lpwstr>
  </property>
  <property fmtid="{D5CDD505-2E9C-101B-9397-08002B2CF9AE}" pid="58" name="NOSE37">
    <vt:lpwstr>חזרה מהודאה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19512;18905;14615;13222;8968;8982;3598</vt:lpwstr>
  </property>
  <property fmtid="{D5CDD505-2E9C-101B-9397-08002B2CF9AE}" pid="62" name="PADIDATE">
    <vt:lpwstr>20230220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2649</vt:lpwstr>
  </property>
  <property fmtid="{D5CDD505-2E9C-101B-9397-08002B2CF9AE}" pid="68" name="PROCYEAR">
    <vt:lpwstr>21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410120230219</vt:lpwstr>
  </property>
  <property fmtid="{D5CDD505-2E9C-101B-9397-08002B2CF9AE}" pid="72" name="TYPE_N_DATE">
    <vt:lpwstr>41020230219</vt:lpwstr>
  </property>
  <property fmtid="{D5CDD505-2E9C-101B-9397-08002B2CF9AE}" pid="73" name="VOLUME">
    <vt:lpwstr/>
  </property>
  <property fmtid="{D5CDD505-2E9C-101B-9397-08002B2CF9AE}" pid="74" name="WORDNUMPAGES">
    <vt:lpwstr>16</vt:lpwstr>
  </property>
</Properties>
</file>