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2665/21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המסים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פקיד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סיבוני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</w:t>
            </w:r>
            <w:r>
              <w:rPr>
                <w:sz w:val="24"/>
                <w:sz w:val="24"/>
                <w:szCs w:val="24"/>
                <w:rtl w:val="true"/>
              </w:rPr>
              <w:t>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13.4.2021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24123-07-18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טופף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15.07.2021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אבידוב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נהון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סננס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215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המסים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גביה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המכר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כתפי המדינה מונח הנטל המוגבר לנסח את הסדר הטיעון באופן שיבהיר בצורה הטובה ביותר את ההבנות בין הצדדים ואת התחייבויותיהם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 להבהיר לנאשם בעת עריכת ההסדר את כל המגבלות והכללים החלים עליה בנוגע למימושו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אילו סברה המדינה כי קיימת מגבלה על השבת הרכוש שנפדה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וירטואליים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 עיקולים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עליה להבהיר זאת מפורשות למשיב בעת עריכת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במאפייניהם הייחודיים של מטבעות ווירטואליים כדי לעלות או להוריד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הסדר טיעון – ניסוחו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הסדר טיעון – התחייבות המדינה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הסדר טיעון – סטייה ממנו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חוקתי – זכויות הפרט – זכויות חשודים ונאשמים פלילים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וירטואליים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חילוטם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שנחתם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מאשימה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ופקיד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טוענים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רובצים על הנכסים הללו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מונעים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דבר קיומם של העיקולים הרובצים על הרכוש התפוס לא צוין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 להדחות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מטעמיו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נוסח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הספציפי בין המדינה לבין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דכאן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שאליו הגיעו 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התוחם את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 המחלוקת בין הצדדים בדבר היכולת לפדות את המטבעות הווירטואליים עומדים שני סעיפים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 יתאפשר לפדות את פרטי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בהפקדת שוויים המלא כפי שזה מפורט בבקשת החילוט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 זה עוסק ביכולת של המשיב לקבל לידיו את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בכללו המטבעות הווירטואליים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תמורת הפקדת שוויו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המבהיר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וליתר הנאשמים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ענייני המס וחבותם האזרחית לרשויות המס מתנהלים בנפרד ובמובחן מההליך הפלילי והסדר זה אינו עוסק בחבות המס האזרחית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הנובעת מהתשתית העובדתית שעולה מכתב אישום זה או מכל עילה משפטית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מציגים את עמדתם על בסיס גישה פרשנית לפיה יש להסיק מסעיף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העיקולים עומדים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שלמעשה השבת הרכוש התפוס לחזקת המשיב הותנתה בהסרת העיקולים הרובצים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הקושי בעמדת המדינה הוא כי פרשנות סעיף חוב המס בדרך המוצעת על 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יוצרת סתירה חזיתית אל מול סעיף הפדיון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 התחייבות של המדינה בהסדר הטיעון לאפשר את פדיון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בכללו המטבעות הווירטואליים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לאמור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פרשנות המדינה לסעיף חוב המס מרוקנת מתוכן את סעיף הפדיון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כאילו אין לו משמעות כלל וכלל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לפרשנות המדינה לפיה סעיף חוב המס מבטל מניה וביה את סעיף הפדיון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ליישב את הסתירה ולפרש את ההסכם באופן שנותן מקום לשני הסעיפים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סעיף הפדיון יש לפרש כפשוטו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שבכפוף לתנאי הפקדת שוויו המוסכם של הרכוש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יכול לקבלו לידיו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סעיף חוב המס יש לראות כנועד להבהיר שאין בהסדר הטיעון כדי להשליך על חוב המס שעדיין תלוי ועומד וכי המשיב עדיין חשוף להליכי גביה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לסעיף הפדיון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עולה כי הפרשנות המוצעת על ידי המדינה סבירה פחות מפרשנותו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שעדיפה גם בהיותה בגדר פרשנות מקיימת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התוצאה אליה שואפת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שהיא תוצאה שאינה מתיישבת עם סעיפי ההסדר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לפגוע קשות במוסד הסדר הטיעון ובזכויות הנאשם בהליך הפלילי במישור הרחב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מהנימוקים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התנערות מעין זו של המדינה מהתחייבותה בהסדר הטיעון עשויה לפגוע באמינות השלטון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היווצרות ספק בדבר קיום התחייבויות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יכולתה לפרש את הבטחותיה ובכך לסגת מהן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להידרש לתנאי ההשתחררות מהסדר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אמון זה עשוי להקשות על התקשרויות עתידיות בהסדרי טיעון ובכך לחתור תחת מוסד חיוני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הצדדים להסדר טיעון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הנאשם והמדינה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קיים חוסר שוויון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 מהכוח הרב בידי המדינה והכלים שברשותה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שביכולתם להביא לשלילת חירותו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הסתלקות של המדינה מהתחייבותה בהסדר טיעון מונעת מהנאשם לכלכל את צעדיו באופן מיודע ובכך פוגעת בזכויותיו במסגרת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נקשר 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הודה בעבירות חמורות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וויתר על זכותו לנהל את ההליך הפלילי וכן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סכים לעונש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לנגד עיניו עומדת התחייבות המדינה לאפשר לו לפדות את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הפרשנות המוצעת על ידי המדינה עשויה לפגוע בזכות העל של הנאשם בפלילים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קיומו של הליך 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כתפי המדינה מונח הנטל המוגבר לנסח את הסדר הטיעון באופן שיבהיר בצורה הטובה ביותר את ההבנות בין הצדדים ואת התחייבויותיהם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 להבהיר לנאשם בעת עריכת ההסדר את כל המגבלות והכללים החלים עליה בנוגע למימושו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סברה המדינה כי קיימת מגבלה על השבת הרכוש שנפדה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 עיקולים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עליה להבהיר זאת מפורשות למשיב בעת עריכת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בפרט כאשר דבר קיומו של העיקול הראשון היה ידוע למדינה ולמערערים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עריכת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להלום מצב בו ייקרא תנאי זה לתוך ההסדר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המאפשר למדינה שלא לעמוד בהתחייבותה המפורשת כלפי המשיב כי יוכל לפדות את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ראוי שהמדינה תתחייב בהסדר טיעון כי המשיב יוכל לקבל את המטבעות הווירטואליים לאחר פדיונם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ותסכל התחייבות זו באמצעות רשות המיסים ופקיד שומה חיפה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המהווים זרועות 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בנסיבות המקרה לקבל את טענת המערערים לחוסר סמכות המדינה להסיר את העיקולים במסגרת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המדינה אינה כפופה לרשות המיסים ופקיד שומה חיפה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ידעו על הסדר הטיעון וסרבו לקחת בו חלק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 הייתה להם הסתייגות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עליהם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עלות אותה לפני המדינה טרם התגבש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סוף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התחייבה שהמשיב יקבל לידיו את המטבעות הווירטואליים לאחר פדיונם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שהעיקול הראשון אינו תופס אותם ואינו מונע את העברתם אליו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מניעה על הטלת עיקולים על ידי רשות המיסים ופקיד השומה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שיסכלו את קיום התחייבות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שבעקבותיה שינה המשיב את מצבו לרעה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 ביקשה המדינה להתנות השבה של רכוש התפוס על 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עליה לעשות זאת באופן מפורש במסגרת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במאפייניהם הייחודיים של מטבעות ווירטואליים כדי לעלות או להוריד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 כי הסכמת המדינה להסדר הטיעון כמוה כוויתור על זכויותיה בכספים במובן זה שהמשיב רשאי לפדות אותם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 בהסדר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 כי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הייתה סמכות להכריע בשאלת העברת ההחזקה במטבעות הווירטואליים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שאלה שנובעת במישרין מהסדר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ישנה חשיבות לכך שההסדר התרחש במסגרת הסדר טיעון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שבגינו המשיב הודה באשמה ונידון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למאסר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בתיקים עם היבטים כלכליים מובהקים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סעיפי הסדר הטיעון המתייחסים לגורלם של כספים שונים אינם שוליים אלא מהותיים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לדרוש מהמדינה להקפיד על ניסוח ההסדר ולהימנע מהכללת סעיפים סותרים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נכון להניח כי המדינה לא פעלה כך בצורה מכוונת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במצב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 הטיעון הוא המחייב והעיניים מופנות למשיב בתור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בשל היותו הצד החלש בהסדר והן בשל הכלל של ניהול משפט הוגן כלפי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פשיטא שבכגון דא על המדינה לעמוד בהתחייבויותיה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מסכים לאמור ומוסיף כי חובת ההגינות המוגברת החלה על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חייבה את המדינה בקיום ההסדר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24123-07-18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tl w:val="true"/>
        </w:rPr>
        <w:t xml:space="preserve">) </w:t>
      </w:r>
      <w:r>
        <w:rPr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פדה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מונעים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>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הנחוצות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לענייננו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   </w:t>
        <w:tab/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44904-12-18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התפוס</w:t>
      </w:r>
      <w:r>
        <w:rPr>
          <w:rtl w:val="true"/>
        </w:rPr>
        <w:t xml:space="preserve">), </w:t>
      </w:r>
      <w:r>
        <w:rPr>
          <w:rtl w:val="true"/>
        </w:rPr>
        <w:t>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ביטקוין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ואתריום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</w:t>
      </w:r>
      <w:r>
        <w:rPr>
          <w:rtl w:val="true"/>
        </w:rPr>
        <w:tab/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והמדינה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2018-2014</w:t>
      </w:r>
      <w:r>
        <w:rPr>
          <w:rtl w:val="true"/>
        </w:rPr>
        <w:t xml:space="preserve"> </w:t>
      </w:r>
      <w:r>
        <w:rPr>
          <w:rtl w:val="true"/>
        </w:rPr>
        <w:t>ארגן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</w:t>
      </w:r>
      <w:r>
        <w:rPr>
          <w:rtl w:val="true"/>
        </w:rPr>
        <w:t>י</w:t>
      </w:r>
      <w:r>
        <w:rPr>
          <w:rtl w:val="true"/>
        </w:rPr>
        <w:t>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);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התעסקות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; </w:t>
      </w:r>
      <w:r>
        <w:rPr>
          <w:rtl w:val="true"/>
        </w:rPr>
        <w:t>וריבוי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8"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בהפקדת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8.7.2020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שווי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ביטקוין</w:t>
      </w:r>
      <w:r>
        <w:rPr>
          <w:rtl w:val="true"/>
        </w:rPr>
        <w:t xml:space="preserve">,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הפדיון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8,788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יתרתו</w:t>
      </w:r>
      <w:r>
        <w:rPr>
          <w:rtl w:val="true"/>
        </w:rPr>
        <w:t xml:space="preserve">.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שעונים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/>
        <w:t>19.</w:t>
      </w:r>
      <w:r>
        <w:rPr/>
        <w:t>1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הביטקוין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581,621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אתריום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/>
        <w:t>4</w:t>
      </w:r>
      <w:r>
        <w:rPr/>
        <w:t>,426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1,002,248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tl w:val="true"/>
        </w:rPr>
        <w:t xml:space="preserve">, </w:t>
      </w:r>
      <w:r>
        <w:rPr>
          <w:rtl w:val="true"/>
        </w:rPr>
        <w:t>שעלה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לפדיונם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7.1.2021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 xml:space="preserve">לאחר בירור שערכה עם יחידת החילוט </w:t>
      </w:r>
      <w:r>
        <w:rPr>
          <w:rFonts w:ascii="FrankRuehl" w:hAnsi="FrankRuehl" w:eastAsia="FrankRuehl"/>
          <w:sz w:val="28"/>
          <w:sz w:val="28"/>
          <w:rtl w:val="true"/>
        </w:rPr>
        <w:t xml:space="preserve">במשרד האפוטרופוס הכללי </w:t>
      </w:r>
      <w:r>
        <w:rPr>
          <w:rFonts w:ascii="FrankRuehl" w:hAnsi="FrankRuehl" w:eastAsia="FrankRuehl"/>
          <w:sz w:val="28"/>
          <w:sz w:val="28"/>
          <w:rtl w:val="true"/>
        </w:rPr>
        <w:t>ועם המשטרה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אשר מחזיקות ב</w:t>
      </w:r>
      <w:r>
        <w:rPr>
          <w:rFonts w:ascii="FrankRuehl" w:hAnsi="FrankRuehl" w:eastAsia="FrankRuehl"/>
          <w:sz w:val="28"/>
          <w:sz w:val="28"/>
          <w:rtl w:val="true"/>
        </w:rPr>
        <w:t>רכוש התפוס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התברר כי לא ניתן לשחרר</w:t>
      </w:r>
      <w:r>
        <w:rPr>
          <w:rFonts w:ascii="FrankRuehl" w:hAnsi="FrankRuehl" w:eastAsia="FrankRuehl"/>
          <w:sz w:val="28"/>
          <w:sz w:val="28"/>
          <w:rtl w:val="true"/>
        </w:rPr>
        <w:t>ו</w:t>
      </w:r>
      <w:r>
        <w:rPr>
          <w:rFonts w:ascii="FrankRuehl" w:hAnsi="FrankRuehl" w:eastAsia="FrankRuehl"/>
          <w:sz w:val="28"/>
          <w:sz w:val="28"/>
          <w:rtl w:val="true"/>
        </w:rPr>
        <w:t xml:space="preserve"> שכן מוטל עליו העיקול הראשון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 xml:space="preserve">המדינה </w:t>
      </w:r>
      <w:r>
        <w:rPr>
          <w:rFonts w:ascii="FrankRuehl" w:hAnsi="FrankRuehl" w:eastAsia="FrankRuehl"/>
          <w:sz w:val="28"/>
          <w:sz w:val="28"/>
          <w:rtl w:val="true"/>
        </w:rPr>
        <w:t xml:space="preserve">הבהירה </w:t>
      </w:r>
      <w:r>
        <w:rPr>
          <w:rFonts w:ascii="FrankRuehl" w:hAnsi="FrankRuehl" w:eastAsia="FrankRuehl"/>
          <w:sz w:val="28"/>
          <w:sz w:val="28"/>
          <w:rtl w:val="true"/>
        </w:rPr>
        <w:t>כי היא נכונה לה</w:t>
      </w:r>
      <w:r>
        <w:rPr>
          <w:rFonts w:ascii="FrankRuehl" w:hAnsi="FrankRuehl" w:eastAsia="FrankRuehl"/>
          <w:sz w:val="28"/>
          <w:sz w:val="28"/>
          <w:rtl w:val="true"/>
        </w:rPr>
        <w:t xml:space="preserve">חזיר למשיב </w:t>
      </w:r>
      <w:r>
        <w:rPr>
          <w:rFonts w:ascii="FrankRuehl" w:hAnsi="FrankRuehl" w:eastAsia="FrankRuehl"/>
          <w:sz w:val="28"/>
          <w:sz w:val="28"/>
          <w:rtl w:val="true"/>
        </w:rPr>
        <w:t>את סכום הפדיון ששילם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אולם המשיב סירב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ab/>
      </w:r>
      <w:r>
        <w:rPr>
          <w:rFonts w:ascii="FrankRuehl" w:hAnsi="FrankRuehl" w:eastAsia="FrankRuehl"/>
          <w:sz w:val="28"/>
          <w:sz w:val="28"/>
          <w:rtl w:val="true"/>
        </w:rPr>
        <w:t>שישה ימים לאחר שהמשיב הפקיד את מלוא הסכום לפדיון פרטי הרכוש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הוצא</w:t>
      </w:r>
      <w:r>
        <w:rPr>
          <w:rFonts w:ascii="FrankRuehl" w:hAnsi="FrankRuehl" w:eastAsia="FrankRuehl"/>
          <w:sz w:val="28"/>
          <w:sz w:val="28"/>
          <w:rtl w:val="true"/>
        </w:rPr>
        <w:t xml:space="preserve"> צו עיקול</w:t>
      </w:r>
      <w:r>
        <w:rPr>
          <w:rFonts w:ascii="FrankRuehl" w:hAnsi="FrankRuehl" w:eastAsia="FrankRuehl"/>
          <w:sz w:val="28"/>
          <w:sz w:val="28"/>
          <w:rtl w:val="true"/>
        </w:rPr>
        <w:t xml:space="preserve"> נוסף</w:t>
      </w:r>
      <w:r>
        <w:rPr>
          <w:rFonts w:ascii="FrankRuehl" w:hAnsi="FrankRuehl" w:eastAsia="FrankRuehl"/>
          <w:sz w:val="28"/>
          <w:sz w:val="28"/>
          <w:rtl w:val="true"/>
        </w:rPr>
        <w:t xml:space="preserve"> על </w:t>
      </w:r>
      <w:r>
        <w:rPr>
          <w:rFonts w:ascii="FrankRuehl" w:hAnsi="FrankRuehl" w:eastAsia="FrankRuehl"/>
          <w:sz w:val="28"/>
          <w:sz w:val="28"/>
          <w:rtl w:val="true"/>
        </w:rPr>
        <w:t>הרכוש התפוס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 xml:space="preserve">מכוח </w:t>
      </w:r>
      <w:hyperlink r:id="rId31">
        <w:r>
          <w:rPr>
            <w:rStyle w:val="Hyperlink"/>
            <w:rFonts w:ascii="FrankRuehl" w:hAnsi="FrankRuehl" w:eastAsia="FrankRuehl"/>
            <w:sz w:val="28"/>
            <w:sz w:val="28"/>
            <w:rtl w:val="true"/>
          </w:rPr>
          <w:t xml:space="preserve">סעיפים </w:t>
        </w:r>
        <w:r>
          <w:rPr>
            <w:rStyle w:val="Hyperlink"/>
            <w:rFonts w:eastAsia="FrankRuehl" w:cs="FrankRuehl" w:ascii="FrankRuehl" w:hAnsi="FrankRuehl"/>
            <w:sz w:val="28"/>
          </w:rPr>
          <w:t>7</w:t>
        </w:r>
      </w:hyperlink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ו</w:t>
      </w:r>
      <w:r>
        <w:rPr>
          <w:rFonts w:eastAsia="FrankRuehl" w:cs="FrankRuehl" w:ascii="FrankRuehl" w:hAnsi="FrankRuehl"/>
          <w:sz w:val="28"/>
          <w:rtl w:val="true"/>
        </w:rPr>
        <w:t>-</w:t>
      </w:r>
      <w:hyperlink r:id="rId32">
        <w:r>
          <w:rPr>
            <w:rStyle w:val="Hyperlink"/>
            <w:rFonts w:eastAsia="FrankRuehl" w:cs="FrankRuehl" w:ascii="FrankRuehl" w:hAnsi="FrankRuehl"/>
            <w:sz w:val="28"/>
          </w:rPr>
          <w:t>7</w:t>
        </w:r>
        <w:r>
          <w:rPr>
            <w:rStyle w:val="Hyperlink"/>
            <w:rFonts w:ascii="FrankRuehl" w:hAnsi="FrankRuehl" w:eastAsia="FrankRuehl"/>
            <w:sz w:val="28"/>
            <w:sz w:val="28"/>
            <w:rtl w:val="true"/>
          </w:rPr>
          <w:t>ב</w:t>
        </w:r>
      </w:hyperlink>
      <w:r>
        <w:rPr>
          <w:rFonts w:ascii="FrankRuehl" w:hAnsi="FrankRuehl" w:eastAsia="FrankRuehl"/>
          <w:sz w:val="28"/>
          <w:sz w:val="28"/>
          <w:rtl w:val="true"/>
        </w:rPr>
        <w:t xml:space="preserve"> ל</w:t>
      </w:r>
      <w:hyperlink r:id="rId33">
        <w:r>
          <w:rPr>
            <w:rStyle w:val="Hyperlink"/>
            <w:rFonts w:ascii="FrankRuehl" w:hAnsi="FrankRuehl" w:eastAsia="FrankRuehl"/>
            <w:color w:val="0000FF"/>
            <w:sz w:val="28"/>
            <w:sz w:val="28"/>
            <w:u w:val="single"/>
            <w:rtl w:val="true"/>
          </w:rPr>
          <w:t xml:space="preserve">פקודת המיסים 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FrankRuehl"/>
            <w:color w:val="0000FF"/>
            <w:sz w:val="28"/>
            <w:sz w:val="28"/>
            <w:u w:val="single"/>
            <w:rtl w:val="true"/>
          </w:rPr>
          <w:t>גביה</w:t>
        </w:r>
        <w:r>
          <w:rPr>
            <w:rStyle w:val="Hyperlink"/>
            <w:rFonts w:eastAsia="FrankRuehl"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eastAsia="FrankRuehl"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 w:eastAsia="FrankRuehl"/>
          <w:sz w:val="28"/>
          <w:sz w:val="28"/>
          <w:rtl w:val="true"/>
        </w:rPr>
        <w:t>להלן</w:t>
      </w:r>
      <w:r>
        <w:rPr>
          <w:rFonts w:eastAsia="FrankRuehl" w:cs="FrankRuehl" w:ascii="FrankRuehl" w:hAnsi="FrankRuehl"/>
          <w:sz w:val="28"/>
          <w:rtl w:val="true"/>
        </w:rPr>
        <w:t xml:space="preserve">: </w:t>
      </w:r>
      <w:r>
        <w:rPr>
          <w:rFonts w:ascii="Miriam" w:hAnsi="Miriam" w:eastAsia="Miriam" w:cs="Miriam"/>
          <w:sz w:val="24"/>
          <w:sz w:val="24"/>
          <w:szCs w:val="24"/>
          <w:rtl w:val="true"/>
        </w:rPr>
        <w:t>העיקול השני</w:t>
      </w:r>
      <w:r>
        <w:rPr>
          <w:rFonts w:eastAsia="FrankRuehl" w:cs="FrankRuehl" w:ascii="FrankRuehl" w:hAnsi="FrankRuehl"/>
          <w:sz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ab/>
      </w:r>
      <w:r>
        <w:rPr>
          <w:rFonts w:ascii="FrankRuehl" w:hAnsi="FrankRuehl" w:eastAsia="FrankRuehl"/>
          <w:sz w:val="28"/>
          <w:sz w:val="28"/>
          <w:rtl w:val="true"/>
        </w:rPr>
        <w:t xml:space="preserve">מכאן בקשת המשיב להחזיר </w:t>
      </w:r>
      <w:r>
        <w:rPr>
          <w:rFonts w:ascii="FrankRuehl" w:hAnsi="FrankRuehl" w:eastAsia="FrankRuehl"/>
          <w:sz w:val="28"/>
          <w:sz w:val="28"/>
          <w:rtl w:val="true"/>
        </w:rPr>
        <w:t xml:space="preserve">לידיו </w:t>
      </w:r>
      <w:r>
        <w:rPr>
          <w:rFonts w:ascii="FrankRuehl" w:hAnsi="FrankRuehl" w:eastAsia="FrankRuehl"/>
          <w:sz w:val="28"/>
          <w:sz w:val="28"/>
          <w:rtl w:val="true"/>
        </w:rPr>
        <w:t xml:space="preserve">את </w:t>
      </w:r>
      <w:r>
        <w:rPr>
          <w:rFonts w:ascii="FrankRuehl" w:hAnsi="FrankRuehl" w:eastAsia="FrankRuehl"/>
          <w:sz w:val="28"/>
          <w:sz w:val="28"/>
          <w:rtl w:val="true"/>
        </w:rPr>
        <w:t xml:space="preserve">פרטי </w:t>
      </w:r>
      <w:r>
        <w:rPr>
          <w:rFonts w:ascii="FrankRuehl" w:hAnsi="FrankRuehl" w:eastAsia="FrankRuehl"/>
          <w:sz w:val="28"/>
          <w:sz w:val="28"/>
          <w:rtl w:val="true"/>
        </w:rPr>
        <w:t>הרכוש התפוס</w:t>
      </w:r>
      <w:r>
        <w:rPr>
          <w:rFonts w:ascii="FrankRuehl" w:hAnsi="FrankRuehl" w:eastAsia="FrankRuehl"/>
          <w:sz w:val="28"/>
          <w:sz w:val="28"/>
          <w:rtl w:val="true"/>
        </w:rPr>
        <w:t xml:space="preserve"> אותם פדה </w:t>
      </w:r>
      <w:r>
        <w:rPr>
          <w:rFonts w:eastAsia="FrankRuehl" w:cs="FrankRuehl" w:ascii="FrankRuehl" w:hAnsi="FrankRuehl"/>
          <w:sz w:val="28"/>
          <w:rtl w:val="true"/>
        </w:rPr>
        <w:t>(</w:t>
      </w:r>
      <w:r>
        <w:rPr>
          <w:rFonts w:ascii="FrankRuehl" w:hAnsi="FrankRuehl" w:eastAsia="FrankRuehl"/>
          <w:sz w:val="28"/>
          <w:sz w:val="28"/>
          <w:rtl w:val="true"/>
        </w:rPr>
        <w:t>להלן</w:t>
      </w:r>
      <w:r>
        <w:rPr>
          <w:rFonts w:eastAsia="FrankRuehl" w:cs="FrankRuehl" w:ascii="FrankRuehl" w:hAnsi="FrankRuehl"/>
          <w:sz w:val="28"/>
          <w:rtl w:val="true"/>
        </w:rPr>
        <w:t xml:space="preserve">: </w:t>
      </w:r>
      <w:r>
        <w:rPr>
          <w:rFonts w:ascii="Century" w:hAnsi="Century" w:eastAsia="FrankRuehl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FrankRuehl" w:cs="Miriam"/>
          <w:b/>
          <w:b/>
          <w:spacing w:val="0"/>
          <w:szCs w:val="24"/>
          <w:rtl w:val="true"/>
        </w:rPr>
        <w:t>להשבת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FrankRuehl" w:cs="Miriam"/>
          <w:b/>
          <w:b/>
          <w:spacing w:val="0"/>
          <w:szCs w:val="24"/>
          <w:rtl w:val="true"/>
        </w:rPr>
        <w:t>הרכוש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FrankRuehl" w:cs="Miriam"/>
          <w:b/>
          <w:b/>
          <w:spacing w:val="0"/>
          <w:szCs w:val="24"/>
          <w:rtl w:val="true"/>
        </w:rPr>
        <w:t>התפוס</w:t>
      </w:r>
      <w:r>
        <w:rPr>
          <w:rFonts w:eastAsia="FrankRuehl" w:cs="FrankRuehl" w:ascii="FrankRuehl" w:hAnsi="FrankRuehl"/>
          <w:sz w:val="28"/>
          <w:rtl w:val="true"/>
        </w:rPr>
        <w:t>)</w:t>
      </w:r>
      <w:r>
        <w:rPr>
          <w:rFonts w:eastAsia="FrankRuehl"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b/>
          <w:sz w:val="22"/>
          <w:sz w:val="22"/>
          <w:rtl w:val="true"/>
        </w:rPr>
        <w:t>תמצית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ההחלטות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מושא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FrankRuehl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spacing w:before="240" w:after="240"/>
        <w:ind w:end="0"/>
        <w:jc w:val="both"/>
        <w:rPr>
          <w:rFonts w:eastAsia="FrankRuehl" w:cs="Miriam"/>
          <w:b/>
          <w:sz w:val="22"/>
        </w:rPr>
      </w:pPr>
      <w:r>
        <w:rPr>
          <w:rFonts w:eastAsia="FrankRuehl" w:cs="Miriam"/>
          <w:b/>
          <w:sz w:val="22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</w:rPr>
        <w:t>2</w:t>
      </w:r>
      <w:r>
        <w:rPr>
          <w:rFonts w:eastAsia="FrankRuehl"/>
          <w:rtl w:val="true"/>
        </w:rPr>
        <w:t>.</w:t>
        <w:tab/>
      </w:r>
      <w:r>
        <w:rPr>
          <w:rFonts w:eastAsia="FrankRuehl"/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בבקש</w:t>
      </w:r>
      <w:r>
        <w:rPr>
          <w:rFonts w:eastAsia="FrankRuehl"/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להשבת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לשחרר</w:t>
      </w:r>
      <w:r>
        <w:rPr>
          <w:rFonts w:eastAsia="FrankRuehl"/>
          <w:rtl w:val="true"/>
        </w:rPr>
        <w:t>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חילוט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הופקע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</w:t>
      </w:r>
      <w:r>
        <w:rPr>
          <w:rFonts w:eastAsia="FrankRuehl"/>
          <w:rtl w:val="true"/>
        </w:rPr>
        <w:t>הבעלות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עוד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היתר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והובא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הטיעון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הפדיון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שלטונית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הפדיון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ברכוש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לחזקתו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33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35">
        <w:r>
          <w:rPr>
            <w:rStyle w:val="Hyperlink"/>
            <w:rFonts w:eastAsia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המכר</w:t>
        </w:r>
      </w:hyperlink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התשכ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ח</w:t>
      </w:r>
      <w:r>
        <w:rPr>
          <w:rFonts w:eastAsia="FrankRuehl"/>
          <w:rtl w:val="true"/>
        </w:rPr>
        <w:t>-</w:t>
      </w:r>
      <w:r>
        <w:rPr>
          <w:rFonts w:eastAsia="FrankRuehl"/>
        </w:rPr>
        <w:t>1968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לפיכך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תופס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אותו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לבסוף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</w:t>
      </w:r>
      <w:r>
        <w:rPr>
          <w:rFonts w:eastAsia="FrankRuehl"/>
          <w:rtl w:val="true"/>
        </w:rPr>
        <w:t>י</w:t>
      </w:r>
      <w:r>
        <w:rPr>
          <w:rFonts w:eastAsia="FrankRuehl"/>
          <w:rtl w:val="true"/>
        </w:rPr>
        <w:t>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שיחזיק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הברחת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הנכסים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</w:t>
      </w:r>
      <w:r>
        <w:rPr>
          <w:rFonts w:eastAsia="FrankRuehl"/>
          <w:rtl w:val="true"/>
        </w:rPr>
        <w:t>סכל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המס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שהשבת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לארנק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דיגיטלי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שיה</w:t>
      </w:r>
      <w:r>
        <w:rPr>
          <w:rFonts w:eastAsia="FrankRuehl"/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</w:t>
      </w:r>
      <w:r>
        <w:rPr>
          <w:rFonts w:eastAsia="FrankRuehl"/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r>
        <w:rPr>
          <w:rFonts w:eastAsia="FrankRuehl"/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</w:t>
      </w:r>
      <w:r>
        <w:rPr>
          <w:rFonts w:eastAsia="FrankRuehl"/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לעיל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טכנית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לארנק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דיגיטלי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>,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r>
        <w:rPr>
          <w:rFonts w:eastAsia="FrankRuehl"/>
          <w:rtl w:val="true"/>
        </w:rPr>
        <w:t>החל</w:t>
      </w:r>
      <w:r>
        <w:rPr>
          <w:rFonts w:eastAsia="FrankRuehl"/>
          <w:rtl w:val="true"/>
        </w:rPr>
        <w:t>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בבקש</w:t>
      </w:r>
      <w:r>
        <w:rPr>
          <w:rFonts w:eastAsia="FrankRuehl"/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להשבת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אולם</w:t>
      </w:r>
      <w:r>
        <w:rPr>
          <w:rFonts w:eastAsia="FrankRuehl"/>
          <w:rtl w:val="true"/>
        </w:rPr>
        <w:t>,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פועל</w:t>
      </w:r>
      <w:r>
        <w:rPr>
          <w:rFonts w:eastAsia="FrankRuehl"/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לארנק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הדיגיטלי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שפרטיו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יסופקו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</w:t>
      </w:r>
      <w:r>
        <w:rPr>
          <w:rFonts w:eastAsia="FrankRuehl"/>
          <w:rtl w:val="true"/>
        </w:rPr>
        <w:t>ו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שנפדה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בכללו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שיועבר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לערער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r>
        <w:rPr>
          <w:rFonts w:eastAsia="FrankRuehl"/>
          <w:rtl w:val="true"/>
        </w:rPr>
        <w:t>בקש</w:t>
      </w:r>
      <w:r>
        <w:rPr>
          <w:rFonts w:eastAsia="FrankRuehl"/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להשבת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פקיד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חיפה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Fonts w:eastAsia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המסים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(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גביה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)</w:t>
        </w:r>
      </w:hyperlink>
      <w:r>
        <w:rPr>
          <w:rFonts w:eastAsia="FrankRuehl"/>
          <w:rtl w:val="true"/>
        </w:rPr>
        <w:t xml:space="preserve"> (</w:t>
      </w:r>
      <w:r>
        <w:rPr>
          <w:rFonts w:eastAsia="FrankRuehl"/>
          <w:rtl w:val="true"/>
        </w:rPr>
        <w:t>להלן</w:t>
      </w:r>
      <w:r>
        <w:rPr>
          <w:rFonts w:eastAsia="FrankRuehl"/>
          <w:rtl w:val="true"/>
        </w:rPr>
        <w:t xml:space="preserve">: </w:t>
      </w:r>
      <w:r>
        <w:rPr>
          <w:rFonts w:eastAsia="FrankRuehl" w:cs="Miriam"/>
          <w:b/>
          <w:b/>
          <w:spacing w:val="0"/>
          <w:szCs w:val="24"/>
          <w:rtl w:val="true"/>
        </w:rPr>
        <w:t>העיקול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השלישי</w:t>
      </w:r>
      <w:r>
        <w:rPr>
          <w:rFonts w:eastAsia="FrankRuehl"/>
          <w:rtl w:val="true"/>
        </w:rPr>
        <w:t xml:space="preserve">). </w:t>
      </w:r>
      <w:r>
        <w:rPr>
          <w:rFonts w:eastAsia="FrankRuehl"/>
          <w:rtl w:val="true"/>
        </w:rPr>
        <w:t>ברם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בנספחי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</w:t>
      </w:r>
      <w:r>
        <w:rPr>
          <w:rFonts w:eastAsia="FrankRuehl"/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וממילא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בהמשך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שלפנינו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זה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להסכמה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החלטה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</w:t>
      </w:r>
      <w:r>
        <w:rPr>
          <w:rFonts w:eastAsia="FrankRuehl"/>
          <w:rtl w:val="true"/>
        </w:rPr>
        <w:t>שעונים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</w:t>
      </w:r>
      <w:r>
        <w:rPr>
          <w:rFonts w:eastAsia="FrankRuehl"/>
          <w:rtl w:val="true"/>
        </w:rPr>
        <w:t>תכשיטים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שוחררו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תפוסים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ערכם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</w:t>
      </w:r>
      <w:r>
        <w:rPr>
          <w:rFonts w:eastAsia="FrankRuehl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יידחה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הפרש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ייזקף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חובו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המיסים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הבהרה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משיגים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הסתייגותם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מהחלטת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מחזרתה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רשאים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שיועברו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הנוחות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"</w:t>
      </w:r>
      <w:r>
        <w:rPr>
          <w:rFonts w:eastAsia="FrankRuehl"/>
          <w:rtl w:val="true"/>
        </w:rPr>
        <w:t>החלטה</w:t>
      </w:r>
      <w:r>
        <w:rPr>
          <w:rFonts w:eastAsia="FrankRuehl"/>
          <w:rtl w:val="true"/>
        </w:rPr>
        <w:t xml:space="preserve">" </w:t>
      </w:r>
      <w:r>
        <w:rPr>
          <w:rFonts w:eastAsia="FrankRuehl"/>
          <w:rtl w:val="true"/>
        </w:rPr>
        <w:t>בהמשך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r>
        <w:rPr>
          <w:rFonts w:eastAsia="FrankRuehl"/>
          <w:rtl w:val="true"/>
        </w:rPr>
        <w:t>בקש</w:t>
      </w:r>
      <w:r>
        <w:rPr>
          <w:rFonts w:eastAsia="FrankRuehl"/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להשבת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Normal"/>
        <w:spacing w:before="240" w:after="240"/>
        <w:ind w:end="0"/>
        <w:jc w:val="both"/>
        <w:rPr/>
      </w:pPr>
      <w:r>
        <w:rPr>
          <w:rFonts w:ascii="Miriam" w:hAnsi="Miriam" w:eastAsia="Miriam" w:cs="Miriam"/>
          <w:sz w:val="24"/>
          <w:sz w:val="24"/>
          <w:rtl w:val="true"/>
        </w:rPr>
        <w:t xml:space="preserve">עיקרי </w:t>
      </w:r>
      <w:r>
        <w:rPr>
          <w:rFonts w:ascii="Miriam" w:hAnsi="Miriam" w:eastAsia="Miriam" w:cs="Miriam"/>
          <w:sz w:val="24"/>
          <w:sz w:val="24"/>
          <w:rtl w:val="true"/>
        </w:rPr>
        <w:t>טענות הצדדים</w:t>
      </w:r>
    </w:p>
    <w:p>
      <w:pPr>
        <w:pStyle w:val="Normal"/>
        <w:spacing w:before="240" w:after="240"/>
        <w:ind w:end="0"/>
        <w:jc w:val="both"/>
        <w:rPr>
          <w:rFonts w:ascii="Miriam" w:hAnsi="Miriam" w:eastAsia="Miriam" w:cs="Miriam"/>
          <w:sz w:val="24"/>
        </w:rPr>
      </w:pPr>
      <w:r>
        <w:rPr>
          <w:rFonts w:eastAsia="Miriam" w:cs="Miriam" w:ascii="Miriam" w:hAnsi="Miriam"/>
          <w:sz w:val="24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</w:rPr>
        <w:t>3</w:t>
      </w:r>
      <w:r>
        <w:rPr>
          <w:rFonts w:eastAsia="FrankRuehl"/>
          <w:rtl w:val="true"/>
        </w:rPr>
        <w:t xml:space="preserve">.   </w:t>
        <w:tab/>
      </w:r>
      <w:r>
        <w:rPr>
          <w:rFonts w:eastAsia="FrankRuehl"/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שגגות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בהחל</w:t>
      </w:r>
      <w:r>
        <w:rPr>
          <w:rFonts w:eastAsia="FrankRuehl"/>
          <w:rtl w:val="true"/>
        </w:rPr>
        <w:t>טה</w:t>
      </w:r>
      <w:r>
        <w:rPr>
          <w:rFonts w:eastAsia="FrankRuehl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Fonts w:eastAsia="FrankRuehl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ראשית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העיקולים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</w:t>
      </w:r>
      <w:r>
        <w:rPr>
          <w:rFonts w:eastAsia="FrankRuehl"/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הפלילי</w:t>
      </w:r>
      <w:r>
        <w:rPr>
          <w:rFonts w:eastAsia="FrankRuehl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Arial TUR;Arial" w:cs="Arial TUR;Arial"/>
          <w:rtl w:val="true"/>
        </w:rPr>
        <w:t xml:space="preserve">      </w:t>
      </w:r>
      <w:r>
        <w:rPr>
          <w:rtl w:val="true"/>
        </w:rPr>
        <w:tab/>
      </w:r>
      <w:r>
        <w:rPr>
          <w:rFonts w:eastAsia="FrankRuehl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הראשון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</w:t>
      </w:r>
      <w:r>
        <w:rPr>
          <w:rFonts w:eastAsia="FrankRuehl"/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התפוס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לרבוץ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לכן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להעבירם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השני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</w:t>
      </w:r>
      <w:r>
        <w:rPr>
          <w:rFonts w:eastAsia="FrankRuehl"/>
          <w:rtl w:val="true"/>
        </w:rPr>
        <w:t>גישתם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להטילו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Fonts w:eastAsia="FrankRuehl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Fonts w:eastAsia="FrankRuehl"/>
          </w:rPr>
          <w:t>33</w:t>
        </w:r>
      </w:hyperlink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</w:t>
      </w:r>
      <w:hyperlink r:id="rId38">
        <w:r>
          <w:rPr>
            <w:rStyle w:val="Hyperlink"/>
            <w:rFonts w:eastAsia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המכר</w:t>
        </w:r>
      </w:hyperlink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לטעמם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פדיון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נכס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חילוטו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Fonts w:eastAsia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rankRuehl"/>
            <w:color w:val="0000FF"/>
            <w:u w:val="single"/>
            <w:rtl w:val="true"/>
          </w:rPr>
          <w:t>המכר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בענייננו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מוסיפים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מרוקנת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מוסד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צדדים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שלישיים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ועלולה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להברחת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נכסים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להיפרע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מהם</w:t>
      </w:r>
      <w:r>
        <w:rPr>
          <w:rFonts w:eastAsia="FrankRuehl"/>
          <w:rtl w:val="true"/>
        </w:rPr>
        <w:t>.</w:t>
      </w:r>
      <w:r>
        <w:rPr>
          <w:rFonts w:eastAsia="FrankRuehl"/>
          <w:rtl w:val="true"/>
        </w:rPr>
        <w:t xml:space="preserve"> </w:t>
      </w:r>
      <w:r>
        <w:rPr>
          <w:rFonts w:eastAsia="FrankRuehl"/>
          <w:rtl w:val="true"/>
        </w:rPr>
        <w:t>זאת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וירטואליים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הנעדרים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העברתם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לתפסם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גורסים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העניקה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שלטונית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אזרחי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זאת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אזרחיים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לפתחה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המיסים</w:t>
      </w:r>
      <w:r>
        <w:rPr>
          <w:rFonts w:eastAsia="FrankRuehl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</w:rPr>
        <w:t>4</w:t>
      </w:r>
      <w:r>
        <w:rPr>
          <w:rFonts w:eastAsia="FrankRuehl"/>
          <w:rtl w:val="true"/>
        </w:rPr>
        <w:t xml:space="preserve">.   </w:t>
        <w:tab/>
      </w:r>
      <w:r>
        <w:rPr>
          <w:rFonts w:eastAsia="FrankRuehl"/>
          <w:rtl w:val="true"/>
        </w:rPr>
        <w:t>מנגד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סומך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קמא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הראשון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שחולטו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</w:t>
      </w:r>
      <w:r>
        <w:rPr>
          <w:rFonts w:eastAsia="FrankRuehl"/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נקיה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השני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להטיל</w:t>
      </w:r>
      <w:r>
        <w:rPr>
          <w:rFonts w:eastAsia="FrankRuehl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המדינה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</w:t>
      </w:r>
      <w:r>
        <w:rPr>
          <w:rFonts w:eastAsia="FrankRuehl"/>
          <w:rtl w:val="true"/>
        </w:rPr>
        <w:tab/>
      </w:r>
      <w:r>
        <w:rPr>
          <w:rFonts w:eastAsia="FrankRuehl"/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הבטחה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שלטונית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ובמצגים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מוקדמים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תאפשר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ולקבלו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יפקיד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שוויו</w:t>
      </w:r>
      <w:r>
        <w:rPr>
          <w:rFonts w:eastAsia="FrankRuehl"/>
          <w:rtl w:val="true"/>
        </w:rPr>
        <w:t xml:space="preserve">. </w:t>
      </w:r>
      <w:r>
        <w:rPr>
          <w:rFonts w:eastAsia="FrankRuehl"/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להבהרה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ובגזר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הדין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חבותו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בעינה</w:t>
      </w:r>
      <w:r>
        <w:rPr>
          <w:rFonts w:eastAsia="FrankRuehl"/>
          <w:rtl w:val="true"/>
        </w:rPr>
        <w:t xml:space="preserve">, </w:t>
      </w:r>
      <w:r>
        <w:rPr>
          <w:rFonts w:eastAsia="FrankRuehl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מטרתה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להתריע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עודו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חשוף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ל</w:t>
      </w:r>
      <w:r>
        <w:rPr>
          <w:rFonts w:eastAsia="FrankRuehl"/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FrankRuehl"/>
          <w:rtl w:val="true"/>
        </w:rPr>
        <w:t>גביה</w:t>
      </w:r>
      <w:r>
        <w:rPr>
          <w:rFonts w:eastAsia="FrankRuehl"/>
          <w:rtl w:val="true"/>
        </w:rPr>
        <w:t>.</w:t>
      </w:r>
    </w:p>
    <w:p>
      <w:pPr>
        <w:pStyle w:val="Ruller41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</w:rPr>
        <w:t>5</w:t>
      </w:r>
      <w:r>
        <w:rPr>
          <w:rFonts w:eastAsia="FrankRuehl" w:cs="FrankRuehl" w:ascii="FrankRuehl" w:hAnsi="FrankRuehl"/>
          <w:sz w:val="28"/>
          <w:rtl w:val="true"/>
        </w:rPr>
        <w:t>.</w:t>
        <w:tab/>
      </w:r>
      <w:r>
        <w:rPr>
          <w:rFonts w:ascii="FrankRuehl" w:hAnsi="FrankRuehl" w:eastAsia="FrankRuehl"/>
          <w:sz w:val="28"/>
          <w:sz w:val="28"/>
          <w:rtl w:val="true"/>
        </w:rPr>
        <w:t>הסדר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הטיעון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 xml:space="preserve">בין המדינה לבין נאשם במסגרת הליך פלילי </w:t>
      </w:r>
      <w:r>
        <w:rPr>
          <w:rFonts w:ascii="FrankRuehl" w:hAnsi="FrankRuehl" w:eastAsia="FrankRuehl"/>
          <w:sz w:val="28"/>
          <w:sz w:val="28"/>
          <w:rtl w:val="true"/>
        </w:rPr>
        <w:t>הוא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כור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מחצבת</w:t>
      </w:r>
      <w:r>
        <w:rPr>
          <w:rFonts w:ascii="FrankRuehl" w:hAnsi="FrankRuehl" w:eastAsia="FrankRuehl"/>
          <w:sz w:val="28"/>
          <w:sz w:val="28"/>
          <w:rtl w:val="true"/>
        </w:rPr>
        <w:t>ו של ההליך לפנינו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והוא תוחם את הדיון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בהפקדת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סעיף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הפדיון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בכללו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.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פדיון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255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הפדיון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תשחרר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 xml:space="preserve">המבהיר </w:t>
      </w:r>
      <w:r>
        <w:rPr>
          <w:rFonts w:ascii="FrankRuehl" w:hAnsi="FrankRuehl" w:eastAsia="FrankRuehl"/>
          <w:sz w:val="28"/>
          <w:sz w:val="28"/>
          <w:rtl w:val="true"/>
        </w:rPr>
        <w:t>למשיב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FrankRuehl" w:cs="FrankRuehl" w:ascii="FrankRuehl" w:hAnsi="FrankRuehl"/>
          <w:sz w:val="28"/>
          <w:rtl w:val="true"/>
        </w:rPr>
        <w:t>" (</w:t>
      </w:r>
      <w:r>
        <w:rPr>
          <w:rFonts w:eastAsia="FrankRuehl"/>
          <w:rtl w:val="true"/>
        </w:rPr>
        <w:t>להלן</w:t>
      </w:r>
      <w:r>
        <w:rPr>
          <w:rFonts w:eastAsia="FrankRuehl"/>
          <w:rtl w:val="true"/>
        </w:rPr>
        <w:t>:</w:t>
      </w:r>
      <w:r>
        <w:rPr>
          <w:rFonts w:eastAsia="FrankRuehl" w:cs="Miriam"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סעיף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חוב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Cs w:val="24"/>
          <w:rtl w:val="true"/>
        </w:rPr>
        <w:t>המס</w:t>
      </w:r>
      <w:r>
        <w:rPr>
          <w:rFonts w:eastAsia="FrankRuehl" w:cs="FrankRuehl" w:ascii="FrankRuehl" w:hAnsi="FrankRuehl"/>
          <w:sz w:val="28"/>
          <w:rtl w:val="true"/>
        </w:rPr>
        <w:t>).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מכאן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הם מסיקים כי העיקולים עומדים בעינם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כך שלמעשה השבת הרכוש התפוס לחזקת המשיב הותנתה בהסרת העיקולים הרובצים עליו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הקושי בעמדת המדינה הוא כי פרשנות סעיף חוב המס בדרך המוצעת על ידה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יוצרת סתירה חזיתית אל מול סעיף הפדיון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הכולל התחייבות של המדינה בהסדר הטיעון לאפשר את פדיון הרכוש התפוס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בכללו המטבעות הווירטואליים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לאמור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פרשנות המדינה לסעיף חוב המס מרוקנת מתוכן את סעיף הפדיון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כאילו אין לו משמעות כלל וכלל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color w:val="000000"/>
          <w:sz w:val="28"/>
        </w:rPr>
      </w:pPr>
      <w:r>
        <w:rPr>
          <w:rFonts w:cs="Century" w:ascii="Century" w:hAnsi="Century"/>
          <w:color w:val="000000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בניגוד לפרשנות המדינה לפיה סעיף חוב המס מבטל מניה וביה את סעיף הפדיון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ליישב את הסתירה ולפרש את ההסכם באופן שנותן מקום לשני הסעיפים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את סעיף הפדיון יש לפרש כפשוטו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שבכפוף לתנאי הפקדת שוויו המוסכם של הרכוש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 יכול לקבלו לידיו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סעיף חוב המס יש לראות כנועד להבהיר שאין בהסדר הטיעון כדי להשליך על חוב המס שעדיין תלוי ועומד וכי המשיב עדיין חשוף להליכי גביה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לסעיף הפדיון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עולה כי הפרשנות המוצעת על ידי המדינה סבירה פחות מפרשנותו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שעדיפה גם בהיותה בגדר פרשנות מקיימת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התוצאה אליה שואפת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תוצאה שאינה מתיישבת עם סעיפי ההסדר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עלולה לפגוע קשות במוסד הסדר הטיעון ובזכויות הנאשם בהליך הפלילי במישור הרחב יותר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התנערות מעין זו של המדינה מהתחייבותה בהסדר הטיעון עשויה לפגוע באמינות השלטון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היווצרות ספק בדבר קיום התחייבויות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יכולתה לפרש את הבטחותיה ובכך לסגת מהן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מבלי להידרש לתנאי ההשתחררות מהסדר טיעון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>צ</w:t>
        </w:r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0"/>
            <w:u w:val="single"/>
          </w:rPr>
          <w:t>218/85</w:t>
        </w:r>
      </w:hyperlink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ארביב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נ</w:t>
      </w:r>
      <w:r>
        <w:rPr>
          <w:rFonts w:cs="Miriam"/>
          <w:b/>
          <w:spacing w:val="0"/>
          <w:sz w:val="2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פרקליטות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מחוז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תל</w:t>
      </w:r>
      <w:r>
        <w:rPr>
          <w:rFonts w:cs="Miriam"/>
          <w:b/>
          <w:spacing w:val="0"/>
          <w:sz w:val="20"/>
          <w:szCs w:val="24"/>
          <w:rtl w:val="true"/>
        </w:rPr>
        <w:t>-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אביב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פ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ד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cs="Century" w:ascii="Century" w:hAnsi="Century"/>
          <w:sz w:val="20"/>
        </w:rPr>
        <w:t>2</w:t>
      </w:r>
      <w:r>
        <w:rPr>
          <w:rFonts w:cs="Century" w:ascii="Century" w:hAnsi="Century"/>
          <w:sz w:val="20"/>
          <w:rtl w:val="true"/>
        </w:rPr>
        <w:t xml:space="preserve">) </w:t>
      </w:r>
      <w:r>
        <w:rPr>
          <w:rFonts w:cs="Century" w:ascii="Century" w:hAnsi="Century"/>
          <w:sz w:val="20"/>
        </w:rPr>
        <w:t>393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cs="Century" w:ascii="Century" w:hAnsi="Century"/>
          <w:sz w:val="20"/>
        </w:rPr>
        <w:t>404-402</w:t>
      </w:r>
      <w:r>
        <w:rPr>
          <w:rFonts w:cs="Century" w:ascii="Century" w:hAnsi="Century"/>
          <w:sz w:val="20"/>
          <w:rtl w:val="true"/>
        </w:rPr>
        <w:t xml:space="preserve"> (</w:t>
      </w:r>
      <w:r>
        <w:rPr>
          <w:rFonts w:cs="Century" w:ascii="Century" w:hAnsi="Century"/>
          <w:sz w:val="20"/>
        </w:rPr>
        <w:t>8.4.1986</w:t>
      </w:r>
      <w:r>
        <w:rPr>
          <w:rFonts w:cs="Century" w:ascii="Century" w:hAnsi="Century"/>
          <w:sz w:val="20"/>
          <w:rtl w:val="true"/>
        </w:rPr>
        <w:t>) (</w:t>
      </w:r>
      <w:r>
        <w:rPr>
          <w:rFonts w:ascii="Century" w:hAnsi="Century" w:cs="Century"/>
          <w:sz w:val="20"/>
          <w:sz w:val="20"/>
          <w:rtl w:val="true"/>
        </w:rPr>
        <w:t>להלן</w:t>
      </w:r>
      <w:r>
        <w:rPr>
          <w:rFonts w:cs="Century" w:ascii="Century" w:hAnsi="Century"/>
          <w:sz w:val="20"/>
          <w:rtl w:val="true"/>
        </w:rPr>
        <w:t>:</w:t>
      </w:r>
      <w:r>
        <w:rPr>
          <w:rFonts w:cs="Miriam"/>
          <w:b/>
          <w:spacing w:val="0"/>
          <w:sz w:val="20"/>
          <w:szCs w:val="24"/>
          <w:rtl w:val="true"/>
        </w:rPr>
        <w:t xml:space="preserve"> </w:t>
      </w:r>
      <w:r>
        <w:rPr>
          <w:rFonts w:eastAsia="FrankRuehl" w:cs="Miriam"/>
          <w:b/>
          <w:b/>
          <w:spacing w:val="0"/>
          <w:sz w:val="20"/>
          <w:sz w:val="20"/>
          <w:szCs w:val="24"/>
          <w:rtl w:val="true"/>
        </w:rPr>
        <w:t>עניין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eastAsia="FrankRuehl" w:cs="Miriam"/>
          <w:b/>
          <w:b/>
          <w:spacing w:val="0"/>
          <w:sz w:val="20"/>
          <w:sz w:val="20"/>
          <w:szCs w:val="24"/>
          <w:rtl w:val="true"/>
        </w:rPr>
        <w:t>ארביב</w:t>
      </w:r>
      <w:r>
        <w:rPr>
          <w:rFonts w:eastAsia="FrankRuehl" w:cs="FrankRuehl" w:ascii="FrankRuehl" w:hAnsi="FrankRuehl"/>
          <w:sz w:val="28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חוסר אמון זה עשוי להקשות על התקשרויות עתידיות בהסדרי טיעון ובכך לחתור תחת מוסד חיוני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31.3.2005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הצדדים להסדר טיעון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הנאשם והמדינה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קיים חוסר שוויון משמעותי</w:t>
      </w:r>
      <w:r>
        <w:rPr>
          <w:rtl w:val="true"/>
        </w:rPr>
        <w:t xml:space="preserve">,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שברשותה</w:t>
      </w:r>
      <w:r>
        <w:rPr>
          <w:rtl w:val="true"/>
        </w:rPr>
        <w:t xml:space="preserve">, </w:t>
      </w:r>
      <w:r>
        <w:rPr>
          <w:rtl w:val="true"/>
        </w:rPr>
        <w:t>שביכולתם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tl w:val="true"/>
        </w:rPr>
        <w:t xml:space="preserve">; </w:t>
      </w:r>
      <w:r>
        <w:rPr>
          <w:rFonts w:cs="Century" w:ascii="Century" w:hAnsi="Century"/>
        </w:rPr>
        <w:t xml:space="preserve">Alan Wertheimer, </w:t>
      </w:r>
      <w:r>
        <w:rPr>
          <w:rFonts w:cs="Century" w:ascii="Century" w:hAnsi="Century"/>
          <w:i/>
          <w:iCs/>
        </w:rPr>
        <w:t>The Prosecutor and the Gunman</w:t>
      </w:r>
      <w:r>
        <w:rPr>
          <w:rFonts w:cs="Century" w:ascii="Century" w:hAnsi="Century"/>
          <w:smallCaps/>
        </w:rPr>
        <w:t>, 89 Ethics 269</w:t>
      </w:r>
      <w:r>
        <w:rPr>
          <w:rFonts w:cs="Century" w:ascii="Century" w:hAnsi="Century"/>
        </w:rPr>
        <w:t xml:space="preserve"> (1979)</w:t>
      </w:r>
      <w:r>
        <w:rPr>
          <w:rtl w:val="true"/>
        </w:rPr>
        <w:t xml:space="preserve">). </w:t>
      </w:r>
      <w:r>
        <w:rPr>
          <w:rtl w:val="true"/>
        </w:rPr>
        <w:t>הסתלקות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מהתחייבותה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מונעת מהנאשם לכלכל את צעדיו באופן מיודע ובכך פוגעת בזכויותיו במסגרת ההליך הפלילי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יוזכר כי </w:t>
      </w:r>
      <w:r>
        <w:rPr>
          <w:rFonts w:ascii="FrankRuehl" w:hAnsi="FrankRuehl"/>
          <w:color w:val="000000"/>
          <w:sz w:val="28"/>
          <w:sz w:val="28"/>
          <w:rtl w:val="true"/>
        </w:rPr>
        <w:t>המשיב נקשר בה</w:t>
      </w:r>
      <w:r>
        <w:rPr>
          <w:rFonts w:ascii="FrankRuehl" w:hAnsi="FrankRuehl"/>
          <w:color w:val="000000"/>
          <w:sz w:val="28"/>
          <w:sz w:val="28"/>
          <w:rtl w:val="true"/>
        </w:rPr>
        <w:t>סדר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הטיעון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הודה בעבירות חמורות </w:t>
      </w:r>
      <w:r>
        <w:rPr>
          <w:rFonts w:ascii="FrankRuehl" w:hAnsi="FrankRuehl"/>
          <w:color w:val="000000"/>
          <w:sz w:val="28"/>
          <w:sz w:val="28"/>
          <w:rtl w:val="true"/>
        </w:rPr>
        <w:t>ובכך וויתר על זכותו לנהל את ההליך הפלילי וכן 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סכים לעונש מאסר של </w:t>
      </w:r>
      <w:r>
        <w:rPr>
          <w:rFonts w:cs="FrankRuehl" w:ascii="FrankRuehl" w:hAnsi="FrankRuehl"/>
          <w:color w:val="000000"/>
          <w:sz w:val="28"/>
        </w:rPr>
        <w:t>24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כאשר לנגד עיניו עומדת התחייבות המדינה לאפשר לו לפדות את הרכוש התפוס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התחייבויותיהם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שנפדה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 xml:space="preserve">בפרט כאשר דבר קיומו של העיקול הראשון היה ידוע למדינה ולמערערים </w:t>
      </w:r>
      <w:r>
        <w:rPr>
          <w:rFonts w:eastAsia="FrankRuehl" w:cs="FrankRuehl" w:ascii="FrankRuehl" w:hAnsi="FrankRuehl"/>
          <w:sz w:val="28"/>
        </w:rPr>
        <w:t>2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ו</w:t>
      </w:r>
      <w:r>
        <w:rPr>
          <w:rFonts w:eastAsia="FrankRuehl" w:cs="FrankRuehl" w:ascii="FrankRuehl" w:hAnsi="FrankRuehl"/>
          <w:sz w:val="28"/>
          <w:rtl w:val="true"/>
        </w:rPr>
        <w:t>-</w:t>
      </w:r>
      <w:r>
        <w:rPr>
          <w:rFonts w:eastAsia="FrankRuehl" w:cs="FrankRuehl" w:ascii="FrankRuehl" w:hAnsi="FrankRuehl"/>
          <w:sz w:val="28"/>
        </w:rPr>
        <w:t>3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בעת עריכת הסדר הטיעון</w:t>
      </w:r>
      <w:r>
        <w:rPr>
          <w:rFonts w:eastAsia="FrankRuehl"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אין להלום מצב בו ייקרא תנאי זה לתוך ההסדר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המאפשר למדינה שלא לעמוד בהתחייבותה המפורשת כלפי המשיב כי יוכל לפדות את הרכוש התפוס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פדיונם</w:t>
      </w:r>
      <w:r>
        <w:rPr>
          <w:rtl w:val="true"/>
        </w:rPr>
        <w:t xml:space="preserve">, </w:t>
      </w:r>
      <w:r>
        <w:rPr>
          <w:rtl w:val="true"/>
        </w:rPr>
        <w:t>ותסכל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לו הייתה להם הסתייגות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היה עליהם ל</w:t>
      </w:r>
      <w:r>
        <w:rPr>
          <w:rFonts w:ascii="FrankRuehl" w:hAnsi="FrankRuehl"/>
          <w:color w:val="000000"/>
          <w:sz w:val="28"/>
          <w:sz w:val="28"/>
          <w:rtl w:val="true"/>
        </w:rPr>
        <w:t>ה</w:t>
      </w:r>
      <w:r>
        <w:rPr>
          <w:rFonts w:ascii="FrankRuehl" w:hAnsi="FrankRuehl"/>
          <w:color w:val="000000"/>
          <w:sz w:val="28"/>
          <w:sz w:val="28"/>
          <w:rtl w:val="true"/>
        </w:rPr>
        <w:t>עלות אותה לפני המדינה טרם התגבש הסדר הטיעון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בל נשכח כי בניגוד להליכים רבים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 שעומד מול הפרט בהליך הפלילי מוגדר על פי חוק כמדינת ישראל ומכאן כוחו ומעמדו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FrankRuehl" w:cs="FrankRuehl" w:ascii="FrankRuehl" w:hAnsi="FrankRuehl"/>
          <w:sz w:val="28"/>
        </w:rPr>
        <w:t>8</w:t>
      </w:r>
      <w:r>
        <w:rPr>
          <w:rFonts w:eastAsia="FrankRuehl" w:cs="FrankRuehl" w:ascii="FrankRuehl" w:hAnsi="FrankRuehl"/>
          <w:sz w:val="28"/>
          <w:rtl w:val="true"/>
        </w:rPr>
        <w:t xml:space="preserve">.  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פדיונם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השומה</w:t>
      </w:r>
      <w:r>
        <w:rPr>
          <w:rtl w:val="true"/>
        </w:rPr>
        <w:t xml:space="preserve">, </w:t>
      </w:r>
      <w:r>
        <w:rPr>
          <w:rtl w:val="true"/>
        </w:rPr>
        <w:t>שיסכלו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ווירטואליים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יוצא כי לבית המשפט המחוזי הייתה סמכות להכריע בשאלת העברת ההחזקה במטבעות הווירטואליים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שאלה שנובעת במישרין מהסדר הטיעון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הנובעת מהתחייבות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מצריכה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מנגנון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יצירתי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והופקע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ופדיונו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המכר</w:t>
        </w:r>
      </w:hyperlink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שהוצע על ידי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צורך להכריע בתיק זה בשאלות הקנייניות שהעלו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כך או 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העיקר בתיק זה הוא נוסח הסדר הטיעון הספציפי שאליו הגיעו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להשלמת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מכוחו של סעיף חוב המס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חובו של המשיב עומד בעינו ורשות המיסים תוכל לגבות את החוב על פי הדרכים המשפטיות המוענקות לה על פי 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דרכים אשר אינן עומדות בניגוד להסדר</w:t>
      </w:r>
      <w:r>
        <w:rPr>
          <w:rFonts w:cs="Century" w:ascii="Century" w:hAnsi="Century"/>
          <w:rtl w:val="true"/>
        </w:rPr>
        <w:t>.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ab/>
      </w:r>
      <w:r>
        <w:rPr>
          <w:rFonts w:ascii="FrankRuehl" w:hAnsi="FrankRuehl" w:eastAsia="FrankRuehl"/>
          <w:sz w:val="28"/>
          <w:sz w:val="28"/>
          <w:rtl w:val="true"/>
        </w:rPr>
        <w:t>יודגש כי המערערים מציגים את עמדתם על בסיס גישה פרשנית של סעיפי הסדר הטיעון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בעניין זה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אין לקבל את גישתם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יושם אל לב כי המערערים לא טוענים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ובצדק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כי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מדובר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במקרה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חריג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בו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ניתן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לאפשר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למדינה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להשתחרר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מהסדר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הטיעון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בשל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אינטרס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הציבור</w:t>
      </w:r>
      <w:r>
        <w:rPr>
          <w:rFonts w:ascii="FrankRuehl" w:hAnsi="FrankRuehl" w:eastAsia="FrankRuehl"/>
          <w:sz w:val="28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(</w:t>
      </w:r>
      <w:r>
        <w:rPr>
          <w:rFonts w:ascii="FrankRuehl" w:hAnsi="FrankRuehl" w:eastAsia="FrankRuehl"/>
          <w:sz w:val="28"/>
          <w:sz w:val="28"/>
          <w:rtl w:val="true"/>
        </w:rPr>
        <w:t xml:space="preserve">ראו עניין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ארביב</w:t>
      </w:r>
      <w:r>
        <w:rPr>
          <w:rFonts w:eastAsia="FrankRuehl" w:cs="FrankRuehl" w:ascii="FrankRuehl" w:hAnsi="FrankRuehl"/>
          <w:sz w:val="28"/>
          <w:rtl w:val="true"/>
        </w:rPr>
        <w:t>).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ישנה חשיבות לכך שההסדר התרחש במסגרת הסדר טיעון פלילי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שבגינו המשיב הודה באשמה ונידון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כאמור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 xml:space="preserve">למאסר לתקופה של </w:t>
      </w:r>
      <w:r>
        <w:rPr>
          <w:rFonts w:eastAsia="FrankRuehl" w:cs="FrankRuehl" w:ascii="FrankRuehl" w:hAnsi="FrankRuehl"/>
          <w:sz w:val="28"/>
        </w:rPr>
        <w:t>24</w:t>
      </w: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eastAsia="FrankRuehl"/>
          <w:sz w:val="28"/>
          <w:sz w:val="28"/>
          <w:rtl w:val="true"/>
        </w:rPr>
        <w:t>חודשים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בתיקים עם היבטים כלכליים מובהקים של הנאשם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סעיפי הסדר הטיעון המתייחסים לגורלם של כספים שונים אינם שוליים אלא מהותיים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לכן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נכון לדרוש מהמדינה להקפיד על ניסוח ההסדר ולהימנע מהכללת סעיפים סותרים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מוכן אני להניח כי המדינה לא פעלה כך בצורה מכוונת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ברם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גם במצב זה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הסדר הטיעון הוא המחייב והעיניים מופנות למשיב בתור נאשם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הן בשל היותו הצד החלש בהסדר והן בשל הכלל של ניהול משפט הוגן כלפי נאשם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פשיטא שבכגון דא על המדינה לעמוד בהתחייבויותיה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אני מסכים עם מסקנתו והנמקותיו של חברי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. </w:t>
      </w:r>
      <w:r>
        <w:rPr>
          <w:rtl w:val="true"/>
        </w:rPr>
        <w:t>על מכלול הנמקותיו הייתי מוסיף את חובת ההגינות המוגברת החלה על המדינה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הסדר טיעון הינו חוזה ככל חוזה שהצדדים לו מחויבים לקיימו בתום לב</w:t>
      </w:r>
      <w:r>
        <w:rPr>
          <w:rtl w:val="true"/>
        </w:rPr>
        <w:t xml:space="preserve">. </w:t>
      </w:r>
      <w:r>
        <w:rPr>
          <w:rtl w:val="true"/>
        </w:rPr>
        <w:t>בענייננו אחד הצדדים לחוזה הוא המדינה המחויבת בחובת הגינות מוגברת כלפי הפרט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האוצר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349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חובת הגינות מוגברת זו כשלעצמה חייבה את המדינה בקיום ההסדר כפי שהסביר כאמור באריכות המשנה לנשיאה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28.3.2022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21026650</w:t>
      </w:r>
      <w:r>
        <w:rPr>
          <w:sz w:val="16"/>
          <w:rtl w:val="true"/>
        </w:rPr>
        <w:t>_</w:t>
      </w:r>
      <w:r>
        <w:rPr>
          <w:sz w:val="16"/>
        </w:rPr>
        <w:t>Z06.docx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54678313-2665/21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2665/21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 שלום סיבוני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73160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law/84255/194" TargetMode="External"/><Relationship Id="rId5" Type="http://schemas.openxmlformats.org/officeDocument/2006/relationships/hyperlink" Target="http://www.nevo.co.il/law/84255/215a.b" TargetMode="External"/><Relationship Id="rId6" Type="http://schemas.openxmlformats.org/officeDocument/2006/relationships/hyperlink" Target="http://www.nevo.co.il/law/84255/216.5" TargetMode="External"/><Relationship Id="rId7" Type="http://schemas.openxmlformats.org/officeDocument/2006/relationships/hyperlink" Target="http://www.nevo.co.il/law/84255/220.1" TargetMode="External"/><Relationship Id="rId8" Type="http://schemas.openxmlformats.org/officeDocument/2006/relationships/hyperlink" Target="http://www.nevo.co.il/law/84255/220.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25" TargetMode="External"/><Relationship Id="rId11" Type="http://schemas.openxmlformats.org/officeDocument/2006/relationships/hyperlink" Target="http://www.nevo.co.il/law/74345" TargetMode="External"/><Relationship Id="rId12" Type="http://schemas.openxmlformats.org/officeDocument/2006/relationships/hyperlink" Target="http://www.nevo.co.il/law/74345/4" TargetMode="External"/><Relationship Id="rId13" Type="http://schemas.openxmlformats.org/officeDocument/2006/relationships/hyperlink" Target="http://www.nevo.co.il/law/72762" TargetMode="External"/><Relationship Id="rId14" Type="http://schemas.openxmlformats.org/officeDocument/2006/relationships/hyperlink" Target="http://www.nevo.co.il/law/72762/7" TargetMode="External"/><Relationship Id="rId15" Type="http://schemas.openxmlformats.org/officeDocument/2006/relationships/hyperlink" Target="http://www.nevo.co.il/law/72762/7b" TargetMode="External"/><Relationship Id="rId16" Type="http://schemas.openxmlformats.org/officeDocument/2006/relationships/hyperlink" Target="http://www.nevo.co.il/law/72489" TargetMode="External"/><Relationship Id="rId17" Type="http://schemas.openxmlformats.org/officeDocument/2006/relationships/hyperlink" Target="http://www.nevo.co.il/law/72489/33" TargetMode="External"/><Relationship Id="rId18" Type="http://schemas.openxmlformats.org/officeDocument/2006/relationships/hyperlink" Target="http://www.nevo.co.il/case/24373160" TargetMode="External"/><Relationship Id="rId19" Type="http://schemas.openxmlformats.org/officeDocument/2006/relationships/hyperlink" Target="http://www.nevo.co.il/law/84255/194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case/25244810" TargetMode="External"/><Relationship Id="rId22" Type="http://schemas.openxmlformats.org/officeDocument/2006/relationships/hyperlink" Target="http://www.nevo.co.il/law/70301/2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345/4" TargetMode="External"/><Relationship Id="rId25" Type="http://schemas.openxmlformats.org/officeDocument/2006/relationships/hyperlink" Target="http://www.nevo.co.il/law/74345" TargetMode="External"/><Relationship Id="rId26" Type="http://schemas.openxmlformats.org/officeDocument/2006/relationships/hyperlink" Target="http://www.nevo.co.il/law/84255/215a.b" TargetMode="External"/><Relationship Id="rId27" Type="http://schemas.openxmlformats.org/officeDocument/2006/relationships/hyperlink" Target="http://www.nevo.co.il/law/84255/220.5" TargetMode="External"/><Relationship Id="rId28" Type="http://schemas.openxmlformats.org/officeDocument/2006/relationships/hyperlink" Target="http://www.nevo.co.il/law/84255/220.1" TargetMode="External"/><Relationship Id="rId29" Type="http://schemas.openxmlformats.org/officeDocument/2006/relationships/hyperlink" Target="http://www.nevo.co.il/law/84255/216.5" TargetMode="External"/><Relationship Id="rId30" Type="http://schemas.openxmlformats.org/officeDocument/2006/relationships/hyperlink" Target="http://www.nevo.co.il/law/84255" TargetMode="External"/><Relationship Id="rId31" Type="http://schemas.openxmlformats.org/officeDocument/2006/relationships/hyperlink" Target="http://www.nevo.co.il/law/72762/7" TargetMode="External"/><Relationship Id="rId32" Type="http://schemas.openxmlformats.org/officeDocument/2006/relationships/hyperlink" Target="http://www.nevo.co.il/law/72762/7b" TargetMode="External"/><Relationship Id="rId33" Type="http://schemas.openxmlformats.org/officeDocument/2006/relationships/hyperlink" Target="http://www.nevo.co.il/law/72762" TargetMode="External"/><Relationship Id="rId34" Type="http://schemas.openxmlformats.org/officeDocument/2006/relationships/hyperlink" Target="http://www.nevo.co.il/law/72489/33" TargetMode="External"/><Relationship Id="rId35" Type="http://schemas.openxmlformats.org/officeDocument/2006/relationships/hyperlink" Target="http://www.nevo.co.il/law/72489" TargetMode="External"/><Relationship Id="rId36" Type="http://schemas.openxmlformats.org/officeDocument/2006/relationships/hyperlink" Target="http://www.nevo.co.il/law/72762" TargetMode="External"/><Relationship Id="rId37" Type="http://schemas.openxmlformats.org/officeDocument/2006/relationships/hyperlink" Target="http://www.nevo.co.il/law/72489/33" TargetMode="External"/><Relationship Id="rId38" Type="http://schemas.openxmlformats.org/officeDocument/2006/relationships/hyperlink" Target="http://www.nevo.co.il/law/72489" TargetMode="External"/><Relationship Id="rId39" Type="http://schemas.openxmlformats.org/officeDocument/2006/relationships/hyperlink" Target="http://www.nevo.co.il/law/72489" TargetMode="External"/><Relationship Id="rId40" Type="http://schemas.openxmlformats.org/officeDocument/2006/relationships/hyperlink" Target="http://www.nevo.co.il/case/17943390" TargetMode="External"/><Relationship Id="rId41" Type="http://schemas.openxmlformats.org/officeDocument/2006/relationships/hyperlink" Target="http://www.nevo.co.il/case/5752835" TargetMode="External"/><Relationship Id="rId42" Type="http://schemas.openxmlformats.org/officeDocument/2006/relationships/hyperlink" Target="http://www.nevo.co.il/case/6243572" TargetMode="External"/><Relationship Id="rId43" Type="http://schemas.openxmlformats.org/officeDocument/2006/relationships/hyperlink" Target="http://www.nevo.co.il/case/5714884" TargetMode="External"/><Relationship Id="rId44" Type="http://schemas.openxmlformats.org/officeDocument/2006/relationships/hyperlink" Target="http://www.nevo.co.il/law/72489" TargetMode="External"/><Relationship Id="rId45" Type="http://schemas.openxmlformats.org/officeDocument/2006/relationships/hyperlink" Target="http://www.nevo.co.il/case/5681512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2022-03-29T07:23:00Z</dcterms:created>
  <dc:creator>h4</dc:creator>
  <dc:description/>
  <cp:keywords/>
  <dc:language>en-IL</dc:language>
  <cp:lastModifiedBy>orly</cp:lastModifiedBy>
  <cp:lastPrinted>2022-03-28T11:00:00Z</cp:lastPrinted>
  <dcterms:modified xsi:type="dcterms:W3CDTF">2022-03-29T07:23:00Z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ישראל;רשות המסים;פקיד שומה חיפה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 שלום סיבוני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24373160:2;25244810;17943390;5752835;6243572;5714884;5681512</vt:lpwstr>
  </property>
  <property fmtid="{D5CDD505-2E9C-101B-9397-08002B2CF9AE}" pid="9" name="CITY">
    <vt:lpwstr/>
  </property>
  <property fmtid="{D5CDD505-2E9C-101B-9397-08002B2CF9AE}" pid="10" name="DATE">
    <vt:lpwstr>20220328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קרא;א' שטיין;נ' הנדל</vt:lpwstr>
  </property>
  <property fmtid="{D5CDD505-2E9C-101B-9397-08002B2CF9AE}" pid="14" name="LAWLISTTMP1">
    <vt:lpwstr>84255/194;215a.b;220.5;220.1;216.5</vt:lpwstr>
  </property>
  <property fmtid="{D5CDD505-2E9C-101B-9397-08002B2CF9AE}" pid="15" name="LAWLISTTMP2">
    <vt:lpwstr>70301/225</vt:lpwstr>
  </property>
  <property fmtid="{D5CDD505-2E9C-101B-9397-08002B2CF9AE}" pid="16" name="LAWLISTTMP3">
    <vt:lpwstr>74345/004</vt:lpwstr>
  </property>
  <property fmtid="{D5CDD505-2E9C-101B-9397-08002B2CF9AE}" pid="17" name="LAWLISTTMP4">
    <vt:lpwstr>72762/007;007b</vt:lpwstr>
  </property>
  <property fmtid="{D5CDD505-2E9C-101B-9397-08002B2CF9AE}" pid="18" name="LAWLISTTMP5">
    <vt:lpwstr>72489/033:2</vt:lpwstr>
  </property>
  <property fmtid="{D5CDD505-2E9C-101B-9397-08002B2CF9AE}" pid="19" name="LAWYER">
    <vt:lpwstr>שילה ענבר;תמיר סננס;שלי גבאי;חן אבידוב;שרון בכר נהון;נריה בר און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>דיון פלילי</vt:lpwstr>
  </property>
  <property fmtid="{D5CDD505-2E9C-101B-9397-08002B2CF9AE}" pid="34" name="NOSE14">
    <vt:lpwstr>משפט חוקתי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18;18;18;59</vt:lpwstr>
  </property>
  <property fmtid="{D5CDD505-2E9C-101B-9397-08002B2CF9AE}" pid="41" name="NOSE21">
    <vt:lpwstr>הסדר טיעון</vt:lpwstr>
  </property>
  <property fmtid="{D5CDD505-2E9C-101B-9397-08002B2CF9AE}" pid="42" name="NOSE210">
    <vt:lpwstr/>
  </property>
  <property fmtid="{D5CDD505-2E9C-101B-9397-08002B2CF9AE}" pid="43" name="NOSE22">
    <vt:lpwstr>הסדר טיעון</vt:lpwstr>
  </property>
  <property fmtid="{D5CDD505-2E9C-101B-9397-08002B2CF9AE}" pid="44" name="NOSE23">
    <vt:lpwstr>הסדר טיעון</vt:lpwstr>
  </property>
  <property fmtid="{D5CDD505-2E9C-101B-9397-08002B2CF9AE}" pid="45" name="NOSE24">
    <vt:lpwstr>זכויות הפרט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461;461;461;1108</vt:lpwstr>
  </property>
  <property fmtid="{D5CDD505-2E9C-101B-9397-08002B2CF9AE}" pid="52" name="NOSE31">
    <vt:lpwstr>ניסוחו</vt:lpwstr>
  </property>
  <property fmtid="{D5CDD505-2E9C-101B-9397-08002B2CF9AE}" pid="53" name="NOSE310">
    <vt:lpwstr/>
  </property>
  <property fmtid="{D5CDD505-2E9C-101B-9397-08002B2CF9AE}" pid="54" name="NOSE32">
    <vt:lpwstr>התחייבות המדינה</vt:lpwstr>
  </property>
  <property fmtid="{D5CDD505-2E9C-101B-9397-08002B2CF9AE}" pid="55" name="NOSE33">
    <vt:lpwstr>סטייה ממנו</vt:lpwstr>
  </property>
  <property fmtid="{D5CDD505-2E9C-101B-9397-08002B2CF9AE}" pid="56" name="NOSE34">
    <vt:lpwstr>זכויות חשודים ונאשמים פלילים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3725;14349;3612;6828</vt:lpwstr>
  </property>
  <property fmtid="{D5CDD505-2E9C-101B-9397-08002B2CF9AE}" pid="63" name="PADIDATE">
    <vt:lpwstr>20220329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2665</vt:lpwstr>
  </property>
  <property fmtid="{D5CDD505-2E9C-101B-9397-08002B2CF9AE}" pid="69" name="PROCYEAR">
    <vt:lpwstr>21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410120220328</vt:lpwstr>
  </property>
  <property fmtid="{D5CDD505-2E9C-101B-9397-08002B2CF9AE}" pid="73" name="TYPE_N_DATE">
    <vt:lpwstr>41020220328</vt:lpwstr>
  </property>
  <property fmtid="{D5CDD505-2E9C-101B-9397-08002B2CF9AE}" pid="74" name="VOLUME">
    <vt:lpwstr/>
  </property>
  <property fmtid="{D5CDD505-2E9C-101B-9397-08002B2CF9AE}" pid="75" name="WORDNUMPAGES">
    <vt:lpwstr>13</vt:lpwstr>
  </property>
</Properties>
</file>