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2684/16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20225-08-14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17.2.2016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נועם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עם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3.10.2017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נדב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גרינולד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דפנה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שמול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cxspmiddle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ruller4cxspmiddle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נדחה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שהושת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ואלימות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נפסק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גזר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מגלם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כדבעי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האיזון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ואינו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חורג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מרף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המקובל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המותנה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הופעל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נתונה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הסמכות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אופן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הפעלתו</w:t>
      </w:r>
      <w:r>
        <w:rPr>
          <w:rFonts w:cs="FrankRuehl"/>
          <w:szCs w:val="26"/>
          <w:rtl w:val="true"/>
        </w:rPr>
        <w:t>.</w:t>
      </w:r>
    </w:p>
    <w:p>
      <w:pPr>
        <w:pStyle w:val="ruller4cxspmiddle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במשפחה</w:t>
      </w:r>
    </w:p>
    <w:p>
      <w:pPr>
        <w:pStyle w:val="ruller4cxspmiddle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</w:p>
    <w:p>
      <w:pPr>
        <w:pStyle w:val="ruller4cxspmiddle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התערבות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</w:p>
    <w:p>
      <w:pPr>
        <w:pStyle w:val="ruller4cxspmiddle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שיקולים</w:t>
      </w:r>
    </w:p>
    <w:p>
      <w:pPr>
        <w:pStyle w:val="ruller4cxspmiddle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הפעלת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</w:p>
    <w:p>
      <w:pPr>
        <w:pStyle w:val="ruller4cxspmiddle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הגורמת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ושלשו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שחמישה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ירוצו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במצטבר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לאשתו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מופנה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cxspmiddle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סולברג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שגזרה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בולטת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קיצוני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באוטונומיה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להגן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ולהבטיח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צנעתה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החברה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תשלים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ובנפשן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ותוקיע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באמצעות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מבוצעות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המשפחתי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האינטימי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דווקא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מועצמת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בכבודן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ובנפשן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הקורבנות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הנישואין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הזוג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וברכה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המשתמשים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סמוי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מעלליהם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יענשו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במלוא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החומרה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עבריין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והרתעה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בגופה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שתלווה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לרעייתו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ביטחון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ושלווה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רמס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אכזרי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בצנעתה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שחזר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מערעורו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תלוי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ועומד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מותנה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ומכביד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כגמול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ולמען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יראו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וייראו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הצדקה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כדבעי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האיזון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המקובל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ירצה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יעבור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379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המותנה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משהופעל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סמכות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במצטבר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שילוב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האפשרויות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6" w:name="ABSTRACT_END"/>
      <w:bookmarkStart w:id="7" w:name="LawTable_End"/>
      <w:bookmarkStart w:id="8" w:name="ABSTRACT_END"/>
      <w:bookmarkStart w:id="9" w:name="LawTable_End"/>
      <w:bookmarkEnd w:id="8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 xml:space="preserve">.      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נועם</w:t>
      </w:r>
      <w:r>
        <w:rPr>
          <w:rtl w:val="true"/>
        </w:rPr>
        <w:t>,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פרידמן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פלדמן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tl w:val="true"/>
        </w:rPr>
        <w:t>ו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בר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20225-08-14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17.2.2016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ruller4cxspmiddle"/>
        <w:bidi w:val="1"/>
        <w:ind w:end="0"/>
        <w:jc w:val="start"/>
        <w:rPr>
          <w:rFonts w:ascii="Century" w:hAnsi="Century" w:cs="FrankRuehl"/>
          <w:sz w:val="22"/>
          <w:szCs w:val="28"/>
        </w:rPr>
      </w:pPr>
      <w:r>
        <w:rPr>
          <w:rFonts w:cs="FrankRuehl" w:ascii="Century" w:hAnsi="Century"/>
          <w:sz w:val="22"/>
          <w:szCs w:val="28"/>
          <w:rtl w:val="true"/>
        </w:rPr>
      </w:r>
    </w:p>
    <w:p>
      <w:pPr>
        <w:pStyle w:val="ruller4cxspmiddle"/>
        <w:bidi w:val="1"/>
        <w:ind w:end="0"/>
        <w:jc w:val="start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, </w:t>
      </w:r>
      <w:r>
        <w:rPr>
          <w:rtl w:val="true"/>
        </w:rPr>
        <w:t>נישא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Fonts w:ascii="Times New Roman" w:hAnsi="Times New Roman" w:cs="Times New Roman"/>
          <w:rtl w:val="true"/>
        </w:rPr>
        <w:t>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נישואיהם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1.8.2014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התפתח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הוריה</w:t>
      </w:r>
      <w:r>
        <w:rPr>
          <w:rtl w:val="true"/>
        </w:rPr>
        <w:t xml:space="preserve">, </w:t>
      </w:r>
      <w:r>
        <w:rPr>
          <w:rtl w:val="true"/>
        </w:rPr>
        <w:t>בסיומו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המכונית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בסטירות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צועקת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תוריד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אותי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תוריד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אותי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חסם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כשעתיים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. </w:t>
      </w:r>
      <w:r>
        <w:rPr>
          <w:rtl w:val="true"/>
        </w:rPr>
        <w:t>במהלכו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באגרופים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ובסטירות</w:t>
      </w:r>
      <w:r>
        <w:rPr>
          <w:rtl w:val="true"/>
        </w:rPr>
        <w:t xml:space="preserve">,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>-</w:t>
      </w:r>
      <w:r>
        <w:rPr>
          <w:rtl w:val="true"/>
        </w:rPr>
        <w:t>חומצה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השכיב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ולנשקה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משסֵרבה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הפשיטהּ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גופניות</w:t>
      </w:r>
      <w:r>
        <w:rPr>
          <w:rtl w:val="true"/>
        </w:rPr>
        <w:t xml:space="preserve">. </w:t>
      </w:r>
    </w:p>
    <w:p>
      <w:pPr>
        <w:pStyle w:val="ruller4cxspmiddle"/>
        <w:bidi w:val="1"/>
        <w:ind w:end="0"/>
        <w:jc w:val="start"/>
        <w:rPr>
          <w:rFonts w:ascii="Century" w:hAnsi="Century" w:cs="FrankRuehl"/>
          <w:sz w:val="22"/>
          <w:szCs w:val="28"/>
        </w:rPr>
      </w:pPr>
      <w:r>
        <w:rPr>
          <w:rFonts w:cs="FrankRuehl" w:ascii="Century" w:hAnsi="Century"/>
          <w:sz w:val="22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;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ברגלה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; </w:t>
      </w:r>
      <w:r>
        <w:rPr>
          <w:rtl w:val="true"/>
        </w:rPr>
        <w:t>ובאירוע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באגרופים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>.</w:t>
      </w:r>
    </w:p>
    <w:p>
      <w:pPr>
        <w:pStyle w:val="ruller4cxspmiddle"/>
        <w:bidi w:val="1"/>
        <w:ind w:end="0"/>
        <w:jc w:val="start"/>
        <w:rPr>
          <w:rFonts w:cs="FrankRuehl"/>
        </w:rPr>
      </w:pPr>
      <w:r>
        <w:rPr>
          <w:rFonts w:eastAsia="Century" w:cs="Century" w:ascii="Century" w:hAnsi="Century"/>
          <w:sz w:val="22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26.11.2015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הרשיע בית המשפט המחוזי בירושלים את 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 xml:space="preserve">;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msonormalcxspmiddle"/>
        <w:bidi w:val="1"/>
        <w:ind w:end="0"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3.10.2017</w:t>
      </w:r>
      <w:r>
        <w:rPr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חזרתו</w:t>
      </w:r>
      <w:r>
        <w:rPr>
          <w:rtl w:val="true"/>
        </w:rPr>
        <w:t>-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ruller4cxspmiddle"/>
        <w:bidi w:val="1"/>
        <w:ind w:end="0"/>
        <w:jc w:val="start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cxspmiddle"/>
        <w:bidi w:val="1"/>
        <w:ind w:end="0"/>
        <w:jc w:val="start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ניתן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היה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לקבוע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מתחמי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ענישה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נפרדים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לאישום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הראשון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ולאישומים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האחרים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sz w:val="28"/>
          <w:sz w:val="28"/>
          <w:rtl w:val="true"/>
        </w:rPr>
        <w:t>לראות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sz w:val="28"/>
          <w:rtl w:val="true"/>
        </w:rPr>
        <w:t xml:space="preserve">'.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הסטטוטוריים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לצדן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הערכים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החברתיים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שנפגעו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מדיניות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הנוהגת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והנזק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הנפשי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והפיזי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למתלוננת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יסוד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>-</w:t>
      </w:r>
      <w:r>
        <w:rPr>
          <w:sz w:val="28"/>
        </w:rPr>
        <w:t>12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 xml:space="preserve">. </w:t>
      </w:r>
    </w:p>
    <w:p>
      <w:pPr>
        <w:pStyle w:val="ruller4cxspmiddle"/>
        <w:bidi w:val="1"/>
        <w:ind w:end="0"/>
        <w:jc w:val="start"/>
        <w:rPr>
          <w:rFonts w:ascii="Arial TUR;Arial" w:hAnsi="Arial TUR;Arial" w:cs="FrankRuehl"/>
          <w:sz w:val="28"/>
          <w:szCs w:val="28"/>
        </w:rPr>
      </w:pPr>
      <w:r>
        <w:rPr>
          <w:rFonts w:cs="FrankRuehl" w:ascii="Arial TUR;Arial" w:hAnsi="Arial TUR;Aria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; </w:t>
      </w:r>
      <w:r>
        <w:rPr>
          <w:rtl w:val="true"/>
        </w:rPr>
        <w:t>וכמו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גירושין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התוצאות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נושא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לגזר הדין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.</w:t>
      </w:r>
    </w:p>
    <w:p>
      <w:pPr>
        <w:pStyle w:val="ruller4cxspmiddle"/>
        <w:bidi w:val="1"/>
        <w:ind w:end="0"/>
        <w:jc w:val="start"/>
        <w:rPr>
          <w:rFonts w:ascii="Arial TUR;Arial" w:hAnsi="Arial TUR;Arial" w:cs="FrankRuehl"/>
          <w:sz w:val="28"/>
          <w:szCs w:val="28"/>
        </w:rPr>
      </w:pPr>
      <w:r>
        <w:rPr>
          <w:rFonts w:cs="FrankRuehl" w:ascii="Arial TUR;Arial" w:hAnsi="Arial TUR;Aria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והיתר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לטענתו של המערער העונש שהוטל עליו אינו מידתי וחורג באופן משמעותי ממדיניות הענישה הנוהגת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לא העניק את המשקל הראוי לנסיבות המקלות הקשורות בביצוע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העדר תכנון מוקדם מצדו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ותרומתה של המתלוננת להסלמה ביחסים ביניהם נוכח העובדה 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הדדית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ניתן המשקל הראוי לנסיבותיו האישיות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בכללן היותו יתום ומפרנס יחיד של משפחתו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טוען המערער כי לא ניתן המשקל הראוי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למסוכנות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הנמוכה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Century"/>
          <w:rtl w:val="true"/>
        </w:rPr>
        <w:t>הנשקפת ממנו להישנות העבירות בהן הורשע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נוכח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הזניח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ובהתחשב בכך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הורשע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נקודתיות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כאמור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התגרש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ניהול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זו אף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שגה בית המשפט המחוזי באופן שבו הפעיל את המאסר המותנה שעמד לחובתו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מכיוון שעונש זה הוטל עליו בגין הרשעתו בעבירת אלימות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במשפחה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ומשכך היה מקום להפעיל את כולו בחופף למאסר שהוטל עליו בגין העבירות מושא הערעור דנן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cxspmiddle"/>
        <w:bidi w:val="1"/>
        <w:ind w:end="0"/>
        <w:jc w:val="start"/>
        <w:rPr>
          <w:rFonts w:ascii="Century" w:hAnsi="Century" w:cs="FrankRuehl"/>
          <w:sz w:val="22"/>
          <w:szCs w:val="28"/>
        </w:rPr>
      </w:pPr>
      <w:r>
        <w:rPr>
          <w:rFonts w:cs="FrankRuehl" w:ascii="Century" w:hAnsi="Century"/>
          <w:sz w:val="22"/>
          <w:szCs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בעיקרי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3.10.2017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ומעביר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33</w:t>
      </w:r>
      <w:r>
        <w:rPr>
          <w:rtl w:val="true"/>
        </w:rPr>
        <w:t>).</w:t>
      </w:r>
    </w:p>
    <w:p>
      <w:pPr>
        <w:pStyle w:val="ruller4cxspmiddle"/>
        <w:bidi w:val="1"/>
        <w:ind w:end="0"/>
        <w:jc w:val="start"/>
        <w:rPr>
          <w:rFonts w:ascii="Century" w:hAnsi="Century" w:cs="Miriam"/>
          <w:b/>
          <w:sz w:val="22"/>
          <w:highlight w:val="yellow"/>
        </w:rPr>
      </w:pPr>
      <w:r>
        <w:rPr>
          <w:rFonts w:cs="Miriam" w:ascii="Century" w:hAnsi="Century"/>
          <w:b/>
          <w:sz w:val="22"/>
          <w:highlight w:val="yellow"/>
          <w:rtl w:val="true"/>
        </w:rPr>
      </w:r>
    </w:p>
    <w:p>
      <w:pPr>
        <w:pStyle w:val="ruller4cxspmiddle"/>
        <w:bidi w:val="1"/>
        <w:ind w:end="0"/>
        <w:jc w:val="start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נתתי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אֵלו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ואֵלו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והגעתי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sz w:val="28"/>
          <w:sz w:val="28"/>
          <w:rtl w:val="true"/>
        </w:rPr>
        <w:t>חורג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קיצוני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המקובלת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1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5143/15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19</w:t>
      </w:r>
      <w:r>
        <w:rPr>
          <w:sz w:val="28"/>
          <w:rtl w:val="true"/>
        </w:rPr>
        <w:t xml:space="preserve"> (</w:t>
      </w:r>
      <w:r>
        <w:rPr>
          <w:sz w:val="28"/>
        </w:rPr>
        <w:t>31.1.2016</w:t>
      </w:r>
      <w:r>
        <w:rPr>
          <w:sz w:val="28"/>
          <w:rtl w:val="true"/>
        </w:rPr>
        <w:t xml:space="preserve">); </w:t>
      </w:r>
      <w:hyperlink r:id="rId1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9031/16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סוכר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8</w:t>
      </w:r>
      <w:r>
        <w:rPr>
          <w:sz w:val="28"/>
          <w:rtl w:val="true"/>
        </w:rPr>
        <w:t xml:space="preserve"> (</w:t>
      </w:r>
      <w:r>
        <w:rPr>
          <w:sz w:val="28"/>
        </w:rPr>
        <w:t>2.3.2017</w:t>
      </w:r>
      <w:r>
        <w:rPr>
          <w:sz w:val="28"/>
          <w:rtl w:val="true"/>
        </w:rPr>
        <w:t xml:space="preserve">); </w:t>
      </w:r>
      <w:hyperlink r:id="rId1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3091/18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טרייגר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11</w:t>
      </w:r>
      <w:r>
        <w:rPr>
          <w:sz w:val="28"/>
          <w:rtl w:val="true"/>
        </w:rPr>
        <w:t xml:space="preserve"> (</w:t>
      </w:r>
      <w:r>
        <w:rPr>
          <w:sz w:val="28"/>
        </w:rPr>
        <w:t>29.1.2009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העניין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שלפנינו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בגדרם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חריגים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המעשים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הולם</w:t>
      </w:r>
      <w:r>
        <w:rPr>
          <w:sz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במילים</w:t>
      </w:r>
      <w:r>
        <w:rPr>
          <w:rtl w:val="true"/>
        </w:rPr>
        <w:t xml:space="preserve">. </w:t>
      </w:r>
      <w:r>
        <w:rPr>
          <w:rtl w:val="true"/>
        </w:rPr>
        <w:t>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באוטונומיה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ובזכותה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צנעתה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11100/08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שרעבי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(</w:t>
      </w:r>
      <w:r>
        <w:rPr/>
        <w:t>14.9.2011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שרעבי</w:t>
      </w:r>
      <w:r>
        <w:rPr>
          <w:rtl w:val="true"/>
        </w:rPr>
        <w:t xml:space="preserve">)).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החברה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לא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תשלים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פגיעה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חמורה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בגופן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ובנפשן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נפגעות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עבירות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מין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ואלימות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ותוקיע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מעשים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אלו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בין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היתר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באמצעות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עונשים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חמורים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3873/08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אטיאס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135</w:t>
      </w:r>
      <w:r>
        <w:rPr>
          <w:rtl w:val="true"/>
        </w:rPr>
        <w:t xml:space="preserve"> (</w:t>
      </w:r>
      <w:r>
        <w:rPr/>
        <w:t>6.9.2010</w:t>
      </w:r>
      <w:r>
        <w:rPr>
          <w:rtl w:val="true"/>
        </w:rPr>
        <w:t xml:space="preserve">)).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והאינטימי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בכבודן</w:t>
      </w:r>
      <w:r>
        <w:rPr>
          <w:rtl w:val="true"/>
        </w:rPr>
        <w:t xml:space="preserve">, </w:t>
      </w:r>
      <w:r>
        <w:rPr>
          <w:rtl w:val="true"/>
        </w:rPr>
        <w:t>בגופן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ובנפשן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4284/13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1.6.2014</w:t>
      </w:r>
      <w:r>
        <w:rPr>
          <w:rtl w:val="true"/>
        </w:rPr>
        <w:t xml:space="preserve">)).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קשר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הנישואין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נועד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להביא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ברכה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לבני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הזוג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וברכה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לעולם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ועל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המשתמשים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בו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מקום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סמוי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העין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לשם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רוע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מעלליהם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לדעת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יענשו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במלוא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החומרה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6428/09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רובינשטיין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27.12.2010</w:t>
      </w:r>
      <w:r>
        <w:rPr>
          <w:rtl w:val="true"/>
        </w:rPr>
        <w:t xml:space="preserve">)).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Fonts w:ascii="Times New Roman" w:hAnsi="Times New Roman" w:cs="Times New Roman"/>
          <w:rtl w:val="true"/>
        </w:rPr>
        <w:t xml:space="preserve">שיקולי גמול והרתעה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עניין </w:t>
      </w:r>
      <w:r>
        <w:rPr>
          <w:rFonts w:cs="Miriam"/>
          <w:b/>
          <w:b/>
          <w:spacing w:val="0"/>
          <w:szCs w:val="24"/>
          <w:rtl w:val="true"/>
        </w:rPr>
        <w:t>שרעבי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33</w:t>
      </w:r>
      <w:r>
        <w:rPr>
          <w:rtl w:val="true"/>
        </w:rPr>
        <w:t>).</w:t>
      </w:r>
      <w:r>
        <w:rPr>
          <w:rFonts w:cs="Times New Roman" w:ascii="Times New Roman" w:hAnsi="Times New Roman"/>
          <w:rtl w:val="true"/>
        </w:rPr>
        <w:t xml:space="preserve">  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, </w:t>
      </w:r>
      <w:r>
        <w:rPr>
          <w:rtl w:val="true"/>
        </w:rPr>
        <w:t>ולפגיעה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נשואים</w:t>
      </w:r>
      <w:r>
        <w:rPr>
          <w:rtl w:val="true"/>
        </w:rPr>
        <w:t xml:space="preserve">;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ושלווה</w:t>
      </w:r>
      <w:r>
        <w:rPr>
          <w:rtl w:val="true"/>
        </w:rPr>
        <w:t xml:space="preserve">, </w:t>
      </w:r>
      <w:r>
        <w:rPr>
          <w:rtl w:val="true"/>
        </w:rPr>
        <w:t>רמס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בצנעתה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ומכביד</w:t>
      </w:r>
      <w:r>
        <w:rPr>
          <w:rtl w:val="true"/>
        </w:rPr>
        <w:t xml:space="preserve">, </w:t>
      </w:r>
      <w:r>
        <w:rPr>
          <w:rtl w:val="true"/>
        </w:rPr>
        <w:t>כגמול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ולמען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וייראו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</w:t>
      </w:r>
      <w:r>
        <w:rPr>
          <w:rtl w:val="true"/>
        </w:rPr>
        <w:t xml:space="preserve">. </w:t>
      </w:r>
      <w:r>
        <w:rPr>
          <w:rtl w:val="true"/>
        </w:rPr>
        <w:t>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  <w:t xml:space="preserve"> 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6397-02-11</w:t>
        </w:r>
      </w:hyperlink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לפי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spacing w:val="0"/>
          <w:szCs w:val="24"/>
        </w:rPr>
        <w:t>379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</w:t>
      </w:r>
      <w:hyperlink r:id="rId25">
        <w:r>
          <w:rPr>
            <w:rStyle w:val="Hyperlink"/>
            <w:rFonts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color w:val="0000FF"/>
            <w:spacing w:val="0"/>
            <w:szCs w:val="24"/>
            <w:u w:val="single"/>
            <w:rtl w:val="true"/>
          </w:rPr>
          <w:t>העונשין</w:t>
        </w:r>
      </w:hyperlink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  <w:r>
        <w:rPr>
          <w:rtl w:val="true"/>
        </w:rPr>
        <w:t>משהופעל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לערכאה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הסמכות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לחברַי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>
          <w:trHeight w:val="138" w:hRule="atLeast"/>
        </w:trPr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/>
            </w:pPr>
            <w:r>
              <w:rPr>
                <w:rFonts w:eastAsia="Arial TUR;Arial" w:cs="Arial TUR;Arial"/>
                <w:rtl w:val="true"/>
              </w:rPr>
              <w:t xml:space="preserve">    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eastAsia="Arial TUR;Arial" w:cs="Arial TUR;Arial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/>
          <w:b/>
          <w:spacing w:val="0"/>
          <w:szCs w:val="24"/>
          <w:u w:val="single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u w:val="single"/>
          <w:rtl w:val="true"/>
        </w:rPr>
        <w:t>ברון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>
          <w:trHeight w:val="138" w:hRule="atLeast"/>
        </w:trPr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/>
            </w:pPr>
            <w:r>
              <w:rPr>
                <w:rFonts w:eastAsia="Arial TUR;Arial" w:cs="Arial TUR;Arial"/>
                <w:rtl w:val="true"/>
              </w:rPr>
              <w:t xml:space="preserve">    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u w:val="single"/>
        </w:rPr>
      </w:pPr>
      <w:r>
        <w:rPr>
          <w:rFonts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eastAsia="Arial TUR;Arial" w:cs="Arial TUR;Arial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/>
          <w:b/>
          <w:spacing w:val="0"/>
          <w:szCs w:val="24"/>
          <w:u w:val="single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u w:val="single"/>
          <w:rtl w:val="true"/>
        </w:rPr>
        <w:t>קרא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>
          <w:trHeight w:val="138" w:hRule="atLeast"/>
        </w:trPr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/>
            </w:pPr>
            <w:r>
              <w:rPr>
                <w:rFonts w:eastAsia="Arial TUR;Arial" w:cs="Arial TUR;Arial"/>
                <w:rtl w:val="true"/>
              </w:rPr>
              <w:t xml:space="preserve">    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26.10.2017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r>
        <w:rPr>
          <w:sz w:val="16"/>
        </w:rPr>
        <w:t>16026840</w:t>
      </w:r>
      <w:r>
        <w:rPr>
          <w:sz w:val="16"/>
          <w:rtl w:val="true"/>
        </w:rPr>
        <w:t>_</w:t>
      </w:r>
      <w:r>
        <w:rPr>
          <w:sz w:val="16"/>
        </w:rPr>
        <w:t>O09.doc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6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54678313-2684/16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28"/>
      <w:footerReference w:type="default" r:id="rId2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2684/16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Style14">
    <w:name w:val="טקסט בלונים תו"/>
    <w:qFormat/>
    <w:rPr>
      <w:rFonts w:ascii="Tahoma" w:hAnsi="Tahoma" w:cs="Tahoma"/>
      <w:sz w:val="16"/>
      <w:szCs w:val="16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msonormalcxspmiddle">
    <w:name w:val="msonormalcxspmiddle"/>
    <w:basedOn w:val="Normal"/>
    <w:qFormat/>
    <w:pPr>
      <w:overflowPunct w:val="true"/>
      <w:autoSpaceDE w:val="true"/>
      <w:bidi w:val="0"/>
      <w:spacing w:before="100" w:after="100"/>
      <w:jc w:val="start"/>
    </w:pPr>
    <w:rPr>
      <w:rFonts w:cs="Times New Roman"/>
      <w:sz w:val="24"/>
    </w:rPr>
  </w:style>
  <w:style w:type="paragraph" w:styleId="Style15">
    <w:name w:val="טקסט בלונים"/>
    <w:basedOn w:val="Normal"/>
    <w:qFormat/>
    <w:pPr/>
    <w:rPr/>
  </w:style>
  <w:style w:type="paragraph" w:styleId="ruller4cxspmiddle">
    <w:name w:val="ruller4cxspmiddle"/>
    <w:basedOn w:val="Normal"/>
    <w:qFormat/>
    <w:pPr>
      <w:overflowPunct w:val="true"/>
      <w:autoSpaceDE w:val="true"/>
      <w:bidi w:val="0"/>
      <w:spacing w:before="100" w:after="100"/>
      <w:jc w:val="start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796765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0301/380" TargetMode="External"/><Relationship Id="rId7" Type="http://schemas.openxmlformats.org/officeDocument/2006/relationships/hyperlink" Target="http://www.nevo.co.il/law/70301/382.b.1" TargetMode="External"/><Relationship Id="rId8" Type="http://schemas.openxmlformats.org/officeDocument/2006/relationships/hyperlink" Target="http://www.nevo.co.il/law/70301/382.c" TargetMode="External"/><Relationship Id="rId9" Type="http://schemas.openxmlformats.org/officeDocument/2006/relationships/hyperlink" Target="http://www.nevo.co.il/case/17967658" TargetMode="External"/><Relationship Id="rId10" Type="http://schemas.openxmlformats.org/officeDocument/2006/relationships/hyperlink" Target="http://www.nevo.co.il/law/70301/345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80" TargetMode="External"/><Relationship Id="rId13" Type="http://schemas.openxmlformats.org/officeDocument/2006/relationships/hyperlink" Target="http://www.nevo.co.il/law/70301/382.c" TargetMode="External"/><Relationship Id="rId14" Type="http://schemas.openxmlformats.org/officeDocument/2006/relationships/hyperlink" Target="http://www.nevo.co.il/law/70301/379" TargetMode="External"/><Relationship Id="rId15" Type="http://schemas.openxmlformats.org/officeDocument/2006/relationships/hyperlink" Target="http://www.nevo.co.il/law/70301/382.b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0462000" TargetMode="External"/><Relationship Id="rId18" Type="http://schemas.openxmlformats.org/officeDocument/2006/relationships/hyperlink" Target="http://www.nevo.co.il/case/22303030" TargetMode="External"/><Relationship Id="rId19" Type="http://schemas.openxmlformats.org/officeDocument/2006/relationships/hyperlink" Target="http://www.nevo.co.il/case/5875466" TargetMode="External"/><Relationship Id="rId20" Type="http://schemas.openxmlformats.org/officeDocument/2006/relationships/hyperlink" Target="http://www.nevo.co.il/case/6178368" TargetMode="External"/><Relationship Id="rId21" Type="http://schemas.openxmlformats.org/officeDocument/2006/relationships/hyperlink" Target="http://www.nevo.co.il/case/5920446" TargetMode="External"/><Relationship Id="rId22" Type="http://schemas.openxmlformats.org/officeDocument/2006/relationships/hyperlink" Target="http://www.nevo.co.il/case/16904239" TargetMode="External"/><Relationship Id="rId23" Type="http://schemas.openxmlformats.org/officeDocument/2006/relationships/hyperlink" Target="http://www.nevo.co.il/case/6247103" TargetMode="External"/><Relationship Id="rId24" Type="http://schemas.openxmlformats.org/officeDocument/2006/relationships/hyperlink" Target="http://www.nevo.co.il/case/293180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court.gov.il/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16026840.O09.doc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2017-11-05T12:04:00Z</dcterms:created>
  <dc:creator> </dc:creator>
  <dc:description/>
  <cp:keywords/>
  <dc:language>en-IL</dc:language>
  <cp:lastModifiedBy>orly</cp:lastModifiedBy>
  <cp:lastPrinted>2017-10-25T17:15:00Z</cp:lastPrinted>
  <dcterms:modified xsi:type="dcterms:W3CDTF">2017-11-05T12:04:00Z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17967658:2;20462000;22303030;5875466;6178368;5920446;16904239;6247103;2931801</vt:lpwstr>
  </property>
  <property fmtid="{D5CDD505-2E9C-101B-9397-08002B2CF9AE}" pid="9" name="CITY">
    <vt:lpwstr/>
  </property>
  <property fmtid="{D5CDD505-2E9C-101B-9397-08002B2CF9AE}" pid="10" name="DATE">
    <vt:lpwstr>20171026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סולברג;ע' ברון;ג' קרא</vt:lpwstr>
  </property>
  <property fmtid="{D5CDD505-2E9C-101B-9397-08002B2CF9AE}" pid="14" name="LAWLISTTMP1">
    <vt:lpwstr>70301/345.a.1;380;382.c;379;382.b.1</vt:lpwstr>
  </property>
  <property fmtid="{D5CDD505-2E9C-101B-9397-08002B2CF9AE}" pid="15" name="LAWYER">
    <vt:lpwstr>דפנה שמול;יוסי אמר;נדב גרינולד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1446;1446;1446;1446;1446</vt:lpwstr>
  </property>
  <property fmtid="{D5CDD505-2E9C-101B-9397-08002B2CF9AE}" pid="48" name="NOSE31">
    <vt:lpwstr>מדיניות ענישה: עבירות מין במשפחה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אלימות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מדיניות ענישה: שיקולים</vt:lpwstr>
  </property>
  <property fmtid="{D5CDD505-2E9C-101B-9397-08002B2CF9AE}" pid="53" name="NOSE35">
    <vt:lpwstr>הפעלת מאסר על תנאי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16241;8984;8982;8994;8977</vt:lpwstr>
  </property>
  <property fmtid="{D5CDD505-2E9C-101B-9397-08002B2CF9AE}" pid="59" name="PADIDATE">
    <vt:lpwstr>20171105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2684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410120171026</vt:lpwstr>
  </property>
  <property fmtid="{D5CDD505-2E9C-101B-9397-08002B2CF9AE}" pid="69" name="TYPE_N_DATE">
    <vt:lpwstr>41020171026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