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27/17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מהדי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בסל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פסק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חיפה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16.11.2016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26087-05-16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כבוד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סגן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הנשיא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ר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שפירא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11.12.2017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בולוס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בלום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נשיאתו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והובלתו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והדגיש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ובהובלה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המגמה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בשיטתנו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המורשעים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מהמרחק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LawTable_End"/>
      <w:bookmarkStart w:id="10" w:name="ABSTRACT_END"/>
      <w:bookmarkStart w:id="11" w:name="LawTable_End"/>
      <w:bookmarkEnd w:id="10"/>
      <w:bookmarkEnd w:id="11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numPr>
          <w:ilvl w:val="0"/>
          <w:numId w:val="1"/>
        </w:numPr>
        <w:ind w:end="0"/>
        <w:jc w:val="both"/>
        <w:rPr/>
      </w:pPr>
      <w:bookmarkStart w:id="18" w:name="_GoBack"/>
      <w:bookmarkEnd w:id="18"/>
      <w:r>
        <w:rPr>
          <w:rtl w:val="true"/>
        </w:rPr>
        <w:t xml:space="preserve">ערעור על גזר דינו של בית המשפט המחוזי בחיפה </w:t>
      </w:r>
      <w:r>
        <w:rPr>
          <w:rtl w:val="true"/>
        </w:rPr>
        <w:t>(</w:t>
      </w:r>
      <w:r>
        <w:rPr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שפירא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26087-05-16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16.11.2016</w:t>
      </w:r>
      <w:r>
        <w:rPr>
          <w:rtl w:val="true"/>
        </w:rPr>
        <w:t xml:space="preserve">, </w:t>
      </w:r>
      <w:r>
        <w:rPr>
          <w:rtl w:val="true"/>
        </w:rPr>
        <w:t xml:space="preserve">במסגרתו נגזר על המערער עונש של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הופעל במצטבר עונש מאסר על תנאי 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 שהוטל עליו ב</w:t>
      </w:r>
      <w:hyperlink r:id="rId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52044-05-13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כך שבסך הכל יהיה עליו לרצות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>וכן הוטלה עליו שנת מאסר על תנאי למשך שלוש שנים שלא יעבור את אחת מהעבירות שבהן הורשע או כל עבירת נשק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הורשע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בעבירת רכישת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רישא וסיפא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ובעבירת החזקת נשק</w:t>
      </w:r>
      <w:r>
        <w:rPr>
          <w:rtl w:val="true"/>
        </w:rPr>
        <w:t xml:space="preserve">, </w:t>
      </w:r>
      <w:r>
        <w:rPr>
          <w:rtl w:val="true"/>
        </w:rPr>
        <w:t>נשיאתו והובלתו</w:t>
      </w:r>
      <w:r>
        <w:rPr>
          <w:rtl w:val="true"/>
        </w:rPr>
        <w:t xml:space="preserve">, </w:t>
      </w:r>
      <w:r>
        <w:rPr>
          <w:rtl w:val="true"/>
        </w:rPr>
        <w:t xml:space="preserve">לפי רישא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ורישא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במחצית הראשונה של חודש אפריל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רכש המערער תת מקלע ומחסנית בכפר ברטעה</w:t>
      </w:r>
      <w:r>
        <w:rPr>
          <w:rtl w:val="true"/>
        </w:rPr>
        <w:t xml:space="preserve">, </w:t>
      </w:r>
      <w:r>
        <w:rPr>
          <w:rtl w:val="true"/>
        </w:rPr>
        <w:t>והובילם לכפר מגוריו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דיידה</w:t>
      </w:r>
      <w:r>
        <w:rPr>
          <w:rtl w:val="true"/>
        </w:rPr>
        <w:t>-</w:t>
      </w:r>
      <w:r>
        <w:rPr>
          <w:rtl w:val="true"/>
        </w:rPr>
        <w:t>מכר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מסר את הנשק לקרוב משפחתו האחד סמיר</w:t>
      </w:r>
      <w:r>
        <w:rPr>
          <w:rtl w:val="true"/>
        </w:rPr>
        <w:t xml:space="preserve">, </w:t>
      </w:r>
      <w:r>
        <w:rPr>
          <w:rtl w:val="true"/>
        </w:rPr>
        <w:t>אשר החזיק בו בהיחבא למשך כשבוע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19.4.2016</w:t>
      </w:r>
      <w:r>
        <w:rPr>
          <w:rtl w:val="true"/>
        </w:rPr>
        <w:t xml:space="preserve"> </w:t>
      </w:r>
      <w:r>
        <w:rPr>
          <w:rtl w:val="true"/>
        </w:rPr>
        <w:t>פנה המערער לסמיר וביקש ממנו להעביר את הנשק לקרוב משפחתו האחר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אשר החביאו במקום מסתור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22.4.2016</w:t>
      </w:r>
      <w:r>
        <w:rPr>
          <w:rtl w:val="true"/>
        </w:rPr>
        <w:t xml:space="preserve"> </w:t>
      </w:r>
      <w:r>
        <w:rPr>
          <w:rtl w:val="true"/>
        </w:rPr>
        <w:t>איתרו כוחות הביטחון את תת המקלע במקום המסתור</w:t>
      </w:r>
      <w:r>
        <w:rPr>
          <w:rtl w:val="true"/>
        </w:rPr>
        <w:t xml:space="preserve">, </w:t>
      </w:r>
      <w:r>
        <w:rPr>
          <w:rtl w:val="true"/>
        </w:rPr>
        <w:t>כשהמחסנית בתוכו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בגזר דינו עמד בית המשפט קמא על 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על הערכים החברתיים המוגנים שנפגעו מביצוע העבירות ועל הנסיבות הקשורות בביצוען</w:t>
      </w:r>
      <w:r>
        <w:rPr>
          <w:rtl w:val="true"/>
        </w:rPr>
        <w:t xml:space="preserve">. </w:t>
      </w:r>
      <w:r>
        <w:rPr>
          <w:rtl w:val="true"/>
        </w:rPr>
        <w:t>אשר למדיניות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 xml:space="preserve">ציין בית המשפט קמא כי מתחם הענישה שהוצע על ידי המשיבה </w:t>
      </w:r>
      <w:r>
        <w:rPr>
          <w:rtl w:val="true"/>
        </w:rPr>
        <w:t>–</w:t>
      </w:r>
      <w:r>
        <w:rPr>
          <w:rtl w:val="true"/>
        </w:rPr>
        <w:t xml:space="preserve"> בין שלוש לחמש שנות מאסר </w:t>
      </w:r>
      <w:r>
        <w:rPr>
          <w:rtl w:val="true"/>
        </w:rPr>
        <w:t>–</w:t>
      </w:r>
      <w:r>
        <w:rPr>
          <w:rtl w:val="true"/>
        </w:rPr>
        <w:t xml:space="preserve"> אכן משקף את רמת הענישה המקובלת במקרים דומים</w:t>
      </w:r>
      <w:r>
        <w:rPr>
          <w:rtl w:val="true"/>
        </w:rPr>
        <w:t xml:space="preserve">, </w:t>
      </w:r>
      <w:r>
        <w:rPr>
          <w:rtl w:val="true"/>
        </w:rPr>
        <w:t>ומקיים את הנחייתו של בית משפט זה להחמרה בענישה בעבירות נשק</w:t>
      </w:r>
      <w:r>
        <w:rPr>
          <w:rtl w:val="true"/>
        </w:rPr>
        <w:t xml:space="preserve">. </w:t>
      </w:r>
      <w:r>
        <w:rPr>
          <w:rtl w:val="true"/>
        </w:rPr>
        <w:t>אשר לערכים המוגנים שנפגעו</w:t>
      </w:r>
      <w:r>
        <w:rPr>
          <w:rtl w:val="true"/>
        </w:rPr>
        <w:t xml:space="preserve">, </w:t>
      </w:r>
      <w:r>
        <w:rPr>
          <w:rtl w:val="true"/>
        </w:rPr>
        <w:t>עמד בית המשפט קמא על הסיכון הנשקף לשלום הציבור ולביטחונו כתוצאה ממעשיו של המערער</w:t>
      </w:r>
      <w:r>
        <w:rPr>
          <w:rtl w:val="true"/>
        </w:rPr>
        <w:t xml:space="preserve">. </w:t>
      </w:r>
      <w:r>
        <w:rPr>
          <w:rtl w:val="true"/>
        </w:rPr>
        <w:t>לעניין הנסיבות הקשורות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>ייחס בית המשפט קמא חומרה לרכישת הנשק מגורם פלילי אחר</w:t>
      </w:r>
      <w:r>
        <w:rPr>
          <w:rtl w:val="true"/>
        </w:rPr>
        <w:t xml:space="preserve">, </w:t>
      </w:r>
      <w:r>
        <w:rPr>
          <w:rtl w:val="true"/>
        </w:rPr>
        <w:t>ולהסתרתו בכפר מגוריו של המערער תוך שהוא משתף אחרים ומעביר את הנשק לחזקתם</w:t>
      </w:r>
      <w:r>
        <w:rPr>
          <w:rtl w:val="true"/>
        </w:rPr>
        <w:t xml:space="preserve">. </w:t>
      </w:r>
      <w:r>
        <w:rPr>
          <w:rtl w:val="true"/>
        </w:rPr>
        <w:t>בנסיבות האמורות לעיל</w:t>
      </w:r>
      <w:r>
        <w:rPr>
          <w:rtl w:val="true"/>
        </w:rPr>
        <w:t xml:space="preserve">, </w:t>
      </w:r>
      <w:r>
        <w:rPr>
          <w:rtl w:val="true"/>
        </w:rPr>
        <w:t>קבע בית המשפט קמא כי יש לראות במעשים כ</w:t>
      </w:r>
      <w:r>
        <w:rPr>
          <w:rtl w:val="true"/>
        </w:rPr>
        <w:t>"</w:t>
      </w:r>
      <w:r>
        <w:rPr>
          <w:rtl w:val="true"/>
        </w:rPr>
        <w:t>אירוע אחד</w:t>
      </w:r>
      <w:r>
        <w:rPr>
          <w:rtl w:val="true"/>
        </w:rPr>
        <w:t xml:space="preserve">" </w:t>
      </w:r>
      <w:r>
        <w:rPr>
          <w:rtl w:val="true"/>
        </w:rPr>
        <w:t>ולהציב עבורו מתחם ענישה יחיד</w:t>
      </w:r>
      <w:r>
        <w:rPr>
          <w:rtl w:val="true"/>
        </w:rPr>
        <w:t xml:space="preserve">, </w:t>
      </w:r>
      <w:r>
        <w:rPr>
          <w:rtl w:val="true"/>
        </w:rPr>
        <w:t>וכן קיבל את עמדת המשיבה כי מתחם הענישה ההולם נע בין שלוש שנות מאסר בפועל לבין חמש שנות מאסר 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קבע בית המשפט קמא את העונש המתאים למערער בתוך מתחם הענישה</w:t>
      </w:r>
      <w:r>
        <w:rPr>
          <w:rtl w:val="true"/>
        </w:rPr>
        <w:t xml:space="preserve">, </w:t>
      </w:r>
      <w:r>
        <w:rPr>
          <w:rtl w:val="true"/>
        </w:rPr>
        <w:t>על פי נסיבותיו האישיות</w:t>
      </w:r>
      <w:r>
        <w:rPr>
          <w:rtl w:val="true"/>
        </w:rPr>
        <w:t xml:space="preserve">. </w:t>
      </w:r>
      <w:r>
        <w:rPr>
          <w:rtl w:val="true"/>
        </w:rPr>
        <w:t>כשיקול לחומרה</w:t>
      </w:r>
      <w:r>
        <w:rPr>
          <w:rtl w:val="true"/>
        </w:rPr>
        <w:t xml:space="preserve">, </w:t>
      </w:r>
      <w:r>
        <w:rPr>
          <w:rtl w:val="true"/>
        </w:rPr>
        <w:t>התייחס בית המשפט קמא להרשעתו הקודמת של המערער בהכנת בקבוקי תבערה והשלכתם</w:t>
      </w:r>
      <w:r>
        <w:rPr>
          <w:rtl w:val="true"/>
        </w:rPr>
        <w:t xml:space="preserve">, </w:t>
      </w:r>
      <w:r>
        <w:rPr>
          <w:rtl w:val="true"/>
        </w:rPr>
        <w:t xml:space="preserve">שבעקבותיה הוטל עליו עונש מאסר בפועל וכן עונש מאסר על תנאי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קמא עמד על כך שהעבירות מושא גזר הדין בוצעו רק שלושה חודשים לאחר שסיים לרצות את מאסרו הקודם </w:t>
      </w:r>
      <w:r>
        <w:rPr>
          <w:rtl w:val="true"/>
        </w:rPr>
        <w:t>–</w:t>
      </w:r>
      <w:r>
        <w:rPr>
          <w:rtl w:val="true"/>
        </w:rPr>
        <w:t xml:space="preserve"> סמיכות זמנים אשר מעידה לשיטתו על היעדר הפנמה ועל הצורך בהחמרה במסגרת גזר דינו דנן</w:t>
      </w:r>
      <w:r>
        <w:rPr>
          <w:rtl w:val="true"/>
        </w:rPr>
        <w:t xml:space="preserve">. </w:t>
      </w:r>
      <w:r>
        <w:rPr>
          <w:rtl w:val="true"/>
        </w:rPr>
        <w:t>כשיקולים לקולה</w:t>
      </w:r>
      <w:r>
        <w:rPr>
          <w:rtl w:val="true"/>
        </w:rPr>
        <w:t xml:space="preserve">, </w:t>
      </w:r>
      <w:r>
        <w:rPr>
          <w:rtl w:val="true"/>
        </w:rPr>
        <w:t>ציין בית המשפט קמא את הודאתו של המערער בביצוע העבירות</w:t>
      </w:r>
      <w:r>
        <w:rPr>
          <w:rtl w:val="true"/>
        </w:rPr>
        <w:t xml:space="preserve">, </w:t>
      </w:r>
      <w:r>
        <w:rPr>
          <w:rtl w:val="true"/>
        </w:rPr>
        <w:t>את האחריות שנטל להן ואת שיתוף הפעולה מצידו עם גורמי החקירה</w:t>
      </w:r>
      <w:r>
        <w:rPr>
          <w:rtl w:val="true"/>
        </w:rPr>
        <w:t xml:space="preserve">; </w:t>
      </w:r>
      <w:r>
        <w:rPr>
          <w:rtl w:val="true"/>
        </w:rPr>
        <w:t>את נסיבות מעצרו ואת השלכותיו של המעצר עליו ועל בני משפחתו</w:t>
      </w:r>
      <w:r>
        <w:rPr>
          <w:rtl w:val="true"/>
        </w:rPr>
        <w:t xml:space="preserve">; </w:t>
      </w:r>
      <w:r>
        <w:rPr>
          <w:rtl w:val="true"/>
        </w:rPr>
        <w:t>ואת גילו הצעיר</w:t>
      </w:r>
      <w:r>
        <w:rPr>
          <w:rtl w:val="true"/>
        </w:rPr>
        <w:t xml:space="preserve">. </w:t>
      </w:r>
      <w:r>
        <w:rPr>
          <w:rtl w:val="true"/>
        </w:rPr>
        <w:t>בשל האמור</w:t>
      </w:r>
      <w:r>
        <w:rPr>
          <w:rtl w:val="true"/>
        </w:rPr>
        <w:t xml:space="preserve">, </w:t>
      </w:r>
      <w:r>
        <w:rPr>
          <w:rtl w:val="true"/>
        </w:rPr>
        <w:t>ולאחר שקבע כי אין עילה לסטות ממתחם העונש שנקבע</w:t>
      </w:r>
      <w:r>
        <w:rPr>
          <w:rtl w:val="true"/>
        </w:rPr>
        <w:t xml:space="preserve">, </w:t>
      </w:r>
      <w:r>
        <w:rPr>
          <w:rtl w:val="true"/>
        </w:rPr>
        <w:t>וכן כי אין הצדקה להימנע מהפעלת עונש המאסר על תנאי באופן מצטבר</w:t>
      </w:r>
      <w:r>
        <w:rPr>
          <w:rtl w:val="true"/>
        </w:rPr>
        <w:t xml:space="preserve">, </w:t>
      </w:r>
      <w:r>
        <w:rPr>
          <w:rtl w:val="true"/>
        </w:rPr>
        <w:t xml:space="preserve">נקבע עונשו של המערער כפי שפורט בפסקה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מכאן הערעור שלפנינו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בערעור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 xml:space="preserve">טוען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החמיר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י</w:t>
      </w:r>
      <w:r>
        <w:rPr>
          <w:rtl w:val="true"/>
        </w:rPr>
        <w:t>מ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בקביעת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>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ומבקש</w:t>
      </w:r>
      <w:r>
        <w:rPr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להקל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המערער סבור כי מתחם הענישה שנקבע בידי בית המשפט קמא אינו הולם את חומרת העבירות שבהן הורשע ואת נסיבות ביצוען</w:t>
      </w:r>
      <w:r>
        <w:rPr>
          <w:rtl w:val="true"/>
        </w:rPr>
        <w:t xml:space="preserve">, </w:t>
      </w:r>
      <w:r>
        <w:rPr>
          <w:rtl w:val="true"/>
        </w:rPr>
        <w:t>וכי הוא משקף סטייה ניכרת מפסקי דין שניתנו בעבירות דומות</w:t>
      </w:r>
      <w:r>
        <w:rPr>
          <w:rtl w:val="true"/>
        </w:rPr>
        <w:t xml:space="preserve">. </w:t>
      </w:r>
      <w:r>
        <w:rPr>
          <w:rtl w:val="true"/>
        </w:rPr>
        <w:t>עוד גורס המערער כי התוצאה שאליה הגיע בית המשפט קמא ביחס לשותפיו לפרשה</w:t>
      </w:r>
      <w:r>
        <w:rPr>
          <w:rtl w:val="true"/>
        </w:rPr>
        <w:t xml:space="preserve">, </w:t>
      </w:r>
      <w:r>
        <w:rPr>
          <w:rtl w:val="true"/>
        </w:rPr>
        <w:t>שעליהם הוטלו עונשים פחותים במידה רבה</w:t>
      </w:r>
      <w:r>
        <w:rPr>
          <w:rtl w:val="true"/>
        </w:rPr>
        <w:t xml:space="preserve">, </w:t>
      </w:r>
      <w:r>
        <w:rPr>
          <w:rtl w:val="true"/>
        </w:rPr>
        <w:t>מפרה את עיקרון אחידות הענישה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גורס המערער כי בית המשפט קמא לא ייחס די משקל לנסיבותיו האישיות המקלות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משיג המערער על הפעלת עונש המאסר על תנאי במצטבר ולא בחופף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לדחות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המשיבה מדגישה כי שותפיו של המערער הורשעו בעבירות החזקת נשק בלבד</w:t>
      </w:r>
      <w:r>
        <w:rPr>
          <w:rtl w:val="true"/>
        </w:rPr>
        <w:t xml:space="preserve">, </w:t>
      </w:r>
      <w:r>
        <w:rPr>
          <w:rtl w:val="true"/>
        </w:rPr>
        <w:t>בעוד למערער היה תפקיד מרכזי בפרשה</w:t>
      </w:r>
      <w:r>
        <w:rPr>
          <w:rtl w:val="true"/>
        </w:rPr>
        <w:t xml:space="preserve">. </w:t>
      </w:r>
      <w:r>
        <w:rPr>
          <w:rtl w:val="true"/>
        </w:rPr>
        <w:t>לשיטת המשיבה</w:t>
      </w:r>
      <w:r>
        <w:rPr>
          <w:rtl w:val="true"/>
        </w:rPr>
        <w:t xml:space="preserve">, </w:t>
      </w:r>
      <w:r>
        <w:rPr>
          <w:rtl w:val="true"/>
        </w:rPr>
        <w:t>לא נפל פגם במתחם הענישה שנקבע על ידי בית המשפט קמא</w:t>
      </w:r>
      <w:r>
        <w:rPr>
          <w:rtl w:val="true"/>
        </w:rPr>
        <w:t xml:space="preserve">, </w:t>
      </w:r>
      <w:r>
        <w:rPr>
          <w:rtl w:val="true"/>
        </w:rPr>
        <w:t>כמו גם בקביעת עונשו של המערער בתוך המתחם</w:t>
      </w:r>
      <w:r>
        <w:rPr>
          <w:rtl w:val="true"/>
        </w:rPr>
        <w:t xml:space="preserve">, </w:t>
      </w:r>
      <w:r>
        <w:rPr>
          <w:rtl w:val="true"/>
        </w:rPr>
        <w:t>וזאת בין היתר לנוכח עברו הפלילי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נקדים ונאמר כי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מצאנו</w:t>
      </w:r>
      <w:r>
        <w:rPr>
          <w:rtl w:val="true"/>
        </w:rPr>
        <w:t xml:space="preserve"> </w:t>
      </w:r>
      <w:r>
        <w:rPr>
          <w:rtl w:val="true"/>
        </w:rPr>
        <w:t xml:space="preserve">שיש להיעתר באופן חלקי בלבד לערעור ולהפחית את עונש המאסר בפועל שהוטל על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בשישה חודשים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מתערבת</w:t>
      </w:r>
      <w:r>
        <w:rPr>
          <w:rtl w:val="true"/>
        </w:rPr>
        <w:t xml:space="preserve"> </w:t>
      </w:r>
      <w:r>
        <w:rPr>
          <w:rtl w:val="true"/>
        </w:rPr>
        <w:t>בחומרת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שנקבעה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 </w:t>
      </w:r>
      <w:r>
        <w:rPr>
          <w:rtl w:val="true"/>
        </w:rPr>
        <w:t>שהעונש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 </w:t>
      </w:r>
      <w:r>
        <w:rPr>
          <w:rtl w:val="true"/>
        </w:rPr>
        <w:t>מהענישה</w:t>
      </w:r>
      <w:r>
        <w:rPr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9821/16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30</w:t>
      </w:r>
      <w:r>
        <w:rPr/>
        <w:t>.1</w:t>
      </w:r>
      <w:r>
        <w:rPr/>
        <w:t>1</w:t>
      </w:r>
      <w:r>
        <w:rPr/>
        <w:t>.2017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אין להקל ראש בחומרתן של העבירות שאותן ביצע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זה פסק בעבר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להשלים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עבירות ב</w:t>
      </w:r>
      <w:r>
        <w:rPr>
          <w:rtl w:val="true"/>
        </w:rPr>
        <w:t>כלי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הדגיש את חומרתן הרבה של עבירות אלו</w:t>
      </w:r>
      <w:r>
        <w:rPr>
          <w:rtl w:val="true"/>
        </w:rPr>
        <w:t xml:space="preserve">, </w:t>
      </w:r>
      <w:r>
        <w:rPr>
          <w:rtl w:val="true"/>
        </w:rPr>
        <w:t>על הסכנות הטמונות בהחזקת נשק שלא כדין</w:t>
      </w:r>
      <w:r>
        <w:rPr>
          <w:rtl w:val="true"/>
        </w:rPr>
        <w:t xml:space="preserve">, </w:t>
      </w:r>
      <w:r>
        <w:rPr>
          <w:rtl w:val="true"/>
        </w:rPr>
        <w:t>ועל אחת כמה וכמה ברכישה</w:t>
      </w:r>
      <w:r>
        <w:rPr>
          <w:rtl w:val="true"/>
        </w:rPr>
        <w:t xml:space="preserve">, </w:t>
      </w:r>
      <w:r>
        <w:rPr>
          <w:rtl w:val="true"/>
        </w:rPr>
        <w:t>בנשיאה ובהובלה של נשק שלא כדין</w:t>
      </w:r>
      <w:r>
        <w:rPr>
          <w:rtl w:val="true"/>
        </w:rPr>
        <w:t xml:space="preserve">, </w:t>
      </w:r>
      <w:r>
        <w:rPr>
          <w:rtl w:val="true"/>
        </w:rPr>
        <w:t>אשר לעיתים משמש לא רק לפעילות עבריינית אלא גם ל</w:t>
      </w:r>
      <w:r>
        <w:rPr>
          <w:rtl w:val="true"/>
        </w:rPr>
        <w:t>פעילות</w:t>
      </w:r>
      <w:r>
        <w:rPr>
          <w:rtl w:val="true"/>
        </w:rPr>
        <w:t xml:space="preserve"> </w:t>
      </w:r>
      <w:r>
        <w:rPr>
          <w:rtl w:val="true"/>
        </w:rPr>
        <w:t>חבלנית</w:t>
      </w:r>
      <w:r>
        <w:rPr>
          <w:rtl w:val="true"/>
        </w:rPr>
        <w:t xml:space="preserve"> </w:t>
      </w:r>
      <w:r>
        <w:rPr>
          <w:rtl w:val="true"/>
        </w:rPr>
        <w:t>עוינת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רקע</w:t>
      </w:r>
      <w:r>
        <w:rPr>
          <w:rtl w:val="true"/>
        </w:rPr>
        <w:t xml:space="preserve"> </w:t>
      </w:r>
      <w:r>
        <w:rPr>
          <w:rtl w:val="true"/>
        </w:rPr>
        <w:t>ביטחוני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המגמה</w:t>
      </w:r>
      <w:r>
        <w:rPr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החמרה</w:t>
      </w:r>
      <w:r>
        <w:rPr>
          <w:rtl w:val="true"/>
        </w:rPr>
        <w:t xml:space="preserve"> </w:t>
      </w:r>
      <w:r>
        <w:rPr>
          <w:rtl w:val="true"/>
        </w:rPr>
        <w:t>ברמת</w:t>
      </w:r>
      <w:r>
        <w:rPr>
          <w:rtl w:val="true"/>
        </w:rPr>
        <w:t xml:space="preserve"> </w:t>
      </w:r>
      <w:r>
        <w:rPr>
          <w:rtl w:val="true"/>
        </w:rPr>
        <w:t>ענישתם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סכנה</w:t>
      </w:r>
      <w:r>
        <w:rPr>
          <w:rtl w:val="true"/>
        </w:rPr>
        <w:t xml:space="preserve"> </w:t>
      </w:r>
      <w:r>
        <w:rPr>
          <w:rtl w:val="true"/>
        </w:rPr>
        <w:t>הנשקפת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למשל</w:t>
      </w:r>
      <w:r>
        <w:rPr>
          <w:rtl w:val="true"/>
        </w:rPr>
        <w:t xml:space="preserve">: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דהוד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19.1.2017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מטעמים אלה</w:t>
      </w:r>
      <w:r>
        <w:rPr>
          <w:rtl w:val="true"/>
        </w:rPr>
        <w:t xml:space="preserve">, </w:t>
      </w:r>
      <w:r>
        <w:rPr>
          <w:rtl w:val="true"/>
        </w:rPr>
        <w:t>ולאחר שעיינו בגזר דינו של בית המשפט קמא ובנימוקים המפורטים שעליהם נסמך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מתחם הענישה אשר נקבע בעניינו של המערער אינו חורג במידה ניכרת בהשוואה לרמת הענישה הנוהגת בנסיבות דומות</w:t>
      </w:r>
      <w:r>
        <w:rPr>
          <w:rtl w:val="true"/>
        </w:rPr>
        <w:t xml:space="preserve">. </w:t>
      </w:r>
      <w:r>
        <w:rPr>
          <w:rtl w:val="true"/>
        </w:rPr>
        <w:t>כמו כן לא שוכנענו כי קיים יסוד להתערבותנו בעונש שהושת על המבקש בתוך מתחם זה</w:t>
      </w:r>
      <w:r>
        <w:rPr>
          <w:rtl w:val="true"/>
        </w:rPr>
        <w:t xml:space="preserve">, </w:t>
      </w:r>
      <w:r>
        <w:rPr>
          <w:rtl w:val="true"/>
        </w:rPr>
        <w:t>באשר הוא משקלל כדבעי בין הנסיבות המקלות אשר הובאו בערעורו</w:t>
      </w:r>
      <w:r>
        <w:rPr>
          <w:rtl w:val="true"/>
        </w:rPr>
        <w:t xml:space="preserve">, </w:t>
      </w:r>
      <w:r>
        <w:rPr>
          <w:rtl w:val="true"/>
        </w:rPr>
        <w:t>לבין עברו הפלילי כאמור 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לצד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tl w:val="true"/>
        </w:rPr>
        <w:t xml:space="preserve"> </w:t>
      </w:r>
      <w:r>
        <w:rPr>
          <w:rtl w:val="true"/>
        </w:rPr>
        <w:t>להוסיף ו</w:t>
      </w:r>
      <w:r>
        <w:rPr>
          <w:rtl w:val="true"/>
        </w:rPr>
        <w:t>לתת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לעיקרון</w:t>
      </w:r>
      <w:r>
        <w:rPr>
          <w:rtl w:val="true"/>
        </w:rPr>
        <w:t xml:space="preserve"> </w:t>
      </w:r>
      <w:r>
        <w:rPr>
          <w:rtl w:val="true"/>
        </w:rPr>
        <w:t>אחידות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עיקרון</w:t>
      </w:r>
      <w:r>
        <w:rPr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 </w:t>
      </w:r>
      <w:r>
        <w:rPr>
          <w:rtl w:val="true"/>
        </w:rPr>
        <w:t>בשיטתנו</w:t>
      </w:r>
      <w:r>
        <w:rPr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י</w:t>
      </w:r>
      <w:r>
        <w:rPr>
          <w:rtl w:val="true"/>
        </w:rPr>
        <w:t>קרון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במצבים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מבחינת</w:t>
      </w:r>
      <w:r>
        <w:rPr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ונסיבותיהם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להחיל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3065/15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26.6.2016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בנאשמים</w:t>
      </w:r>
      <w:r>
        <w:rPr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 </w:t>
      </w:r>
      <w:r>
        <w:rPr>
          <w:rtl w:val="true"/>
        </w:rPr>
        <w:t>המורשעים</w:t>
      </w:r>
      <w:r>
        <w:rPr>
          <w:rtl w:val="true"/>
        </w:rPr>
        <w:t xml:space="preserve"> </w:t>
      </w:r>
      <w:r>
        <w:rPr>
          <w:rtl w:val="true"/>
        </w:rPr>
        <w:t>בגדרה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tl w:val="true"/>
        </w:rPr>
        <w:t xml:space="preserve"> </w:t>
      </w:r>
      <w:r>
        <w:rPr>
          <w:rtl w:val="true"/>
        </w:rPr>
        <w:t>מקבל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י</w:t>
      </w:r>
      <w:r>
        <w:rPr>
          <w:rtl w:val="true"/>
        </w:rPr>
        <w:t>קרון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(</w:t>
      </w:r>
      <w:r>
        <w:rPr/>
        <w:t>20.9.2015</w:t>
      </w:r>
      <w:r>
        <w:rPr>
          <w:rtl w:val="true"/>
        </w:rPr>
        <w:t xml:space="preserve">)).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המדובר</w:t>
      </w:r>
      <w:r>
        <w:rPr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מתמטי</w:t>
      </w:r>
      <w:r>
        <w:rPr>
          <w:rtl w:val="true"/>
        </w:rPr>
        <w:t xml:space="preserve">" </w:t>
      </w:r>
      <w:r>
        <w:rPr>
          <w:rtl w:val="true"/>
        </w:rPr>
        <w:t>שבלעדיו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בשיקול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 xml:space="preserve"> </w:t>
      </w:r>
      <w:r>
        <w:rPr>
          <w:rtl w:val="true"/>
        </w:rPr>
        <w:t>מכלול</w:t>
      </w:r>
      <w:r>
        <w:rPr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 </w:t>
      </w:r>
      <w:r>
        <w:rPr>
          <w:rtl w:val="true"/>
        </w:rPr>
        <w:t>לגזירת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5080/15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(</w:t>
      </w:r>
      <w:r>
        <w:rPr/>
        <w:t>10.3.2016</w:t>
      </w:r>
      <w:r>
        <w:rPr>
          <w:rtl w:val="true"/>
        </w:rPr>
        <w:t xml:space="preserve">)).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בשיקול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להטות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הכף</w:t>
      </w:r>
      <w:r>
        <w:rPr>
          <w:rtl w:val="true"/>
        </w:rPr>
        <w:t xml:space="preserve"> </w:t>
      </w:r>
      <w:r>
        <w:rPr>
          <w:rtl w:val="true"/>
        </w:rPr>
        <w:t>לטובת</w:t>
      </w:r>
      <w:r>
        <w:rPr>
          <w:rtl w:val="true"/>
        </w:rPr>
        <w:t xml:space="preserve"> </w:t>
      </w:r>
      <w:r>
        <w:rPr>
          <w:rtl w:val="true"/>
        </w:rPr>
        <w:t>הקלה</w:t>
      </w:r>
      <w:r>
        <w:rPr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עיון השוואתי בעונשים שהוטלו על יתר המעורבים בפרשה דנן מלמד</w:t>
      </w:r>
      <w:r>
        <w:rPr>
          <w:rtl w:val="true"/>
        </w:rPr>
        <w:t xml:space="preserve">, </w:t>
      </w:r>
      <w:r>
        <w:rPr>
          <w:rtl w:val="true"/>
        </w:rPr>
        <w:t>לשיטתנו</w:t>
      </w:r>
      <w:r>
        <w:rPr>
          <w:rtl w:val="true"/>
        </w:rPr>
        <w:t xml:space="preserve">, </w:t>
      </w:r>
      <w:r>
        <w:rPr>
          <w:rtl w:val="true"/>
        </w:rPr>
        <w:t>כי קיים יחס שאינו אחיד בין העונש שהושת על המערער לבין העונשים אשר הושתו על שותפיו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8.3.2017</w:t>
      </w:r>
      <w:r>
        <w:rPr>
          <w:rtl w:val="true"/>
        </w:rPr>
        <w:t xml:space="preserve">) </w:t>
      </w:r>
      <w:r>
        <w:rPr>
          <w:rtl w:val="true"/>
        </w:rPr>
        <w:t>הוחמר עונשו של סמיר 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>וב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9968-05-16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סמרי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30.1.2017</w:t>
      </w:r>
      <w:r>
        <w:rPr>
          <w:rtl w:val="true"/>
        </w:rPr>
        <w:t xml:space="preserve">), </w:t>
      </w:r>
      <w:r>
        <w:rPr>
          <w:rtl w:val="true"/>
        </w:rPr>
        <w:t>שעליו לא הוגש ערעור</w:t>
      </w:r>
      <w:r>
        <w:rPr>
          <w:rtl w:val="true"/>
        </w:rPr>
        <w:t xml:space="preserve">, </w:t>
      </w:r>
      <w:r>
        <w:rPr>
          <w:rtl w:val="true"/>
        </w:rPr>
        <w:t xml:space="preserve">הושת על אחמד עונש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אין לכחד כי כטענת המשיבה</w:t>
      </w:r>
      <w:r>
        <w:rPr>
          <w:rtl w:val="true"/>
        </w:rPr>
        <w:t xml:space="preserve">, </w:t>
      </w:r>
      <w:r>
        <w:rPr>
          <w:rtl w:val="true"/>
        </w:rPr>
        <w:t>קיים שוני מהותי בין נסיבותיהם של שני האחרים</w:t>
      </w:r>
      <w:r>
        <w:rPr>
          <w:rtl w:val="true"/>
        </w:rPr>
        <w:t xml:space="preserve">, </w:t>
      </w:r>
      <w:r>
        <w:rPr>
          <w:rtl w:val="true"/>
        </w:rPr>
        <w:t>אשר הורשעו אך בעבירה אחת של החזקת נשק ונשיאתו</w:t>
      </w:r>
      <w:r>
        <w:rPr>
          <w:rtl w:val="true"/>
        </w:rPr>
        <w:t xml:space="preserve">, </w:t>
      </w:r>
      <w:r>
        <w:rPr>
          <w:rtl w:val="true"/>
        </w:rPr>
        <w:t>לבין נסיבותיו של המערער שלפנינו</w:t>
      </w:r>
      <w:r>
        <w:rPr>
          <w:rtl w:val="true"/>
        </w:rPr>
        <w:t xml:space="preserve">, </w:t>
      </w:r>
      <w:r>
        <w:rPr>
          <w:rtl w:val="true"/>
        </w:rPr>
        <w:t>אשר רכש את הנשק והיווה הציר המרכזי בפרשה</w:t>
      </w:r>
      <w:r>
        <w:rPr>
          <w:rtl w:val="true"/>
        </w:rPr>
        <w:t xml:space="preserve">. </w:t>
      </w:r>
      <w:r>
        <w:rPr>
          <w:rtl w:val="true"/>
        </w:rPr>
        <w:t>חרף האמור</w:t>
      </w:r>
      <w:r>
        <w:rPr>
          <w:rtl w:val="true"/>
        </w:rPr>
        <w:t xml:space="preserve">, </w:t>
      </w:r>
      <w:r>
        <w:rPr>
          <w:rtl w:val="true"/>
        </w:rPr>
        <w:t>דעתנו אינה נוחה מהמרחק הרב שנפער בין עונשו של המערער לבין עונשיהם של קרובי משפחתו</w:t>
      </w:r>
      <w:r>
        <w:rPr>
          <w:rtl w:val="true"/>
        </w:rPr>
        <w:t xml:space="preserve">, </w:t>
      </w:r>
      <w:r>
        <w:rPr>
          <w:rtl w:val="true"/>
        </w:rPr>
        <w:t>וזאת מאחר שלדידנו אין הוא משקף באופן מידתי את החומרה הנוספת הטמונה במעשיו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 xml:space="preserve">אנו סבורים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הגם</w:t>
      </w:r>
      <w:r>
        <w:rPr>
          <w:rtl w:val="true"/>
        </w:rPr>
        <w:t xml:space="preserve"> </w:t>
      </w:r>
      <w:r>
        <w:rPr>
          <w:rtl w:val="true"/>
        </w:rPr>
        <w:t>שהעונש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 </w:t>
      </w:r>
      <w:r>
        <w:rPr>
          <w:rtl w:val="true"/>
        </w:rPr>
        <w:t xml:space="preserve">במידה ניכרת </w:t>
      </w:r>
      <w:r>
        <w:rPr>
          <w:rtl w:val="true"/>
        </w:rPr>
        <w:t>מרמת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י</w:t>
      </w:r>
      <w:r>
        <w:rPr>
          <w:rtl w:val="true"/>
        </w:rPr>
        <w:t>קרון</w:t>
      </w:r>
      <w:r>
        <w:rPr>
          <w:rtl w:val="true"/>
        </w:rPr>
        <w:t xml:space="preserve"> </w:t>
      </w:r>
      <w:r>
        <w:rPr>
          <w:rtl w:val="true"/>
        </w:rPr>
        <w:t>אחידות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 xml:space="preserve">הקלה מדודה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tl w:val="true"/>
        </w:rPr>
        <w:t xml:space="preserve"> </w:t>
      </w:r>
      <w:r>
        <w:rPr>
          <w:rtl w:val="true"/>
        </w:rPr>
        <w:t>להפחית</w:t>
      </w:r>
      <w:r>
        <w:rPr>
          <w:rtl w:val="true"/>
        </w:rPr>
        <w:t xml:space="preserve"> </w:t>
      </w:r>
      <w:r>
        <w:rPr>
          <w:rtl w:val="true"/>
        </w:rPr>
        <w:t>שישה חודשי מאסר בפועל מה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כך שיעמוד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לרבות עונש המאסר על תנאי שהופעל במצטבר</w:t>
      </w:r>
      <w:r>
        <w:rPr>
          <w:rtl w:val="true"/>
        </w:rPr>
        <w:t xml:space="preserve">. </w:t>
      </w:r>
      <w:r>
        <w:rPr>
          <w:rtl w:val="true"/>
        </w:rPr>
        <w:t xml:space="preserve">יתר </w:t>
      </w:r>
      <w:r>
        <w:rPr>
          <w:rtl w:val="true"/>
        </w:rPr>
        <w:t>רכיבי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ייוותרו על כנם</w:t>
      </w:r>
      <w:r>
        <w:rPr>
          <w:rtl w:val="true"/>
        </w:rPr>
        <w:t>.</w:t>
      </w:r>
    </w:p>
    <w:p>
      <w:pPr>
        <w:pStyle w:val="Ruller4"/>
        <w:ind w:end="0"/>
        <w:jc w:val="center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12.12.2017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17000270</w:t>
      </w:r>
      <w:r>
        <w:rPr>
          <w:sz w:val="16"/>
          <w:rtl w:val="true"/>
        </w:rPr>
        <w:t>_</w:t>
      </w:r>
      <w:r>
        <w:rPr>
          <w:sz w:val="16"/>
        </w:rPr>
        <w:t>J04.doc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8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54678313-27/17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27/17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מהדי בסל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9740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case/21697402" TargetMode="External"/><Relationship Id="rId7" Type="http://schemas.openxmlformats.org/officeDocument/2006/relationships/hyperlink" Target="http://www.nevo.co.il/case/7019395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case/21474520" TargetMode="External"/><Relationship Id="rId13" Type="http://schemas.openxmlformats.org/officeDocument/2006/relationships/hyperlink" Target="http://www.nevo.co.il/case/20253096" TargetMode="External"/><Relationship Id="rId14" Type="http://schemas.openxmlformats.org/officeDocument/2006/relationships/hyperlink" Target="http://www.nevo.co.il/case/17948153" TargetMode="External"/><Relationship Id="rId15" Type="http://schemas.openxmlformats.org/officeDocument/2006/relationships/hyperlink" Target="http://www.nevo.co.il/case/20455789" TargetMode="External"/><Relationship Id="rId16" Type="http://schemas.openxmlformats.org/officeDocument/2006/relationships/hyperlink" Target="http://www.nevo.co.il/case/22006503" TargetMode="External"/><Relationship Id="rId17" Type="http://schemas.openxmlformats.org/officeDocument/2006/relationships/hyperlink" Target="http://www.nevo.co.il/case/21584574" TargetMode="External"/><Relationship Id="rId18" Type="http://schemas.openxmlformats.org/officeDocument/2006/relationships/hyperlink" Target="http://www.court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2017-12-14T08:59:00Z</dcterms:created>
  <dc:creator> </dc:creator>
  <dc:description/>
  <cp:keywords/>
  <dc:language>en-IL</dc:language>
  <cp:lastModifiedBy>orly</cp:lastModifiedBy>
  <cp:lastPrinted>2017-12-12T11:42:00Z</cp:lastPrinted>
  <dcterms:modified xsi:type="dcterms:W3CDTF">2017-12-14T08:59:00Z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מהדי בסל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ProcID=133;209&amp;PartA=9821&amp;PartC=16</vt:lpwstr>
  </property>
  <property fmtid="{D5CDD505-2E9C-101B-9397-08002B2CF9AE}" pid="9" name="CASESLISTTMP1">
    <vt:lpwstr>21697402:2;7019395;21474520;20253096;17948153;20455789;22006503;21584574</vt:lpwstr>
  </property>
  <property fmtid="{D5CDD505-2E9C-101B-9397-08002B2CF9AE}" pid="10" name="CITY">
    <vt:lpwstr/>
  </property>
  <property fmtid="{D5CDD505-2E9C-101B-9397-08002B2CF9AE}" pid="11" name="DATE">
    <vt:lpwstr>20171212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סולברג;א' שהם;י' אלרון</vt:lpwstr>
  </property>
  <property fmtid="{D5CDD505-2E9C-101B-9397-08002B2CF9AE}" pid="15" name="LAWLISTTMP1">
    <vt:lpwstr>70301/144.a:2;144.b</vt:lpwstr>
  </property>
  <property fmtid="{D5CDD505-2E9C-101B-9397-08002B2CF9AE}" pid="16" name="LAWYER">
    <vt:lpwstr>סיגל בלום;חנא בולוס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18;77;77</vt:lpwstr>
  </property>
  <property fmtid="{D5CDD505-2E9C-101B-9397-08002B2CF9AE}" pid="38" name="NOSE21">
    <vt:lpwstr>ערעור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504;1446;1446</vt:lpwstr>
  </property>
  <property fmtid="{D5CDD505-2E9C-101B-9397-08002B2CF9AE}" pid="49" name="NOSE31">
    <vt:lpwstr>אי-התערבות בחומרת העונש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נשק</vt:lpwstr>
  </property>
  <property fmtid="{D5CDD505-2E9C-101B-9397-08002B2CF9AE}" pid="52" name="NOSE33">
    <vt:lpwstr>אחדות הענישה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;13800;12547</vt:lpwstr>
  </property>
  <property fmtid="{D5CDD505-2E9C-101B-9397-08002B2CF9AE}" pid="60" name="PADIDATE">
    <vt:lpwstr>20171214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27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410120171212</vt:lpwstr>
  </property>
  <property fmtid="{D5CDD505-2E9C-101B-9397-08002B2CF9AE}" pid="70" name="TYPE_N_DATE">
    <vt:lpwstr>41020171212</vt:lpwstr>
  </property>
  <property fmtid="{D5CDD505-2E9C-101B-9397-08002B2CF9AE}" pid="71" name="VOLUME">
    <vt:lpwstr/>
  </property>
  <property fmtid="{D5CDD505-2E9C-101B-9397-08002B2CF9AE}" pid="72" name="WORDNUMPAGES">
    <vt:lpwstr>6</vt:lpwstr>
  </property>
</Properties>
</file>