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2722/23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כנפי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שטייניץ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גורדון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14.3.2023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          </w:t>
            </w:r>
            <w:r>
              <w:rPr>
                <w:sz w:val="24"/>
                <w:szCs w:val="24"/>
              </w:rPr>
              <w:t>27692-06-21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 w:val="24"/>
                <w:szCs w:val="24"/>
                <w:rtl w:val="true"/>
              </w:rPr>
              <w:t>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23.4.2023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8"/>
        <w:gridCol w:w="5145"/>
      </w:tblGrid>
      <w:tr>
        <w:trPr/>
        <w:tc>
          <w:tcPr>
            <w:tcW w:w="321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4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שרף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תאבת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מונעם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  <w:u w:val="none"/>
          </w:rPr>
          <w:t>334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335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368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368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פסק כי זהו אחד מאותם מקרים חריגים בהם נדרשת התערבות ערכאת הערעור והחמרה </w:t>
      </w:r>
      <w:r>
        <w:rPr>
          <w:rFonts w:ascii="Times New Roman" w:hAnsi="Times New Roman" w:cs="Times New Roman"/>
          <w:spacing w:val="0"/>
          <w:szCs w:val="26"/>
          <w:rtl w:val="true"/>
        </w:rPr>
        <w:t>בעונשו של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הורשע בביצוע עבירות אלימות כלפי ילדיו הקטינים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כך שירצה </w:t>
      </w:r>
      <w:r>
        <w:rPr>
          <w:rFonts w:cs="Times New Roman" w:ascii="Times New Roman" w:hAnsi="Times New Roman"/>
          <w:spacing w:val="0"/>
          <w:szCs w:val="26"/>
        </w:rPr>
        <w:t>40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 מאסר בפועל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חלף </w:t>
      </w:r>
      <w:r>
        <w:rPr>
          <w:rFonts w:cs="Times New Roman" w:ascii="Times New Roman" w:hAnsi="Times New Roman"/>
          <w:spacing w:val="0"/>
          <w:szCs w:val="26"/>
        </w:rPr>
        <w:t>30</w:t>
      </w:r>
      <w:r>
        <w:rPr>
          <w:rFonts w:cs="Times New Roman" w:ascii="Times New Roman" w:hAnsi="Times New Roman"/>
          <w:spacing w:val="0"/>
          <w:szCs w:val="26"/>
          <w:rtl w:val="true"/>
        </w:rPr>
        <w:t>).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מאחר שהעונש שהוטל על המשיב אינו נותן ביטוי הולם לחומר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המופלגת של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לנסיבות ביצועם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שמדובר בעבירות המבוצעות בחדרי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חדרים שלא קל לגלותן כדי למצות את הדין עם מבצעיהן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וכן לרף הענישה הראוי והמקובל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אלימות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משפט – ערעור – התערבות במידת העונש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המדינה על גזר דין ש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במסגרתו הושת על המשיב עונש של </w:t>
      </w:r>
      <w:r>
        <w:rPr>
          <w:rFonts w:cs="Times New Roman" w:ascii="Times New Roman" w:hAnsi="Times New Roman"/>
          <w:spacing w:val="0"/>
          <w:szCs w:val="26"/>
        </w:rPr>
        <w:t>30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לריצוי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ענישה נלווית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בגין הרשעתו בעבירות אלימות שביצע כלפי ילדיו הקטינים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המדינה מלינה על קולת עונש המאסר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שטיין ובהסכמת השופטות וילנר וכנפי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שטייניץ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הלכה היא כי ערכאת ערעור אינה נוהגת להתערב בעונש שה</w:t>
      </w:r>
      <w:r>
        <w:rPr>
          <w:rFonts w:ascii="Times New Roman" w:hAnsi="Times New Roman" w:cs="Times New Roman"/>
          <w:spacing w:val="0"/>
          <w:szCs w:val="26"/>
          <w:rtl w:val="true"/>
        </w:rPr>
        <w:t>טילה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בנסיבות בהן גזר הדין מגלה סטייה ניכרת ממדיניות הענישה הנוהגת או במקרים חריגים שבהם נפלה טעות מהותית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זהו </w:t>
      </w:r>
      <w:r>
        <w:rPr>
          <w:rFonts w:ascii="Times New Roman" w:hAnsi="Times New Roman" w:cs="Times New Roman"/>
          <w:spacing w:val="0"/>
          <w:szCs w:val="26"/>
          <w:rtl w:val="true"/>
        </w:rPr>
        <w:t>מקר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חריג ב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נדרשת התערבות ערכאת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מאחר שהעונש שהוטל על המשיב אינו נותן ביטוי הולם לחומרתם המופלגת של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לנסיבות ביצועם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כוללות פגיעה חמורה בחסרי ישע שהיו נתונים למרותו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לעובדה שמדובר בעבירות המבוצעות בחדרי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חדרים שלא קל לגלותן כדי למצות את הדין עם מבצעיהן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וכן לרף הענישה הראוי והמקובל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הלכה </w:t>
      </w:r>
      <w:r>
        <w:rPr>
          <w:rFonts w:ascii="Times New Roman" w:hAnsi="Times New Roman" w:cs="Times New Roman"/>
          <w:spacing w:val="0"/>
          <w:szCs w:val="26"/>
          <w:rtl w:val="true"/>
        </w:rPr>
        <w:t>היא 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אלימות פיזית נגד ילדים היא דפוס פעולה עברייני שיש לנהל נגדו מלחמת חורמה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האלימות אותה הפעיל המשיב כלפי ילדיו הייתה קשה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מתמשכת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מסוכנת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ומשפילה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היא </w:t>
      </w:r>
      <w:r>
        <w:rPr>
          <w:rFonts w:ascii="Times New Roman" w:hAnsi="Times New Roman" w:cs="Times New Roman"/>
          <w:spacing w:val="0"/>
          <w:szCs w:val="26"/>
          <w:rtl w:val="true"/>
        </w:rPr>
        <w:t>בוצע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על ידי אבי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הקטינים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שהיה אמון על שלומם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ביטחונם ועל רווחתם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 אלימות והתעללות כאלה מחייבים תגובה עונשית שתהלום את חומרת המעשים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עונשם של עברייני אלימות במשפחה כדוגמת המשיב צריך לשגר מסר ברור לפיו אלימות במשפחה תיענה בעונשי מאסר ממושכים שיהא בהם כדי לקיים את הרתעת היחיד ואת הרתעת הרבים כאחד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בהינתן היעדר אכיפה מספקת ביחס לעבירות אלימות המתבצעות בחיק המשפחה ובחדרי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חדרים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לענישה מחמירה ובלתי מתפשרת יש חשיבות מיוחדת אשר נובעת מהפער המשמעותי ביחסי הכוחות בין הורים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להם הכוח הפיזי והשליטה בחיי ילדיהם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לבין ילדים 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חלשים ותלויים בהוריהם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תוצאות מעשיו הפוגעניים של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מלמדות על חומרתם ועל השלכותיהם העגומות על חיי ילדיו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העבירות נלמדת מעונשי המקסימום הקבועים בצדן בחוק 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שבע שנות מאסר בגין עבירה של תקיפת קטין בידי אחראי הגורמת חבלה של ממש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ותשע שנות מאסר בגין עבירת ההתעללות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 הורשע בשבעה אישומים שונים בעשר עבירות של תקיפת קטין בידי אחראי הגורמת חבלה של ממש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וכן בתשע עבירות של התעללות בקטין ובעבירת פציעה אחת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עונש שהוטל על המשיב אינו מבטא את מכלול השיקולים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נראה כי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קמא </w:t>
      </w:r>
      <w:r>
        <w:rPr>
          <w:rFonts w:ascii="Times New Roman" w:hAnsi="Times New Roman" w:cs="Times New Roman"/>
          <w:spacing w:val="0"/>
          <w:szCs w:val="26"/>
          <w:rtl w:val="true"/>
        </w:rPr>
        <w:t>נתן משקל יתר לנסיבות האישיות של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דוגמת גירושיו והרחקתו מהבית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ולכך שהמשיב לא התכוון להרע לילדיו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ניהל חיים נורמטיביים עובר לביצוע העבירות והתקשה לשלוט על מעשיו בהיותו שרוי בתסכול על רקע מצוקה כלכלית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ש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 אלו אינן מפחיתות מחומרת מעשיו של המשיב אשר גרמו לתוצאות הרסניות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דברים אלו נכונים שבעתיים ביחס למשיב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שלא הודה במעשיו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טרם הפנים את הפסול שבהם ולא הביע עליהם שום חרטה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שהושת על המשיב חורג במידה ניכרת לקולא מהענישה הראויה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על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ובשים לב לכלל לפיו ערכאת הערעור אינה ממצה את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 המאסר לריצוי 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הועמד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על </w:t>
      </w:r>
      <w:r>
        <w:rPr>
          <w:rFonts w:cs="Times New Roman" w:ascii="Times New Roman" w:hAnsi="Times New Roman"/>
          <w:spacing w:val="0"/>
          <w:szCs w:val="26"/>
        </w:rPr>
        <w:t>40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לפנינו ערעור המדינה על גזר הדין שניתן על ידי בית המשפט המחוזי ירושלים 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גורדון</w:t>
      </w:r>
      <w:r>
        <w:rPr>
          <w:rtl w:val="true"/>
        </w:rPr>
        <w:t xml:space="preserve">) </w:t>
      </w:r>
      <w:r>
        <w:rPr>
          <w:rtl w:val="true"/>
        </w:rPr>
        <w:t xml:space="preserve">ביום </w:t>
      </w:r>
      <w:r>
        <w:rPr/>
        <w:t>14.3.2023</w:t>
      </w:r>
      <w:r>
        <w:rPr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27692-06-21</w:t>
      </w:r>
      <w:r>
        <w:rPr>
          <w:rtl w:val="true"/>
        </w:rPr>
        <w:t xml:space="preserve">, </w:t>
      </w:r>
      <w:r>
        <w:rPr>
          <w:rtl w:val="true"/>
        </w:rPr>
        <w:t xml:space="preserve">במסגרתו הושת על המשיב עונש של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לריצוי בפועל</w:t>
      </w:r>
      <w:r>
        <w:rPr>
          <w:rtl w:val="true"/>
        </w:rPr>
        <w:t xml:space="preserve">, </w:t>
      </w:r>
      <w:r>
        <w:rPr>
          <w:rtl w:val="true"/>
        </w:rPr>
        <w:t>לצד ענישה נלווית</w:t>
      </w:r>
      <w:r>
        <w:rPr>
          <w:rtl w:val="true"/>
        </w:rPr>
        <w:t xml:space="preserve">. </w:t>
      </w:r>
      <w:r>
        <w:rPr>
          <w:rtl w:val="true"/>
        </w:rPr>
        <w:t>המדינה מלינה על קולת עונש המאסר שנגזר על המשיב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ביום </w:t>
      </w:r>
      <w:r>
        <w:rPr/>
        <w:t>13.6.2021</w:t>
      </w:r>
      <w:r>
        <w:rPr>
          <w:rtl w:val="true"/>
        </w:rPr>
        <w:t xml:space="preserve"> </w:t>
      </w:r>
      <w:r>
        <w:rPr>
          <w:rtl w:val="true"/>
        </w:rPr>
        <w:t>הוגש נגד המשיב כתב אישום ובו שמונה אישומים המפרטים מסכת של עבירות אלימות שביצע כלפי ילדיו הקטינים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19.2.2023</w:t>
      </w:r>
      <w:r>
        <w:rPr>
          <w:rtl w:val="true"/>
        </w:rPr>
        <w:t xml:space="preserve"> </w:t>
      </w:r>
      <w:r>
        <w:rPr>
          <w:rtl w:val="true"/>
        </w:rPr>
        <w:t>הורשע המשיב</w:t>
      </w:r>
      <w:r>
        <w:rPr>
          <w:rtl w:val="true"/>
        </w:rPr>
        <w:t xml:space="preserve">, </w:t>
      </w:r>
      <w:r>
        <w:rPr>
          <w:rtl w:val="true"/>
        </w:rPr>
        <w:t>לאחר ניהול הוכחות</w:t>
      </w:r>
      <w:r>
        <w:rPr>
          <w:rtl w:val="true"/>
        </w:rPr>
        <w:t xml:space="preserve">, </w:t>
      </w:r>
      <w:r>
        <w:rPr>
          <w:rtl w:val="true"/>
        </w:rPr>
        <w:t>בעבירות הבאות</w:t>
      </w:r>
      <w:r>
        <w:rPr>
          <w:rtl w:val="true"/>
        </w:rPr>
        <w:t xml:space="preserve">: </w:t>
      </w:r>
      <w:r>
        <w:rPr>
          <w:rtl w:val="true"/>
        </w:rPr>
        <w:t>ריבוי עבירות של תקיפת קטין בידי אחראי הגורמת חבלה של ממש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368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 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>פציעה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9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334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0"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וכן ריבוי עבירות של התעללות בקטין לפי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368</w:t>
        </w:r>
        <w:r>
          <w:rPr>
            <w:rStyle w:val="Hyperlink"/>
            <w:rtl w:val="true"/>
          </w:rPr>
          <w:t>ג</w:t>
        </w:r>
      </w:hyperlink>
      <w:r>
        <w:rPr>
          <w:rtl w:val="true"/>
        </w:rPr>
        <w:t xml:space="preserve"> סיפא לחוק</w:t>
      </w:r>
      <w:r>
        <w:rPr>
          <w:rtl w:val="true"/>
        </w:rPr>
        <w:t xml:space="preserve">. </w:t>
      </w:r>
      <w:r>
        <w:rPr>
          <w:rtl w:val="true"/>
        </w:rPr>
        <w:t>במסגרת הכרעת הדין</w:t>
      </w:r>
      <w:r>
        <w:rPr>
          <w:rtl w:val="true"/>
        </w:rPr>
        <w:t xml:space="preserve">, </w:t>
      </w:r>
      <w:r>
        <w:rPr>
          <w:rtl w:val="true"/>
        </w:rPr>
        <w:t>זוכה המשיב</w:t>
      </w:r>
      <w:r>
        <w:rPr>
          <w:rtl w:val="true"/>
        </w:rPr>
        <w:t xml:space="preserve">, </w:t>
      </w:r>
      <w:r>
        <w:rPr>
          <w:rtl w:val="true"/>
        </w:rPr>
        <w:t>בהסכמת המדינה</w:t>
      </w:r>
      <w:r>
        <w:rPr>
          <w:rtl w:val="true"/>
        </w:rPr>
        <w:t xml:space="preserve">, </w:t>
      </w:r>
      <w:r>
        <w:rPr>
          <w:rtl w:val="true"/>
        </w:rPr>
        <w:t>מהעבירות שיוחסו לו במסגרת האישום השמיני שכן האירועים המפורטים בו חפפו את המתואר באישום אחר בכתב האישום</w:t>
      </w:r>
      <w:r>
        <w:rPr>
          <w:rtl w:val="true"/>
        </w:rPr>
        <w:t xml:space="preserve">. </w:t>
      </w:r>
      <w:r>
        <w:rPr>
          <w:rtl w:val="true"/>
        </w:rPr>
        <w:t>כמו כן זוכה המשיב מחלק מעבירות האלימות שיוחסו לו במסגרת האישום השביעי</w:t>
      </w:r>
      <w:r>
        <w:rPr>
          <w:rtl w:val="true"/>
        </w:rPr>
        <w:t xml:space="preserve">, </w:t>
      </w:r>
      <w:r>
        <w:rPr>
          <w:rtl w:val="true"/>
        </w:rPr>
        <w:t>כפי שיפורט להלן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אפתח בפירוט העובדות אשר יוחסו למשיב בכתב האישום ואשר על בסיסן הוא נמצא חייב בדינו</w:t>
      </w:r>
      <w:r>
        <w:rPr>
          <w:rtl w:val="true"/>
        </w:rPr>
        <w:t xml:space="preserve">. </w:t>
      </w:r>
      <w:r>
        <w:rPr>
          <w:rtl w:val="true"/>
        </w:rPr>
        <w:t>המשיב ופ</w:t>
      </w:r>
      <w:r>
        <w:rPr>
          <w:rtl w:val="true"/>
        </w:rPr>
        <w:t>'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האם</w:t>
      </w:r>
      <w:r>
        <w:rPr>
          <w:rtl w:val="true"/>
        </w:rPr>
        <w:t xml:space="preserve">) </w:t>
      </w:r>
      <w:r>
        <w:rPr>
          <w:rtl w:val="true"/>
        </w:rPr>
        <w:t>נשואים ולהם חמישה ילדים</w:t>
      </w:r>
      <w:r>
        <w:rPr>
          <w:rtl w:val="true"/>
        </w:rPr>
        <w:t xml:space="preserve">: </w:t>
      </w:r>
      <w:r>
        <w:rPr>
          <w:rtl w:val="true"/>
        </w:rPr>
        <w:t>ג</w:t>
      </w:r>
      <w:r>
        <w:rPr>
          <w:rtl w:val="true"/>
        </w:rPr>
        <w:t xml:space="preserve">', </w:t>
      </w:r>
      <w:r>
        <w:rPr>
          <w:rtl w:val="true"/>
        </w:rPr>
        <w:t xml:space="preserve">קטין יליד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 xml:space="preserve">' </w:t>
      </w:r>
      <w:r>
        <w:rPr>
          <w:rtl w:val="true"/>
        </w:rPr>
        <w:t xml:space="preserve">קטין יליד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 xml:space="preserve">קטינה ילידת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עב</w:t>
      </w:r>
      <w:r>
        <w:rPr>
          <w:rtl w:val="true"/>
        </w:rPr>
        <w:t xml:space="preserve">' </w:t>
      </w:r>
      <w:r>
        <w:rPr>
          <w:rtl w:val="true"/>
        </w:rPr>
        <w:t xml:space="preserve">קטין יליד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ות</w:t>
      </w:r>
      <w:r>
        <w:rPr>
          <w:rtl w:val="true"/>
        </w:rPr>
        <w:t xml:space="preserve">' </w:t>
      </w:r>
      <w:r>
        <w:rPr>
          <w:rtl w:val="true"/>
        </w:rPr>
        <w:t xml:space="preserve">קטינה ילידת </w:t>
      </w:r>
      <w:r>
        <w:rPr/>
        <w:t>2015</w:t>
      </w:r>
      <w:r>
        <w:rPr>
          <w:rtl w:val="true"/>
        </w:rPr>
        <w:t xml:space="preserve">. </w:t>
      </w:r>
      <w:r>
        <w:rPr>
          <w:rtl w:val="true"/>
        </w:rPr>
        <w:t xml:space="preserve">במהלך השנים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 xml:space="preserve">ועד למועד מעצרו בשנת 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נהג המשיב להכות את הקטינים בהזדמנויות רבות באמצעות חגורה ובידיו</w:t>
      </w:r>
      <w:r>
        <w:rPr>
          <w:rtl w:val="true"/>
        </w:rPr>
        <w:t xml:space="preserve">. </w:t>
      </w:r>
      <w:r>
        <w:rPr>
          <w:rtl w:val="true"/>
        </w:rPr>
        <w:t>כאמור באישום הראשון</w:t>
      </w:r>
      <w:r>
        <w:rPr>
          <w:rtl w:val="true"/>
        </w:rPr>
        <w:t xml:space="preserve">, </w:t>
      </w:r>
      <w:r>
        <w:rPr>
          <w:rtl w:val="true"/>
        </w:rPr>
        <w:t>שיחקו ג</w:t>
      </w:r>
      <w:r>
        <w:rPr>
          <w:rtl w:val="true"/>
        </w:rPr>
        <w:t xml:space="preserve">' </w:t>
      </w:r>
      <w:r>
        <w:rPr>
          <w:rtl w:val="true"/>
        </w:rPr>
        <w:t>ועל</w:t>
      </w:r>
      <w:r>
        <w:rPr>
          <w:rtl w:val="true"/>
        </w:rPr>
        <w:t xml:space="preserve">' </w:t>
      </w:r>
      <w:r>
        <w:rPr>
          <w:rtl w:val="true"/>
        </w:rPr>
        <w:t>בחדרם וקפצו על המיטות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המשיב לקח לידיו חגורה ושאל את הילדים מדוע הם קופצים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ועל</w:t>
      </w:r>
      <w:r>
        <w:rPr>
          <w:rtl w:val="true"/>
        </w:rPr>
        <w:t xml:space="preserve">' </w:t>
      </w:r>
      <w:r>
        <w:rPr>
          <w:rtl w:val="true"/>
        </w:rPr>
        <w:t>ירדו מהמיטה והמשיב ניגש לג</w:t>
      </w:r>
      <w:r>
        <w:rPr>
          <w:rtl w:val="true"/>
        </w:rPr>
        <w:t xml:space="preserve">' </w:t>
      </w:r>
      <w:r>
        <w:rPr>
          <w:rtl w:val="true"/>
        </w:rPr>
        <w:t>והכה אותו באמצעות מכת אגרוף בראשו</w:t>
      </w:r>
      <w:r>
        <w:rPr>
          <w:rtl w:val="true"/>
        </w:rPr>
        <w:t xml:space="preserve">. </w:t>
      </w:r>
      <w:r>
        <w:rPr>
          <w:rtl w:val="true"/>
        </w:rPr>
        <w:t>כתוצאה מכך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נפל ונחבל בראשו מקצה המיטה</w:t>
      </w:r>
      <w:r>
        <w:rPr>
          <w:rtl w:val="true"/>
        </w:rPr>
        <w:t xml:space="preserve">, </w:t>
      </w:r>
      <w:r>
        <w:rPr>
          <w:rtl w:val="true"/>
        </w:rPr>
        <w:t>ירד לו דם והוא חש בסחרחורת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לפי האישום השני</w:t>
      </w:r>
      <w:r>
        <w:rPr>
          <w:rtl w:val="true"/>
        </w:rPr>
        <w:t xml:space="preserve">, </w:t>
      </w:r>
      <w:r>
        <w:rPr>
          <w:rtl w:val="true"/>
        </w:rPr>
        <w:t>עב</w:t>
      </w:r>
      <w:r>
        <w:rPr>
          <w:rtl w:val="true"/>
        </w:rPr>
        <w:t xml:space="preserve">' </w:t>
      </w:r>
      <w:r>
        <w:rPr>
          <w:rtl w:val="true"/>
        </w:rPr>
        <w:t>ועל</w:t>
      </w:r>
      <w:r>
        <w:rPr>
          <w:rtl w:val="true"/>
        </w:rPr>
        <w:t xml:space="preserve">' </w:t>
      </w:r>
      <w:r>
        <w:rPr>
          <w:rtl w:val="true"/>
        </w:rPr>
        <w:t>שיחקו בחדרם וכתוצאה מהמשחק התעורר המשיב משנתו בכעס</w:t>
      </w:r>
      <w:r>
        <w:rPr>
          <w:rtl w:val="true"/>
        </w:rPr>
        <w:t xml:space="preserve">. </w:t>
      </w:r>
      <w:r>
        <w:rPr>
          <w:rtl w:val="true"/>
        </w:rPr>
        <w:t>המשיב ניגש לחדרם של הילדים</w:t>
      </w:r>
      <w:r>
        <w:rPr>
          <w:rtl w:val="true"/>
        </w:rPr>
        <w:t xml:space="preserve">, </w:t>
      </w:r>
      <w:r>
        <w:rPr>
          <w:rtl w:val="true"/>
        </w:rPr>
        <w:t>תפס את ידו של עב</w:t>
      </w:r>
      <w:r>
        <w:rPr>
          <w:rtl w:val="true"/>
        </w:rPr>
        <w:t xml:space="preserve">' </w:t>
      </w:r>
      <w:r>
        <w:rPr>
          <w:rtl w:val="true"/>
        </w:rPr>
        <w:t>ומשך אותו כך שעב</w:t>
      </w:r>
      <w:r>
        <w:rPr>
          <w:rtl w:val="true"/>
        </w:rPr>
        <w:t xml:space="preserve">' </w:t>
      </w:r>
      <w:r>
        <w:rPr>
          <w:rtl w:val="true"/>
        </w:rPr>
        <w:t>נפל על המזרן שעל הרצפה</w:t>
      </w:r>
      <w:r>
        <w:rPr>
          <w:rtl w:val="true"/>
        </w:rPr>
        <w:t xml:space="preserve">. </w:t>
      </w:r>
      <w:r>
        <w:rPr>
          <w:rtl w:val="true"/>
        </w:rPr>
        <w:t>בעוד עב</w:t>
      </w:r>
      <w:r>
        <w:rPr>
          <w:rtl w:val="true"/>
        </w:rPr>
        <w:t xml:space="preserve">' </w:t>
      </w:r>
      <w:r>
        <w:rPr>
          <w:rtl w:val="true"/>
        </w:rPr>
        <w:t>על המזרן</w:t>
      </w:r>
      <w:r>
        <w:rPr>
          <w:rtl w:val="true"/>
        </w:rPr>
        <w:t xml:space="preserve">, </w:t>
      </w:r>
      <w:r>
        <w:rPr>
          <w:rtl w:val="true"/>
        </w:rPr>
        <w:t>דרך המשיב באמצעות רגלו על ראשו ועל פניו של עב</w:t>
      </w:r>
      <w:r>
        <w:rPr>
          <w:rtl w:val="true"/>
        </w:rPr>
        <w:t xml:space="preserve">' </w:t>
      </w:r>
      <w:r>
        <w:rPr>
          <w:rtl w:val="true"/>
        </w:rPr>
        <w:t>שלוש פעמים בחוזקה</w:t>
      </w:r>
      <w:r>
        <w:rPr>
          <w:rtl w:val="true"/>
        </w:rPr>
        <w:t xml:space="preserve">. </w:t>
      </w:r>
      <w:r>
        <w:rPr>
          <w:rtl w:val="true"/>
        </w:rPr>
        <w:t>כתוצאה ממעשים אלו</w:t>
      </w:r>
      <w:r>
        <w:rPr>
          <w:rtl w:val="true"/>
        </w:rPr>
        <w:t xml:space="preserve">, </w:t>
      </w:r>
      <w:r>
        <w:rPr>
          <w:rtl w:val="true"/>
        </w:rPr>
        <w:t>חש עב</w:t>
      </w:r>
      <w:r>
        <w:rPr>
          <w:rtl w:val="true"/>
        </w:rPr>
        <w:t xml:space="preserve">' </w:t>
      </w:r>
      <w:r>
        <w:rPr>
          <w:rtl w:val="true"/>
        </w:rPr>
        <w:t>סחרחורת ואיבד את הכרתו</w:t>
      </w:r>
      <w:r>
        <w:rPr>
          <w:rtl w:val="true"/>
        </w:rPr>
        <w:t xml:space="preserve">. </w:t>
      </w:r>
      <w:r>
        <w:rPr>
          <w:rtl w:val="true"/>
        </w:rPr>
        <w:t>כן נגרמה אדמומיות בפניו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לפי האישום השלישי</w:t>
      </w:r>
      <w:r>
        <w:rPr>
          <w:rtl w:val="true"/>
        </w:rPr>
        <w:t xml:space="preserve">, </w:t>
      </w:r>
      <w:r>
        <w:rPr>
          <w:rtl w:val="true"/>
        </w:rPr>
        <w:t>איחר על</w:t>
      </w:r>
      <w:r>
        <w:rPr>
          <w:rtl w:val="true"/>
        </w:rPr>
        <w:t xml:space="preserve">' </w:t>
      </w:r>
      <w:r>
        <w:rPr>
          <w:rtl w:val="true"/>
        </w:rPr>
        <w:t>לחזור לביתו מבית הספר ובשל כך הכה אותו המשיב בחגורה בראשו</w:t>
      </w:r>
      <w:r>
        <w:rPr>
          <w:rtl w:val="true"/>
        </w:rPr>
        <w:t xml:space="preserve">, </w:t>
      </w:r>
      <w:r>
        <w:rPr>
          <w:rtl w:val="true"/>
        </w:rPr>
        <w:t>בגבו</w:t>
      </w:r>
      <w:r>
        <w:rPr>
          <w:rtl w:val="true"/>
        </w:rPr>
        <w:t xml:space="preserve">, </w:t>
      </w:r>
      <w:r>
        <w:rPr>
          <w:rtl w:val="true"/>
        </w:rPr>
        <w:t>בידיו וברגליו</w:t>
      </w:r>
      <w:r>
        <w:rPr>
          <w:rtl w:val="true"/>
        </w:rPr>
        <w:t xml:space="preserve">. </w:t>
      </w:r>
      <w:r>
        <w:rPr>
          <w:rtl w:val="true"/>
        </w:rPr>
        <w:t>כתוצאה מכך</w:t>
      </w:r>
      <w:r>
        <w:rPr>
          <w:rtl w:val="true"/>
        </w:rPr>
        <w:t xml:space="preserve">, </w:t>
      </w:r>
      <w:r>
        <w:rPr>
          <w:rtl w:val="true"/>
        </w:rPr>
        <w:t>נגרמו לעל</w:t>
      </w:r>
      <w:r>
        <w:rPr>
          <w:rtl w:val="true"/>
        </w:rPr>
        <w:t xml:space="preserve">' </w:t>
      </w:r>
      <w:r>
        <w:rPr>
          <w:rtl w:val="true"/>
        </w:rPr>
        <w:t>שטפי דם בגבו ועל ידיו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לפי האישום הרביעי</w:t>
      </w:r>
      <w:r>
        <w:rPr>
          <w:rtl w:val="true"/>
        </w:rPr>
        <w:t xml:space="preserve">, </w:t>
      </w:r>
      <w:r>
        <w:rPr>
          <w:rtl w:val="true"/>
        </w:rPr>
        <w:t>חזרה נ</w:t>
      </w:r>
      <w:r>
        <w:rPr>
          <w:rtl w:val="true"/>
        </w:rPr>
        <w:t xml:space="preserve">' </w:t>
      </w:r>
      <w:r>
        <w:rPr>
          <w:rtl w:val="true"/>
        </w:rPr>
        <w:t>מבית הספר לבית באיחור</w:t>
      </w:r>
      <w:r>
        <w:rPr>
          <w:rtl w:val="true"/>
        </w:rPr>
        <w:t xml:space="preserve">. </w:t>
      </w:r>
      <w:r>
        <w:rPr>
          <w:rtl w:val="true"/>
        </w:rPr>
        <w:t>המשיב לקח לידיו חגורה</w:t>
      </w:r>
      <w:r>
        <w:rPr>
          <w:rtl w:val="true"/>
        </w:rPr>
        <w:t xml:space="preserve">, </w:t>
      </w:r>
      <w:r>
        <w:rPr>
          <w:rtl w:val="true"/>
        </w:rPr>
        <w:t>שאל את נ</w:t>
      </w:r>
      <w:r>
        <w:rPr>
          <w:rtl w:val="true"/>
        </w:rPr>
        <w:t xml:space="preserve">' </w:t>
      </w:r>
      <w:r>
        <w:rPr>
          <w:rtl w:val="true"/>
        </w:rPr>
        <w:t>מדוע הלכה לחברה ללא רשות ואז משך אותה בשערה וגרר אותה לסלון הבית</w:t>
      </w:r>
      <w:r>
        <w:rPr>
          <w:rtl w:val="true"/>
        </w:rPr>
        <w:t xml:space="preserve">, </w:t>
      </w:r>
      <w:r>
        <w:rPr>
          <w:rtl w:val="true"/>
        </w:rPr>
        <w:t>שם הכה אותה באמצעות חגורה ברגליה ובידיה</w:t>
      </w:r>
      <w:r>
        <w:rPr>
          <w:rtl w:val="true"/>
        </w:rPr>
        <w:t xml:space="preserve">, </w:t>
      </w:r>
      <w:r>
        <w:rPr>
          <w:rtl w:val="true"/>
        </w:rPr>
        <w:t>בעט ברגליה וסטר על לחייה</w:t>
      </w:r>
      <w:r>
        <w:rPr>
          <w:rtl w:val="true"/>
        </w:rPr>
        <w:t xml:space="preserve">. </w:t>
      </w:r>
      <w:r>
        <w:rPr>
          <w:rtl w:val="true"/>
        </w:rPr>
        <w:t>כתוצאה מכך נגרמו לנ</w:t>
      </w:r>
      <w:r>
        <w:rPr>
          <w:rtl w:val="true"/>
        </w:rPr>
        <w:t xml:space="preserve">' </w:t>
      </w:r>
      <w:r>
        <w:rPr>
          <w:rtl w:val="true"/>
        </w:rPr>
        <w:t>שטפי דם וסימנים בצורת חגורה על ידיה ורגליה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לפי האישום החמישי</w:t>
      </w:r>
      <w:r>
        <w:rPr>
          <w:rtl w:val="true"/>
        </w:rPr>
        <w:t xml:space="preserve">, </w:t>
      </w:r>
      <w:r>
        <w:rPr>
          <w:rtl w:val="true"/>
        </w:rPr>
        <w:t>חזר עב</w:t>
      </w:r>
      <w:r>
        <w:rPr>
          <w:rtl w:val="true"/>
        </w:rPr>
        <w:t xml:space="preserve">' </w:t>
      </w:r>
      <w:r>
        <w:rPr>
          <w:rtl w:val="true"/>
        </w:rPr>
        <w:t>מבית הספר לביתו באיחור ובתגובה הכה המשיב את ידו הימנית ואת גבו של עב</w:t>
      </w:r>
      <w:r>
        <w:rPr>
          <w:rtl w:val="true"/>
        </w:rPr>
        <w:t xml:space="preserve">' </w:t>
      </w:r>
      <w:r>
        <w:rPr>
          <w:rtl w:val="true"/>
        </w:rPr>
        <w:t>באמצעות חגורה</w:t>
      </w:r>
      <w:r>
        <w:rPr>
          <w:rtl w:val="true"/>
        </w:rPr>
        <w:t xml:space="preserve">. </w:t>
      </w:r>
      <w:r>
        <w:rPr>
          <w:rtl w:val="true"/>
        </w:rPr>
        <w:tab/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לפי האישום השישי</w:t>
      </w:r>
      <w:r>
        <w:rPr>
          <w:rtl w:val="true"/>
        </w:rPr>
        <w:t xml:space="preserve">, </w:t>
      </w:r>
      <w:r>
        <w:rPr>
          <w:rtl w:val="true"/>
        </w:rPr>
        <w:t>חזרו נ</w:t>
      </w:r>
      <w:r>
        <w:rPr>
          <w:rtl w:val="true"/>
        </w:rPr>
        <w:t xml:space="preserve">', </w:t>
      </w:r>
      <w:r>
        <w:rPr>
          <w:rtl w:val="true"/>
        </w:rPr>
        <w:t>על</w:t>
      </w:r>
      <w:r>
        <w:rPr>
          <w:rtl w:val="true"/>
        </w:rPr>
        <w:t xml:space="preserve">' </w:t>
      </w:r>
      <w:r>
        <w:rPr>
          <w:rtl w:val="true"/>
        </w:rPr>
        <w:t>ועב</w:t>
      </w:r>
      <w:r>
        <w:rPr>
          <w:rtl w:val="true"/>
        </w:rPr>
        <w:t xml:space="preserve">' </w:t>
      </w:r>
      <w:r>
        <w:rPr>
          <w:rtl w:val="true"/>
        </w:rPr>
        <w:t>מבית הספר באיחור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תפס המשיב את ראשו של על</w:t>
      </w:r>
      <w:r>
        <w:rPr>
          <w:rtl w:val="true"/>
        </w:rPr>
        <w:t xml:space="preserve">' </w:t>
      </w:r>
      <w:r>
        <w:rPr>
          <w:rtl w:val="true"/>
        </w:rPr>
        <w:t xml:space="preserve">בידיו והטיח את ראשו בקיר ובהמשך לכך אמר לו </w:t>
      </w:r>
      <w:r>
        <w:rPr>
          <w:rtl w:val="true"/>
        </w:rPr>
        <w:t>"</w:t>
      </w:r>
      <w:r>
        <w:rPr>
          <w:rtl w:val="true"/>
        </w:rPr>
        <w:t>אתה לא הולך לבית ספר יותר</w:t>
      </w:r>
      <w:r>
        <w:rPr>
          <w:rtl w:val="true"/>
        </w:rPr>
        <w:t xml:space="preserve">". </w:t>
      </w:r>
      <w:r>
        <w:rPr>
          <w:rtl w:val="true"/>
        </w:rPr>
        <w:t>לאחר מכן פנה המשיב לעב</w:t>
      </w:r>
      <w:r>
        <w:rPr>
          <w:rtl w:val="true"/>
        </w:rPr>
        <w:t xml:space="preserve">' </w:t>
      </w:r>
      <w:r>
        <w:rPr>
          <w:rtl w:val="true"/>
        </w:rPr>
        <w:t>והכה אותו על זרועו הימנית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פנה המשיב לנ</w:t>
      </w:r>
      <w:r>
        <w:rPr>
          <w:rtl w:val="true"/>
        </w:rPr>
        <w:t xml:space="preserve">' </w:t>
      </w:r>
      <w:r>
        <w:rPr>
          <w:rtl w:val="true"/>
        </w:rPr>
        <w:t>ושאל אותה מדוע איחרה לחזור מבית הספר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השיבה כי לא איחרה ושבה לבית עם סיום הלימודים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איתר המשיב מערכת שעות ישנה שלה והטיח בה כי לפי המערכת היא משקרת</w:t>
      </w:r>
      <w:r>
        <w:rPr>
          <w:rtl w:val="true"/>
        </w:rPr>
        <w:t xml:space="preserve">. </w:t>
      </w:r>
      <w:r>
        <w:rPr>
          <w:rtl w:val="true"/>
        </w:rPr>
        <w:t>אז תפס המשיב בשיערה של נ</w:t>
      </w:r>
      <w:r>
        <w:rPr>
          <w:rtl w:val="true"/>
        </w:rPr>
        <w:t xml:space="preserve">' </w:t>
      </w:r>
      <w:r>
        <w:rPr>
          <w:rtl w:val="true"/>
        </w:rPr>
        <w:t>ומשך בו בחוזקה והכה אותה בחזקה בצווארה באמצעות ידו</w:t>
      </w:r>
      <w:r>
        <w:rPr>
          <w:rtl w:val="true"/>
        </w:rPr>
        <w:t xml:space="preserve">. </w:t>
      </w:r>
      <w:r>
        <w:rPr>
          <w:rtl w:val="true"/>
        </w:rPr>
        <w:t>כתוצאה ממעשיו של המשיב</w:t>
      </w:r>
      <w:r>
        <w:rPr>
          <w:rtl w:val="true"/>
        </w:rPr>
        <w:t xml:space="preserve">, </w:t>
      </w:r>
      <w:r>
        <w:rPr>
          <w:rtl w:val="true"/>
        </w:rPr>
        <w:t>נגרמה לעל</w:t>
      </w:r>
      <w:r>
        <w:rPr>
          <w:rtl w:val="true"/>
        </w:rPr>
        <w:t xml:space="preserve">' </w:t>
      </w:r>
      <w:r>
        <w:rPr>
          <w:rtl w:val="true"/>
        </w:rPr>
        <w:t>כאב ונפיחות בראשו וכן נגרמה אדומיות בזרועו של עב</w:t>
      </w:r>
      <w:r>
        <w:rPr>
          <w:rtl w:val="true"/>
        </w:rPr>
        <w:t xml:space="preserve">'.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לפי האישום השביעי</w:t>
      </w:r>
      <w:r>
        <w:rPr>
          <w:rtl w:val="true"/>
        </w:rPr>
        <w:t xml:space="preserve">, </w:t>
      </w:r>
      <w:r>
        <w:rPr>
          <w:rtl w:val="true"/>
        </w:rPr>
        <w:t>בתגובה לחזרתם באיחור מבית הספר הכה המשיב את על</w:t>
      </w:r>
      <w:r>
        <w:rPr>
          <w:rtl w:val="true"/>
        </w:rPr>
        <w:t xml:space="preserve">' </w:t>
      </w:r>
      <w:r>
        <w:rPr>
          <w:rtl w:val="true"/>
        </w:rPr>
        <w:t>בחגורה חמש מכות על ידו הימנית ועל מותן שמאל</w:t>
      </w:r>
      <w:r>
        <w:rPr>
          <w:rtl w:val="true"/>
        </w:rPr>
        <w:t xml:space="preserve">. </w:t>
      </w:r>
      <w:r>
        <w:rPr>
          <w:rtl w:val="true"/>
        </w:rPr>
        <w:t>לאחר מכן ניגש המשיב לעב</w:t>
      </w:r>
      <w:r>
        <w:rPr>
          <w:rtl w:val="true"/>
        </w:rPr>
        <w:t xml:space="preserve">' </w:t>
      </w:r>
      <w:r>
        <w:rPr>
          <w:rtl w:val="true"/>
        </w:rPr>
        <w:t>משך אותו כך שזה נפל על המזרן ואז דרך עליו באמצעות רגלו והכה אותו שתי מכות על המותן בצדו הימני</w:t>
      </w:r>
      <w:r>
        <w:rPr>
          <w:rtl w:val="true"/>
        </w:rPr>
        <w:t xml:space="preserve">. </w:t>
      </w:r>
      <w:r>
        <w:rPr>
          <w:rtl w:val="true"/>
        </w:rPr>
        <w:t>זמן</w:t>
      </w:r>
      <w:r>
        <w:rPr>
          <w:rtl w:val="true"/>
        </w:rPr>
        <w:t>-</w:t>
      </w:r>
      <w:r>
        <w:rPr>
          <w:rtl w:val="true"/>
        </w:rPr>
        <w:t>מה לאחר מכן הרים המשיב בקבוק שתייה מברזל כדי להכות באמצעותו את עב</w:t>
      </w:r>
      <w:r>
        <w:rPr>
          <w:rtl w:val="true"/>
        </w:rPr>
        <w:t xml:space="preserve">'.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עב</w:t>
      </w:r>
      <w:r>
        <w:rPr>
          <w:rtl w:val="true"/>
        </w:rPr>
        <w:t xml:space="preserve">' </w:t>
      </w:r>
      <w:r>
        <w:rPr>
          <w:rtl w:val="true"/>
        </w:rPr>
        <w:t>הרים את ידיו על ראשו כדי להגן על עצמו</w:t>
      </w:r>
      <w:r>
        <w:rPr>
          <w:rtl w:val="true"/>
        </w:rPr>
        <w:t xml:space="preserve">. </w:t>
      </w:r>
      <w:r>
        <w:rPr>
          <w:rtl w:val="true"/>
        </w:rPr>
        <w:t>המשיב כעס</w:t>
      </w:r>
      <w:r>
        <w:rPr>
          <w:rtl w:val="true"/>
        </w:rPr>
        <w:t xml:space="preserve">, </w:t>
      </w:r>
      <w:r>
        <w:rPr>
          <w:rtl w:val="true"/>
        </w:rPr>
        <w:t>הורה לעב</w:t>
      </w:r>
      <w:r>
        <w:rPr>
          <w:rtl w:val="true"/>
        </w:rPr>
        <w:t xml:space="preserve">' </w:t>
      </w:r>
      <w:r>
        <w:rPr>
          <w:rtl w:val="true"/>
        </w:rPr>
        <w:t>להוריד את ידיו והכה את עב</w:t>
      </w:r>
      <w:r>
        <w:rPr>
          <w:rtl w:val="true"/>
        </w:rPr>
        <w:t xml:space="preserve">' </w:t>
      </w:r>
      <w:r>
        <w:rPr>
          <w:rtl w:val="true"/>
        </w:rPr>
        <w:t>על ראשו</w:t>
      </w:r>
      <w:r>
        <w:rPr>
          <w:rtl w:val="true"/>
        </w:rPr>
        <w:t xml:space="preserve">. </w:t>
      </w:r>
      <w:r>
        <w:rPr>
          <w:rtl w:val="true"/>
        </w:rPr>
        <w:t>כתוצאה מכך</w:t>
      </w:r>
      <w:r>
        <w:rPr>
          <w:rtl w:val="true"/>
        </w:rPr>
        <w:t xml:space="preserve">, </w:t>
      </w:r>
      <w:r>
        <w:rPr>
          <w:rtl w:val="true"/>
        </w:rPr>
        <w:t>חש עב</w:t>
      </w:r>
      <w:r>
        <w:rPr>
          <w:rtl w:val="true"/>
        </w:rPr>
        <w:t xml:space="preserve">' </w:t>
      </w:r>
      <w:r>
        <w:rPr>
          <w:rtl w:val="true"/>
        </w:rPr>
        <w:t>כאב בראשו וסחרחורת</w:t>
      </w:r>
      <w:r>
        <w:rPr>
          <w:rtl w:val="true"/>
        </w:rPr>
        <w:t xml:space="preserve">. </w:t>
      </w:r>
      <w:r>
        <w:rPr>
          <w:rtl w:val="true"/>
        </w:rPr>
        <w:t>יצוין כי במסגרת אישום זה יוחסו למשיב גם עבירות אלימות כלפי נ</w:t>
      </w:r>
      <w:r>
        <w:rPr>
          <w:rtl w:val="true"/>
        </w:rPr>
        <w:t xml:space="preserve">', </w:t>
      </w:r>
      <w:r>
        <w:rPr>
          <w:rtl w:val="true"/>
        </w:rPr>
        <w:t>מהן הוא זוכה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קמא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בגזר הדין עמד בית משפט קמא על חומרת העבירות בהן הורשע המשיב וקבע כי פגיעתו של המשיב בערכים המוגנים מודגשת בשל ריבוי המעשים</w:t>
      </w:r>
      <w:r>
        <w:rPr>
          <w:rtl w:val="true"/>
        </w:rPr>
        <w:t xml:space="preserve">, </w:t>
      </w:r>
      <w:r>
        <w:rPr>
          <w:rtl w:val="true"/>
        </w:rPr>
        <w:t>דרגת האלימות ותוצאותיה</w:t>
      </w:r>
      <w:r>
        <w:rPr>
          <w:rtl w:val="true"/>
        </w:rPr>
        <w:t xml:space="preserve">, </w:t>
      </w:r>
      <w:r>
        <w:rPr>
          <w:rtl w:val="true"/>
        </w:rPr>
        <w:t>וכן בשל היותו של המשיב אביהם של הילדים שתפקידו להגן עליהם ולדאוג לשלומם</w:t>
      </w:r>
      <w:r>
        <w:rPr>
          <w:rtl w:val="true"/>
        </w:rPr>
        <w:t xml:space="preserve">. </w:t>
      </w:r>
      <w:r>
        <w:rPr>
          <w:rtl w:val="true"/>
        </w:rPr>
        <w:t>כן ציין בית משפט קמא את נסיבות ביצוע העבירות ובהן פגיעה חוזרת ונשנית בתוככי התא המשפחתי</w:t>
      </w:r>
      <w:r>
        <w:rPr>
          <w:rtl w:val="true"/>
        </w:rPr>
        <w:t xml:space="preserve">, </w:t>
      </w:r>
      <w:r>
        <w:rPr>
          <w:rtl w:val="true"/>
        </w:rPr>
        <w:t>אשר אמור להיות מקום בטוח עבור הקטינים ואשר הפך עבורם למוקד של פחד ואלימות</w:t>
      </w:r>
      <w:r>
        <w:rPr>
          <w:rtl w:val="true"/>
        </w:rPr>
        <w:t xml:space="preserve">. </w:t>
      </w:r>
      <w:r>
        <w:rPr>
          <w:rtl w:val="true"/>
        </w:rPr>
        <w:t>לצד אלה</w:t>
      </w:r>
      <w:r>
        <w:rPr>
          <w:rtl w:val="true"/>
        </w:rPr>
        <w:t xml:space="preserve">, </w:t>
      </w:r>
      <w:r>
        <w:rPr>
          <w:rtl w:val="true"/>
        </w:rPr>
        <w:t>נתן בית המשפט משקל לכך כי מעשי האלימות נבעו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ממצוקתו הכלכלית של המשיב ומהתסכול שנלווה אליה</w:t>
      </w:r>
      <w:r>
        <w:rPr>
          <w:rtl w:val="true"/>
        </w:rPr>
        <w:t xml:space="preserve">. </w:t>
      </w:r>
      <w:r>
        <w:rPr>
          <w:rtl w:val="true"/>
        </w:rPr>
        <w:t>לאחר שסקר את הפסיקה הנוהגת</w:t>
      </w:r>
      <w:r>
        <w:rPr>
          <w:rtl w:val="true"/>
        </w:rPr>
        <w:t xml:space="preserve">, </w:t>
      </w:r>
      <w:r>
        <w:rPr>
          <w:rtl w:val="true"/>
        </w:rPr>
        <w:t xml:space="preserve">קבע בית משפט קמא כי מתחם העונש ההולם בעניינו של המשיב נע בין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באשר לנסיבותיו הפרטניות של המשיב</w:t>
      </w:r>
      <w:r>
        <w:rPr>
          <w:rtl w:val="true"/>
        </w:rPr>
        <w:t xml:space="preserve">, </w:t>
      </w:r>
      <w:r>
        <w:rPr>
          <w:rtl w:val="true"/>
        </w:rPr>
        <w:t>זקף בית משפט קמא לזכותו של המשיב את העובדה כי מחוץ למסגרת המשפחתית ועובר לביצוע העבירות הלה ניהל אורח חיים נורמטיבי</w:t>
      </w:r>
      <w:r>
        <w:rPr>
          <w:rtl w:val="true"/>
        </w:rPr>
        <w:t xml:space="preserve">, </w:t>
      </w:r>
      <w:r>
        <w:rPr>
          <w:rtl w:val="true"/>
        </w:rPr>
        <w:t>לא הורשע בפלילים</w:t>
      </w:r>
      <w:r>
        <w:rPr>
          <w:rtl w:val="true"/>
        </w:rPr>
        <w:t xml:space="preserve">, </w:t>
      </w:r>
      <w:r>
        <w:rPr>
          <w:rtl w:val="true"/>
        </w:rPr>
        <w:t>עבד למחייתו ופרנס את משפחתו</w:t>
      </w:r>
      <w:r>
        <w:rPr>
          <w:rtl w:val="true"/>
        </w:rPr>
        <w:t xml:space="preserve">. </w:t>
      </w:r>
      <w:r>
        <w:rPr>
          <w:rtl w:val="true"/>
        </w:rPr>
        <w:t>כן ציין בית המשפט כי לפי התרשמותו המשיב אוהב את ילדיו ולא הונע משאיפה להרע להם</w:t>
      </w:r>
      <w:r>
        <w:rPr>
          <w:rtl w:val="true"/>
        </w:rPr>
        <w:t xml:space="preserve">. </w:t>
      </w:r>
      <w:r>
        <w:rPr>
          <w:rtl w:val="true"/>
        </w:rPr>
        <w:t>כן ניתן משקל להרחקתו של המשיב מהילדים עקב מעצרו הממושך</w:t>
      </w:r>
      <w:r>
        <w:rPr>
          <w:rtl w:val="true"/>
        </w:rPr>
        <w:t xml:space="preserve">; </w:t>
      </w:r>
      <w:r>
        <w:rPr>
          <w:rtl w:val="true"/>
        </w:rPr>
        <w:t>לגירושיו מאשתו</w:t>
      </w:r>
      <w:r>
        <w:rPr>
          <w:rtl w:val="true"/>
        </w:rPr>
        <w:t xml:space="preserve">; </w:t>
      </w:r>
      <w:r>
        <w:rPr>
          <w:rtl w:val="true"/>
        </w:rPr>
        <w:t>ולזיכויו מהאישום השמיני</w:t>
      </w:r>
      <w:r>
        <w:rPr>
          <w:rtl w:val="true"/>
        </w:rPr>
        <w:t xml:space="preserve">. </w:t>
      </w:r>
      <w:r>
        <w:rPr>
          <w:rtl w:val="true"/>
        </w:rPr>
        <w:t>לחובתו של המשיב נזקפו הימנעותו מלקחת אחריות על מעשיו ואי</w:t>
      </w:r>
      <w:r>
        <w:rPr>
          <w:rtl w:val="true"/>
        </w:rPr>
        <w:t>-</w:t>
      </w:r>
      <w:r>
        <w:rPr>
          <w:rtl w:val="true"/>
        </w:rPr>
        <w:t>הבעת חרטה</w:t>
      </w:r>
      <w:r>
        <w:rPr>
          <w:rtl w:val="true"/>
        </w:rPr>
        <w:t xml:space="preserve">. </w:t>
      </w:r>
      <w:r>
        <w:rPr>
          <w:rtl w:val="true"/>
        </w:rPr>
        <w:t>כן ציין בית משפט קמא את התרשמות שירות המבחן מקיומו של סיכון להישנות מעשים דומים בעתיד</w:t>
      </w:r>
      <w:r>
        <w:rPr>
          <w:rtl w:val="true"/>
        </w:rPr>
        <w:t xml:space="preserve">. </w:t>
      </w:r>
      <w:r>
        <w:rPr>
          <w:rtl w:val="true"/>
        </w:rPr>
        <w:t>במכלול השיקולים האמורים</w:t>
      </w:r>
      <w:r>
        <w:rPr>
          <w:rtl w:val="true"/>
        </w:rPr>
        <w:t xml:space="preserve">, </w:t>
      </w:r>
      <w:r>
        <w:rPr>
          <w:rtl w:val="true"/>
        </w:rPr>
        <w:t xml:space="preserve">גזר בית משפט קמא על המשיב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לריצוי בפועל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</w:t>
      </w:r>
      <w:r>
        <w:rPr>
          <w:rtl w:val="true"/>
        </w:rPr>
        <w:t>-</w:t>
      </w:r>
      <w:r>
        <w:rPr>
          <w:rtl w:val="true"/>
        </w:rPr>
        <w:t>תנאי למשך שלוש שנים לבל יעבור עבירה של התעללות במי מבני משפחתו או עבירה של תקיפה הגורמת חבלה של ממש לבני משפחתו</w:t>
      </w:r>
      <w:r>
        <w:rPr>
          <w:rtl w:val="true"/>
        </w:rPr>
        <w:t xml:space="preserve">;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על</w:t>
      </w:r>
      <w:r>
        <w:rPr>
          <w:rtl w:val="true"/>
        </w:rPr>
        <w:t>-</w:t>
      </w:r>
      <w:r>
        <w:rPr>
          <w:rtl w:val="true"/>
        </w:rPr>
        <w:t>תנאי למשך שלוש שנים לבל יעבור עבירה שביצועה יכלול אלימות פיזית כלפי מי מבני משפחתו</w:t>
      </w:r>
      <w:r>
        <w:rPr>
          <w:rtl w:val="true"/>
        </w:rPr>
        <w:t xml:space="preserve">, </w:t>
      </w:r>
      <w:r>
        <w:rPr>
          <w:rtl w:val="true"/>
        </w:rPr>
        <w:t>למעט עבירה של תקיפה הגורמת חבלה של ממש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לטענת המדינה</w:t>
      </w:r>
      <w:r>
        <w:rPr>
          <w:rtl w:val="true"/>
        </w:rPr>
        <w:t xml:space="preserve">, </w:t>
      </w:r>
      <w:r>
        <w:rPr>
          <w:rtl w:val="true"/>
        </w:rPr>
        <w:t>שגה בית משפט קמא בכך שקבע מתחם ענישה ועונש אשר חורגים באופן משמעותי לקולא ואינם עומדים בהלימה למעשיו החמורים של המשיב</w:t>
      </w:r>
      <w:r>
        <w:rPr>
          <w:rtl w:val="true"/>
        </w:rPr>
        <w:t xml:space="preserve">. </w:t>
      </w:r>
      <w:r>
        <w:rPr>
          <w:rtl w:val="true"/>
        </w:rPr>
        <w:t>נטען כי בהתחשב בהימשכות המעשים על פני חמש שנים כלפי ארבעה מילדי המשיב</w:t>
      </w:r>
      <w:r>
        <w:rPr>
          <w:rtl w:val="true"/>
        </w:rPr>
        <w:t xml:space="preserve">; </w:t>
      </w:r>
      <w:r>
        <w:rPr>
          <w:rtl w:val="true"/>
        </w:rPr>
        <w:t>בריבוי המעשים</w:t>
      </w:r>
      <w:r>
        <w:rPr>
          <w:rtl w:val="true"/>
        </w:rPr>
        <w:t xml:space="preserve">; </w:t>
      </w:r>
      <w:r>
        <w:rPr>
          <w:rtl w:val="true"/>
        </w:rPr>
        <w:t>באופיים האכזרי אשר בא לידי ביטוי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בדריכה על ראשם ועל פניהם של הילדים ובשימוש בחגורה</w:t>
      </w:r>
      <w:r>
        <w:rPr>
          <w:rtl w:val="true"/>
        </w:rPr>
        <w:t xml:space="preserve">; </w:t>
      </w:r>
      <w:r>
        <w:rPr>
          <w:rtl w:val="true"/>
        </w:rPr>
        <w:t>בנזקים הגופניים והנפשיים שנגרמו לילדים</w:t>
      </w:r>
      <w:r>
        <w:rPr>
          <w:rtl w:val="true"/>
        </w:rPr>
        <w:t xml:space="preserve">; </w:t>
      </w:r>
      <w:r>
        <w:rPr>
          <w:rtl w:val="true"/>
        </w:rPr>
        <w:t xml:space="preserve">ובאווירת האלימות והאימה ששררה בבית </w:t>
      </w:r>
      <w:r>
        <w:rPr>
          <w:rtl w:val="true"/>
        </w:rPr>
        <w:t>–</w:t>
      </w:r>
      <w:r>
        <w:rPr>
          <w:rtl w:val="true"/>
        </w:rPr>
        <w:t xml:space="preserve"> שגה בית משפט קמא בקביעת מתחם ענישה אשר חלקו התחתון עומד על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בלבד</w:t>
      </w:r>
      <w:r>
        <w:rPr>
          <w:rtl w:val="true"/>
        </w:rPr>
        <w:t xml:space="preserve">. </w:t>
      </w:r>
      <w:r>
        <w:rPr>
          <w:rtl w:val="true"/>
        </w:rPr>
        <w:t>עוד נטען כי המתחם שקבע בית המשפט רחב יתר על המידה וכי בעניינו של המשיב היה על מתחם העונש להיות גבוה באופן משמעותי</w:t>
      </w:r>
      <w:r>
        <w:rPr>
          <w:rtl w:val="true"/>
        </w:rPr>
        <w:t xml:space="preserve">. </w:t>
      </w:r>
      <w:r>
        <w:rPr>
          <w:rtl w:val="true"/>
        </w:rPr>
        <w:t>כן נטען כי שגה בית המשפט בכך שנתן משקל למצוקה הכלכלית בה היה נתון המשיב</w:t>
      </w:r>
      <w:r>
        <w:rPr>
          <w:rtl w:val="true"/>
        </w:rPr>
        <w:t xml:space="preserve">, </w:t>
      </w:r>
      <w:r>
        <w:rPr>
          <w:rtl w:val="true"/>
        </w:rPr>
        <w:t>שכן לא מדובר בשיקול מקל במקרים של אלימות כלפי ילדים קטינים</w:t>
      </w:r>
      <w:r>
        <w:rPr>
          <w:rtl w:val="true"/>
        </w:rPr>
        <w:t xml:space="preserve">. </w:t>
      </w:r>
      <w:r>
        <w:rPr>
          <w:rtl w:val="true"/>
        </w:rPr>
        <w:t>באשר לקביעת העונש בתוך המתחם</w:t>
      </w:r>
      <w:r>
        <w:rPr>
          <w:rtl w:val="true"/>
        </w:rPr>
        <w:t xml:space="preserve">, </w:t>
      </w:r>
      <w:r>
        <w:rPr>
          <w:rtl w:val="true"/>
        </w:rPr>
        <w:t>נטען כי שגה בית המשפט שלא נתן את דעתו לשיקולי הרתעת</w:t>
      </w:r>
      <w:r>
        <w:rPr>
          <w:rtl w:val="true"/>
        </w:rPr>
        <w:t>-</w:t>
      </w:r>
      <w:r>
        <w:rPr>
          <w:rtl w:val="true"/>
        </w:rPr>
        <w:t>הרבים והרתעת היחיד</w:t>
      </w:r>
      <w:r>
        <w:rPr>
          <w:rtl w:val="true"/>
        </w:rPr>
        <w:t xml:space="preserve">, </w:t>
      </w:r>
      <w:r>
        <w:rPr>
          <w:rtl w:val="true"/>
        </w:rPr>
        <w:t>בשים לב לכך שהמשיב אינו לוקח כל אחריות על מעשיו ואינו מפנים את חומרתם</w:t>
      </w:r>
      <w:r>
        <w:rPr>
          <w:rtl w:val="true"/>
        </w:rPr>
        <w:t xml:space="preserve">. </w:t>
      </w:r>
      <w:r>
        <w:rPr>
          <w:rtl w:val="true"/>
        </w:rPr>
        <w:t xml:space="preserve">בדומה לכך נטען כי שגה בית המשפט בכך שזקף לזכותו של המשיב את הימצאותו בהליכי גירושין מאשתו ואת הרחקתו מילדיו </w:t>
      </w:r>
      <w:r>
        <w:rPr>
          <w:rtl w:val="true"/>
        </w:rPr>
        <w:t>–</w:t>
      </w:r>
      <w:r>
        <w:rPr>
          <w:rtl w:val="true"/>
        </w:rPr>
        <w:t xml:space="preserve"> שכן מדובר בתוצאות ישירות של מעשיו האלימים של המשיב</w:t>
      </w:r>
      <w:r>
        <w:rPr>
          <w:rtl w:val="true"/>
        </w:rPr>
        <w:t xml:space="preserve">. </w:t>
      </w:r>
      <w:r>
        <w:rPr>
          <w:rtl w:val="true"/>
        </w:rPr>
        <w:t>כמו כן נטען כי יש לתת משקל מופחת לעובדה שהמשיב נעדר עבר פלילי וזאת בשל כך שביצע מספר רב של עבירות אלימות על פני תקופה של מספר שנים</w:t>
      </w:r>
      <w:r>
        <w:rPr>
          <w:rtl w:val="true"/>
        </w:rPr>
        <w:t xml:space="preserve">. </w:t>
      </w:r>
      <w:r>
        <w:rPr>
          <w:rtl w:val="true"/>
        </w:rPr>
        <w:t>לאור כל אלה</w:t>
      </w:r>
      <w:r>
        <w:rPr>
          <w:rtl w:val="true"/>
        </w:rPr>
        <w:t xml:space="preserve">, </w:t>
      </w:r>
      <w:r>
        <w:rPr>
          <w:rtl w:val="true"/>
        </w:rPr>
        <w:t>ביקשתנו המדינה לקבל את הערעור ולהחמיר במידה ניכרת את עונשו של המשיב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טוען המשיב כי לא נפלה שום טעות בגזר הדין קמא</w:t>
      </w:r>
      <w:r>
        <w:rPr>
          <w:rtl w:val="true"/>
        </w:rPr>
        <w:t xml:space="preserve">. </w:t>
      </w:r>
      <w:r>
        <w:rPr>
          <w:rtl w:val="true"/>
        </w:rPr>
        <w:t>למצער</w:t>
      </w:r>
      <w:r>
        <w:rPr>
          <w:rtl w:val="true"/>
        </w:rPr>
        <w:t xml:space="preserve">, </w:t>
      </w:r>
      <w:r>
        <w:rPr>
          <w:rtl w:val="true"/>
        </w:rPr>
        <w:t>טוען המשיב כי גזר דין זה נקי ממשגים מהותיים אשר עשויים להצדיק את התערבותנו ואת ההחמרה בעונשו</w:t>
      </w:r>
      <w:r>
        <w:rPr>
          <w:rtl w:val="true"/>
        </w:rPr>
        <w:t xml:space="preserve">. </w:t>
      </w:r>
      <w:r>
        <w:rPr>
          <w:rtl w:val="true"/>
        </w:rPr>
        <w:t>נטען כי מתחם הענישה שנקבע כאמור הינו ראוי ואינו חורג מהמקובל</w:t>
      </w:r>
      <w:r>
        <w:rPr>
          <w:rtl w:val="true"/>
        </w:rPr>
        <w:t xml:space="preserve">, </w:t>
      </w:r>
      <w:r>
        <w:rPr>
          <w:rtl w:val="true"/>
        </w:rPr>
        <w:t>וכי העונש אשר הושת על המשיב משקלל את מכלול הנסיבות המיוחדות של המקרה</w:t>
      </w:r>
      <w:r>
        <w:rPr>
          <w:rtl w:val="true"/>
        </w:rPr>
        <w:t xml:space="preserve">, </w:t>
      </w:r>
      <w:r>
        <w:rPr>
          <w:rtl w:val="true"/>
        </w:rPr>
        <w:t xml:space="preserve">את נסיבותיו האישיות ואת הפסיקה הנוהגת </w:t>
      </w:r>
      <w:r>
        <w:rPr>
          <w:rtl w:val="true"/>
        </w:rPr>
        <w:t>–</w:t>
      </w:r>
      <w:r>
        <w:rPr>
          <w:rtl w:val="true"/>
        </w:rPr>
        <w:t xml:space="preserve"> ומאזן בין כל אלה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ביקש מאיתנו המשיב לדחות את ערעור המדינה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והכרעה</w:t>
      </w:r>
    </w:p>
    <w:p>
      <w:pPr>
        <w:pStyle w:val="Normal"/>
        <w:shd w:fill="FFFFFF" w:val="clear"/>
        <w:overflowPunct w:val="true"/>
        <w:autoSpaceDE w:val="true"/>
        <w:ind w:end="0"/>
        <w:jc w:val="both"/>
        <w:textAlignment w:val="auto"/>
        <w:rPr>
          <w:rFonts w:ascii="FrankRuehl" w:hAnsi="FrankRuehl" w:cs="FrankRuehl"/>
          <w:b/>
          <w:spacing w:val="0"/>
          <w:sz w:val="32"/>
          <w:szCs w:val="24"/>
        </w:rPr>
      </w:pPr>
      <w:r>
        <w:rPr>
          <w:rFonts w:cs="FrankRuehl" w:ascii="FrankRuehl" w:hAnsi="FrankRuehl"/>
          <w:b/>
          <w:spacing w:val="0"/>
          <w:sz w:val="3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לאחר עיון בגזר </w:t>
      </w:r>
      <w:r>
        <w:rPr>
          <w:rtl w:val="true"/>
        </w:rPr>
        <w:t>הדין</w:t>
      </w:r>
      <w:r>
        <w:rPr>
          <w:rtl w:val="true"/>
        </w:rPr>
        <w:t xml:space="preserve"> של בית משפט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 xml:space="preserve">ולאחר </w:t>
      </w:r>
      <w:r>
        <w:rPr>
          <w:rtl w:val="true"/>
        </w:rPr>
        <w:t>בחינת</w:t>
      </w:r>
      <w:r>
        <w:rPr>
          <w:rtl w:val="true"/>
        </w:rPr>
        <w:t xml:space="preserve"> טענות הצדדים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אלו שהועלו בכתובים ואלו שנטענו בעל</w:t>
      </w:r>
      <w:r>
        <w:rPr>
          <w:rtl w:val="true"/>
        </w:rPr>
        <w:t>-</w:t>
      </w:r>
      <w:r>
        <w:rPr>
          <w:rtl w:val="true"/>
        </w:rPr>
        <w:t xml:space="preserve">פה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תי</w:t>
      </w:r>
      <w:r>
        <w:rPr>
          <w:rtl w:val="true"/>
        </w:rPr>
        <w:t xml:space="preserve"> לכלל מסקנה כי דין ערעור</w:t>
      </w:r>
      <w:r>
        <w:rPr>
          <w:rtl w:val="true"/>
        </w:rPr>
        <w:t xml:space="preserve"> המדינה</w:t>
      </w:r>
      <w:r>
        <w:rPr>
          <w:rtl w:val="true"/>
        </w:rPr>
        <w:t xml:space="preserve"> </w:t>
      </w:r>
      <w:r>
        <w:rPr>
          <w:rtl w:val="true"/>
        </w:rPr>
        <w:t>להתקבל וכי עלינו להחמיר בעונשו של המשיב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הלכה היא עמנו כי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ערכאת ערעור אינה נוהגת להתערב בעונש שהוטל על</w:t>
      </w:r>
      <w:r>
        <w:rPr>
          <w:rFonts w:cs="FrankRuehl" w:ascii="FrankRuehl" w:hAnsi="FrankRuehl"/>
          <w:color w:val="000000"/>
          <w:sz w:val="28"/>
          <w:rtl w:val="true"/>
        </w:rPr>
        <w:t>-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ידי הערכאה הדיונית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אלא בנסיבות בהן גזר הדין מגלה סטייה ניכרת ממדיניות הענישה הנוהגת או במקרים חריגים שבהם נפלה טעות מהותית בגזר הדין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7848/22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אנסארי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2.5.2023</w:t>
      </w:r>
      <w:r>
        <w:rPr>
          <w:rtl w:val="true"/>
        </w:rPr>
        <w:t xml:space="preserve">);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2880/23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עיסא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25.4.2023</w:t>
      </w:r>
      <w:r>
        <w:rPr>
          <w:rtl w:val="true"/>
        </w:rPr>
        <w:t xml:space="preserve">);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5836/22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יוגב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4.4.2023</w:t>
      </w:r>
      <w:r>
        <w:rPr>
          <w:rtl w:val="true"/>
        </w:rPr>
        <w:t xml:space="preserve">)). </w:t>
      </w:r>
      <w:r>
        <w:rPr>
          <w:rtl w:val="true"/>
        </w:rPr>
        <w:t xml:space="preserve">סבורני כי המקרה שלפנינו הוא אחד מאותם מקרים חריגים בהם נדרשת התערבותה של ערכאת הערעור </w:t>
      </w:r>
      <w:r>
        <w:rPr>
          <w:rtl w:val="true"/>
        </w:rPr>
        <w:t>–</w:t>
      </w:r>
      <w:r>
        <w:rPr>
          <w:rtl w:val="true"/>
        </w:rPr>
        <w:t xml:space="preserve"> זאת</w:t>
      </w:r>
      <w:r>
        <w:rPr>
          <w:rtl w:val="true"/>
        </w:rPr>
        <w:t xml:space="preserve">, </w:t>
      </w:r>
      <w:r>
        <w:rPr>
          <w:rtl w:val="true"/>
        </w:rPr>
        <w:t>מאחר שהעונש שהוטל על המשיב אינו נותן ביטוי הולם לחומרתם המופלגת של מעשיו</w:t>
      </w:r>
      <w:r>
        <w:rPr>
          <w:rtl w:val="true"/>
        </w:rPr>
        <w:t xml:space="preserve">; </w:t>
      </w:r>
      <w:r>
        <w:rPr>
          <w:rtl w:val="true"/>
        </w:rPr>
        <w:t>לנסיבות ביצועם</w:t>
      </w:r>
      <w:r>
        <w:rPr>
          <w:rtl w:val="true"/>
        </w:rPr>
        <w:t xml:space="preserve">, </w:t>
      </w:r>
      <w:r>
        <w:rPr>
          <w:rtl w:val="true"/>
        </w:rPr>
        <w:t>אשר כוללות פגיעה חמורה בחסרי ישע שהיו נתונים למרותו</w:t>
      </w:r>
      <w:r>
        <w:rPr>
          <w:rtl w:val="true"/>
        </w:rPr>
        <w:t xml:space="preserve">; </w:t>
      </w:r>
      <w:r>
        <w:rPr>
          <w:rtl w:val="true"/>
        </w:rPr>
        <w:t>לעובדה שמדובר בעבירות המבוצעות בחדרי</w:t>
      </w:r>
      <w:r>
        <w:rPr>
          <w:rtl w:val="true"/>
        </w:rPr>
        <w:t>-</w:t>
      </w:r>
      <w:r>
        <w:rPr>
          <w:rtl w:val="true"/>
        </w:rPr>
        <w:t>חדרים שלא קל לגלותן כדי למצות את הדין עם מבצעיהן</w:t>
      </w:r>
      <w:r>
        <w:rPr>
          <w:rtl w:val="true"/>
        </w:rPr>
        <w:t xml:space="preserve">; </w:t>
      </w:r>
      <w:r>
        <w:rPr>
          <w:rtl w:val="true"/>
        </w:rPr>
        <w:t>וכן לרף הענישה הראוי והמקובל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מעל שני עשורים עברו מאז נפסקה ההלכה לפיה </w:t>
      </w:r>
      <w:r>
        <w:rPr>
          <w:rtl w:val="true"/>
        </w:rPr>
        <w:t xml:space="preserve">אלימות פיזית נגד ילדים </w:t>
      </w:r>
      <w:r>
        <w:rPr>
          <w:rtl w:val="true"/>
        </w:rPr>
        <w:t xml:space="preserve">היא דפוס פעולה עברייני שיש לנהל נגדו מלחמת חורמה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4596/98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נד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145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tl w:val="true"/>
        </w:rPr>
        <w:t xml:space="preserve">)). </w:t>
      </w:r>
      <w:r>
        <w:rPr>
          <w:rtl w:val="true"/>
        </w:rPr>
        <w:t>האלימות אותה הפעיל המשיב כלפיי ילדיו הייתה קשה</w:t>
      </w:r>
      <w:r>
        <w:rPr>
          <w:rtl w:val="true"/>
        </w:rPr>
        <w:t xml:space="preserve">, </w:t>
      </w:r>
      <w:r>
        <w:rPr>
          <w:rtl w:val="true"/>
        </w:rPr>
        <w:t>בוטה</w:t>
      </w:r>
      <w:r>
        <w:rPr>
          <w:rtl w:val="true"/>
        </w:rPr>
        <w:t xml:space="preserve">, </w:t>
      </w:r>
      <w:r>
        <w:rPr>
          <w:rtl w:val="true"/>
        </w:rPr>
        <w:t>מתמשכת</w:t>
      </w:r>
      <w:r>
        <w:rPr>
          <w:rtl w:val="true"/>
        </w:rPr>
        <w:t xml:space="preserve">, </w:t>
      </w:r>
      <w:r>
        <w:rPr>
          <w:rtl w:val="true"/>
        </w:rPr>
        <w:t>מסוכנת</w:t>
      </w:r>
      <w:r>
        <w:rPr>
          <w:rtl w:val="true"/>
        </w:rPr>
        <w:t xml:space="preserve">, </w:t>
      </w:r>
      <w:r>
        <w:rPr>
          <w:rtl w:val="true"/>
        </w:rPr>
        <w:t>ומשפילה</w:t>
      </w:r>
      <w:r>
        <w:rPr>
          <w:rtl w:val="true"/>
        </w:rPr>
        <w:t xml:space="preserve">. </w:t>
      </w:r>
      <w:r>
        <w:rPr>
          <w:rtl w:val="true"/>
        </w:rPr>
        <w:t>הנפש מזדעזעת והלב נכמר למקרא מסכת האלימות השיטתית אותה עברו הילדים</w:t>
      </w:r>
      <w:r>
        <w:rPr>
          <w:rtl w:val="true"/>
        </w:rPr>
        <w:t xml:space="preserve">, </w:t>
      </w:r>
      <w:r>
        <w:rPr>
          <w:rtl w:val="true"/>
        </w:rPr>
        <w:t>שכאמור כללה את הכאתם בראשם ובגופם באמצעות חגורה ובקבוק ברזל</w:t>
      </w:r>
      <w:r>
        <w:rPr>
          <w:rtl w:val="true"/>
        </w:rPr>
        <w:t xml:space="preserve">, </w:t>
      </w:r>
      <w:r>
        <w:rPr>
          <w:rtl w:val="true"/>
        </w:rPr>
        <w:t xml:space="preserve">דריכה על ראשם והטחתו בקיר ומשיכה בשיער </w:t>
      </w:r>
      <w:r>
        <w:rPr>
          <w:rtl w:val="true"/>
        </w:rPr>
        <w:t>–</w:t>
      </w:r>
      <w:r>
        <w:rPr>
          <w:rtl w:val="true"/>
        </w:rPr>
        <w:t xml:space="preserve"> מעשים אשר בוצעו על ידי אביהם שהיה אמון על שלומם</w:t>
      </w:r>
      <w:r>
        <w:rPr>
          <w:rtl w:val="true"/>
        </w:rPr>
        <w:t xml:space="preserve">, </w:t>
      </w:r>
      <w:r>
        <w:rPr>
          <w:rtl w:val="true"/>
        </w:rPr>
        <w:t>על ביטחונ</w:t>
      </w:r>
      <w:r>
        <w:rPr>
          <w:rtl w:val="true"/>
        </w:rPr>
        <w:t>ם</w:t>
      </w:r>
      <w:r>
        <w:rPr>
          <w:rtl w:val="true"/>
        </w:rPr>
        <w:t xml:space="preserve"> ועל רווחתם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מעשי אלימות והתעללות כאלה מחייבים תגובה עונשית נחרצת אשר תהלום את חומרת המעשים</w:t>
      </w:r>
      <w:r>
        <w:rPr>
          <w:rtl w:val="true"/>
        </w:rPr>
        <w:t xml:space="preserve">. </w:t>
      </w:r>
      <w:r>
        <w:rPr>
          <w:rtl w:val="true"/>
        </w:rPr>
        <w:t>המשיב לא ריחם על ילדיו הרכים בשנים</w:t>
      </w:r>
      <w:r>
        <w:rPr>
          <w:rtl w:val="true"/>
        </w:rPr>
        <w:t xml:space="preserve">, </w:t>
      </w:r>
      <w:r>
        <w:rPr>
          <w:rtl w:val="true"/>
        </w:rPr>
        <w:t>ואנו לא נרחם עליו</w:t>
      </w:r>
      <w:r>
        <w:rPr>
          <w:rtl w:val="true"/>
        </w:rPr>
        <w:t xml:space="preserve">. </w:t>
      </w:r>
      <w:r>
        <w:rPr>
          <w:rtl w:val="true"/>
        </w:rPr>
        <w:t xml:space="preserve">עונשם של עברייני אלימות במשפחה כדוגמת המשיב צריך גם לשגר מסר ברור לפיו אלימות במשפחה תיענה בעונשי מאסר ממושכים שיהא בהם כדי לקיים את הרתעת היחיד ואת הרתעת הרבים כאחד </w:t>
      </w:r>
      <w:r>
        <w:rPr>
          <w:rtl w:val="true"/>
        </w:rPr>
        <w:t>–</w:t>
      </w:r>
      <w:r>
        <w:rPr>
          <w:rtl w:val="true"/>
        </w:rPr>
        <w:t xml:space="preserve"> בהינתן היעדר אכיפה מספקת ביחס לעבירות אלימות המתבצעות בחיק המשפחה ובחדרי</w:t>
      </w:r>
      <w:r>
        <w:rPr>
          <w:rtl w:val="true"/>
        </w:rPr>
        <w:t>-</w:t>
      </w:r>
      <w:r>
        <w:rPr>
          <w:rtl w:val="true"/>
        </w:rPr>
        <w:t xml:space="preserve">חדרים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813/02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18.3.2002</w:t>
      </w:r>
      <w:r>
        <w:rPr>
          <w:rtl w:val="true"/>
        </w:rPr>
        <w:t xml:space="preserve">);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1275/09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1.9.2009</w:t>
      </w:r>
      <w:r>
        <w:rPr>
          <w:rtl w:val="true"/>
        </w:rPr>
        <w:t xml:space="preserve">)). </w:t>
      </w:r>
      <w:r>
        <w:rPr>
          <w:rtl w:val="true"/>
        </w:rPr>
        <w:t>לענישה מחמירה ובלתי מתפשרת כאמור ישנה חשיבות מיוחדת אשר נובעת מהפער המשמעותי ביחסי הכוחות בין הורים</w:t>
      </w:r>
      <w:r>
        <w:rPr>
          <w:rtl w:val="true"/>
        </w:rPr>
        <w:t xml:space="preserve">, </w:t>
      </w:r>
      <w:r>
        <w:rPr>
          <w:rtl w:val="true"/>
        </w:rPr>
        <w:t>אשר להם הכוח הפיזי והשליטה בחייהם של ילדיהם</w:t>
      </w:r>
      <w:r>
        <w:rPr>
          <w:rtl w:val="true"/>
        </w:rPr>
        <w:t xml:space="preserve">, </w:t>
      </w:r>
      <w:r>
        <w:rPr>
          <w:rtl w:val="true"/>
        </w:rPr>
        <w:t>לבין ילדים קטינים</w:t>
      </w:r>
      <w:r>
        <w:rPr>
          <w:rtl w:val="true"/>
        </w:rPr>
        <w:t xml:space="preserve">, </w:t>
      </w:r>
      <w:r>
        <w:rPr>
          <w:rtl w:val="true"/>
        </w:rPr>
        <w:t xml:space="preserve">חלשים ותלויים בהוריהם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tl w:val="true"/>
        </w:rPr>
        <w:t xml:space="preserve"> בפסקה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לפסק דינה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בייניש</w:t>
      </w:r>
      <w:r>
        <w:rPr>
          <w:rtl w:val="true"/>
        </w:rPr>
        <w:t xml:space="preserve">).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מוצא אני לנכון להדגיש כי גם בענייננ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שלנו</w:t>
      </w:r>
      <w:r>
        <w:rPr>
          <w:rtl w:val="true"/>
        </w:rPr>
        <w:t xml:space="preserve">, </w:t>
      </w:r>
      <w:r>
        <w:rPr>
          <w:rtl w:val="true"/>
        </w:rPr>
        <w:t>על אף המעשים הקשים ואווירת האימה והאלימות בבית</w:t>
      </w:r>
      <w:r>
        <w:rPr>
          <w:rtl w:val="true"/>
        </w:rPr>
        <w:t xml:space="preserve">, </w:t>
      </w:r>
      <w:r>
        <w:rPr>
          <w:rtl w:val="true"/>
        </w:rPr>
        <w:t>הילדים ואמם לא התלוננו נגד המשיב</w:t>
      </w:r>
      <w:r>
        <w:rPr>
          <w:rtl w:val="true"/>
        </w:rPr>
        <w:t xml:space="preserve">: </w:t>
      </w:r>
      <w:r>
        <w:rPr>
          <w:rtl w:val="true"/>
        </w:rPr>
        <w:t xml:space="preserve">מעשיו הפוגעניים התגלו בעקבות דיווח שהתקבל מהצוות החינוכי במוסדות החינוך בהם למדו הילדים </w:t>
      </w:r>
      <w:r>
        <w:rPr>
          <w:rtl w:val="true"/>
        </w:rPr>
        <w:t>(</w:t>
      </w:r>
      <w:r>
        <w:rPr>
          <w:rtl w:val="true"/>
        </w:rPr>
        <w:t xml:space="preserve">ראו פסקה </w:t>
      </w:r>
      <w:r>
        <w:rPr/>
        <w:t>83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תוצאות מעשיו הפוגעניים של המשיב</w:t>
      </w:r>
      <w:r>
        <w:rPr>
          <w:rtl w:val="true"/>
        </w:rPr>
        <w:t xml:space="preserve">, </w:t>
      </w:r>
      <w:r>
        <w:rPr>
          <w:rtl w:val="true"/>
        </w:rPr>
        <w:t>אף הן מלמדות על חומרתם ועל השלכותיהם העגומות על חיי ילדיו</w:t>
      </w:r>
      <w:r>
        <w:rPr>
          <w:rtl w:val="true"/>
        </w:rPr>
        <w:t xml:space="preserve">. </w:t>
      </w:r>
      <w:r>
        <w:rPr>
          <w:rtl w:val="true"/>
        </w:rPr>
        <w:t>מתסקיר שירות המבחן עולה כי המשיב כפה על ילדיו אווירת אלימות קשה ומתמשכת ופחד יומיומי</w:t>
      </w:r>
      <w:r>
        <w:rPr>
          <w:rtl w:val="true"/>
        </w:rPr>
        <w:t xml:space="preserve">. </w:t>
      </w:r>
      <w:r>
        <w:rPr>
          <w:rtl w:val="true"/>
        </w:rPr>
        <w:t>כמו כן עולה מהתסקיר כי המשיב גרם לילדיו המוכים צלקות נפשיות וטראומות פסיכולוגיות ארוכות</w:t>
      </w:r>
      <w:r>
        <w:rPr>
          <w:rtl w:val="true"/>
        </w:rPr>
        <w:t>-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כן דווח על הקלה במצבם הנפשי של הילדים</w:t>
      </w:r>
      <w:r>
        <w:rPr>
          <w:rtl w:val="true"/>
        </w:rPr>
        <w:t xml:space="preserve">, </w:t>
      </w:r>
      <w:r>
        <w:rPr>
          <w:rtl w:val="true"/>
        </w:rPr>
        <w:t>אשר חלה אחרי הרחקתו של המשיב מבית המשפחה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: </w:t>
      </w:r>
      <w:r>
        <w:rPr>
          <w:rtl w:val="true"/>
        </w:rPr>
        <w:t xml:space="preserve">חומרתן של העבירות בהן עסקינן נלמדת מעונשי המקסימום הקבועים בצדן בחוק </w:t>
      </w:r>
      <w:r>
        <w:rPr>
          <w:rtl w:val="true"/>
        </w:rPr>
        <w:t>–</w:t>
      </w:r>
      <w:r>
        <w:rPr>
          <w:rtl w:val="true"/>
        </w:rPr>
        <w:t xml:space="preserve"> שבע שנות מאסר בגין עבירה של תקיפת קטין בידי אחראי הגורמת חבלה של ממש</w:t>
      </w:r>
      <w:r>
        <w:rPr>
          <w:rtl w:val="true"/>
        </w:rPr>
        <w:t xml:space="preserve">, </w:t>
      </w:r>
      <w:r>
        <w:rPr>
          <w:rtl w:val="true"/>
        </w:rPr>
        <w:t>ותשע שנות מאסר בגין עבירת ההתעללות</w:t>
      </w:r>
      <w:r>
        <w:rPr>
          <w:rtl w:val="true"/>
        </w:rPr>
        <w:t xml:space="preserve">. </w:t>
      </w:r>
      <w:r>
        <w:rPr>
          <w:rtl w:val="true"/>
        </w:rPr>
        <w:t>כפי שכבר הזדמן לי להעיר</w:t>
      </w:r>
      <w:r>
        <w:rPr>
          <w:rtl w:val="true"/>
        </w:rPr>
        <w:t xml:space="preserve">, </w:t>
      </w:r>
      <w:r>
        <w:rPr>
          <w:rtl w:val="true"/>
        </w:rPr>
        <w:t>עונשי מקסימום לא נועדו להגדיר אך ורק את גבולה העליון של סמכות הענישה שבידי בית המשפט</w:t>
      </w:r>
      <w:r>
        <w:rPr>
          <w:rtl w:val="true"/>
        </w:rPr>
        <w:t xml:space="preserve">: </w:t>
      </w:r>
      <w:r>
        <w:rPr>
          <w:rtl w:val="true"/>
        </w:rPr>
        <w:t xml:space="preserve">הם מבטאים את עמדתו הערכית של המחוקק ביחס לחומרת העבירות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147/21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ביטון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14.2.2021</w:t>
      </w:r>
      <w:r>
        <w:rPr>
          <w:rtl w:val="true"/>
        </w:rPr>
        <w:t xml:space="preserve">); 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2352/19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דנילוב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15.10.2019</w:t>
      </w:r>
      <w:r>
        <w:rPr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המשיב הורשע במסגרת שבעה אישומים שונים בעשר עבירות של תקיפת קטין בידי אחראי הגורמת חבלה של ממש</w:t>
      </w:r>
      <w:r>
        <w:rPr>
          <w:rtl w:val="true"/>
        </w:rPr>
        <w:t xml:space="preserve">, </w:t>
      </w:r>
      <w:r>
        <w:rPr>
          <w:rtl w:val="true"/>
        </w:rPr>
        <w:t>וכן בתשע עבירות של התעללות בקטין ובעבירת פציעה אחת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סבורני כי העונש שהוטל על המשיב אינו מבטא את מכלול השיקולים שמניתי לעיל</w:t>
      </w:r>
      <w:r>
        <w:rPr>
          <w:rtl w:val="true"/>
        </w:rPr>
        <w:t xml:space="preserve">, </w:t>
      </w:r>
      <w:r>
        <w:rPr>
          <w:rtl w:val="true"/>
        </w:rPr>
        <w:t>וכי אכן יש ממש בטענת המדינה כי בענייננו מתחם הענישה שתחילתו בשנת מאסר אחת בלבד אינו הולם את חומרת העבירות ואת נסיבות ביצוען על ידי המשיב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בית משפט קמא לא התעלם מהנסיבות כאמור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חרף קביעתו כי העבירות בהן הורשע המשיב מחייבות גישה עונשית מחמירה</w:t>
      </w:r>
      <w:r>
        <w:rPr>
          <w:rtl w:val="true"/>
        </w:rPr>
        <w:t xml:space="preserve">, </w:t>
      </w:r>
      <w:r>
        <w:rPr>
          <w:rtl w:val="true"/>
        </w:rPr>
        <w:t>בבואו ליישם את הדברים</w:t>
      </w:r>
      <w:r>
        <w:rPr>
          <w:rtl w:val="true"/>
        </w:rPr>
        <w:t xml:space="preserve">, </w:t>
      </w:r>
      <w:r>
        <w:rPr>
          <w:rtl w:val="true"/>
        </w:rPr>
        <w:t>נראה כי בית המשפט נתן משקל יתר לנסיבותיו האישיות של המשיב</w:t>
      </w:r>
      <w:r>
        <w:rPr>
          <w:rtl w:val="true"/>
        </w:rPr>
        <w:t xml:space="preserve">, </w:t>
      </w:r>
      <w:r>
        <w:rPr>
          <w:rtl w:val="true"/>
        </w:rPr>
        <w:t>כדוגמת גירושיו מאשתו והרחקתו מהבית</w:t>
      </w:r>
      <w:r>
        <w:rPr>
          <w:rtl w:val="true"/>
        </w:rPr>
        <w:t xml:space="preserve">, </w:t>
      </w:r>
      <w:r>
        <w:rPr>
          <w:rtl w:val="true"/>
        </w:rPr>
        <w:t>ולכך שהמשיב לא התכוון להרע לילדיו</w:t>
      </w:r>
      <w:r>
        <w:rPr>
          <w:rtl w:val="true"/>
        </w:rPr>
        <w:t xml:space="preserve">, </w:t>
      </w:r>
      <w:r>
        <w:rPr>
          <w:rtl w:val="true"/>
        </w:rPr>
        <w:t>ניהל חיים נורמטיביים עובר לביצוע העבירות והתקשה לשלוט על מעשיו בהיותו שרוי בתסכול על רקע של מצוקה כלכלית</w:t>
      </w:r>
      <w:r>
        <w:rPr>
          <w:rtl w:val="true"/>
        </w:rPr>
        <w:t xml:space="preserve">. </w:t>
      </w:r>
      <w:r>
        <w:rPr>
          <w:rtl w:val="true"/>
        </w:rPr>
        <w:t xml:space="preserve">נסיבות אלו אינן מפחיתות מחומרת מעשיו של המשיב אשר גרמו לתוצאות הרסניות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8554/09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18.1.2010</w:t>
      </w:r>
      <w:r>
        <w:rPr>
          <w:rtl w:val="true"/>
        </w:rPr>
        <w:t xml:space="preserve">)); </w:t>
      </w:r>
      <w:r>
        <w:rPr>
          <w:rtl w:val="true"/>
        </w:rPr>
        <w:t xml:space="preserve">ואנו יודעים זה מכבר כי מצוקה כלכלית אינה אמורה להיזקף לזכותו של עבריין אלים שבוחר להתעלל בקורבנות חסרי ישע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4303/06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טויטמן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 ח</w:t>
      </w:r>
      <w:r>
        <w:rPr>
          <w:rtl w:val="true"/>
        </w:rPr>
        <w:t xml:space="preserve">'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 </w:t>
      </w:r>
      <w:r>
        <w:rPr/>
        <w:t>16.10.2006</w:t>
      </w:r>
      <w:r>
        <w:rPr>
          <w:rtl w:val="true"/>
        </w:rPr>
        <w:t xml:space="preserve">)). </w:t>
      </w:r>
      <w:r>
        <w:rPr>
          <w:rtl w:val="true"/>
        </w:rPr>
        <w:t>דברים אלו נכונים שבעתיים ביחס למשיב</w:t>
      </w:r>
      <w:r>
        <w:rPr>
          <w:rtl w:val="true"/>
        </w:rPr>
        <w:t xml:space="preserve">, </w:t>
      </w:r>
      <w:r>
        <w:rPr>
          <w:rtl w:val="true"/>
        </w:rPr>
        <w:t>אשר לא הודה במעשיו</w:t>
      </w:r>
      <w:r>
        <w:rPr>
          <w:rtl w:val="true"/>
        </w:rPr>
        <w:t xml:space="preserve">, </w:t>
      </w:r>
      <w:r>
        <w:rPr>
          <w:rtl w:val="true"/>
        </w:rPr>
        <w:t>טרם הפנים את הפסול שבהם ולא הביע עליהם שום חרטה</w:t>
      </w:r>
      <w:r>
        <w:rPr>
          <w:rtl w:val="true"/>
        </w:rPr>
        <w:t xml:space="preserve">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ברי הוא כי העונש שהושת על המשיב חורג במידה ניכרת לקולא מהענישה הראויה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ובשים לב לכלל לפיו ערכאת הערעור אינה ממצה את הדין</w:t>
      </w:r>
      <w:r>
        <w:rPr>
          <w:rtl w:val="true"/>
        </w:rPr>
        <w:t xml:space="preserve">, </w:t>
      </w:r>
      <w:r>
        <w:rPr>
          <w:rtl w:val="true"/>
        </w:rPr>
        <w:t xml:space="preserve">אציע לחברותיי כי נקבל את ערעור המדינה ונעמיד את עונש המאסר שהושת על המשיב לריצוי בפועל על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שאר רכיבי גזר הדין קמא יעמדו בעינם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וילנר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כנפי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שטייניץ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6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9.5.2023</w:t>
      </w:r>
      <w:r>
        <w:rPr>
          <w:rtl w:val="true"/>
        </w:rPr>
        <w:t xml:space="preserve">). </w:t>
      </w:r>
      <w:bookmarkEnd w:id="16"/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23027220</w:t>
      </w:r>
      <w:r>
        <w:rPr>
          <w:sz w:val="16"/>
          <w:rtl w:val="true"/>
        </w:rPr>
        <w:t>_</w:t>
      </w:r>
      <w:r>
        <w:rPr>
          <w:sz w:val="16"/>
        </w:rPr>
        <w:t>F04.docx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2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וילנר </w:t>
      </w:r>
      <w:r>
        <w:rPr>
          <w:rFonts w:cs="David" w:ascii="David" w:hAnsi="David"/>
          <w:color w:val="000000"/>
          <w:szCs w:val="22"/>
        </w:rPr>
        <w:t>54678313-2722/23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4"/>
      <w:footerReference w:type="default" r:id="rId2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2722/23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6861"/>
        </w:tabs>
        <w:ind w:start="5954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</w:pPr>
    <w:rPr>
      <w:rFonts w:ascii="Garamond" w:hAnsi="Garamond" w:cs="Garamond"/>
      <w:sz w:val="24"/>
    </w:rPr>
  </w:style>
  <w:style w:type="paragraph" w:styleId="ruller311">
    <w:name w:val="ruller 31"/>
    <w:basedOn w:val="Normal"/>
    <w:qFormat/>
    <w:pPr>
      <w:overflowPunct w:val="true"/>
      <w:textAlignment w:val="auto"/>
    </w:pPr>
    <w:rPr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34" TargetMode="External"/><Relationship Id="rId4" Type="http://schemas.openxmlformats.org/officeDocument/2006/relationships/hyperlink" Target="http://www.nevo.co.il/law/70301/335.b.2" TargetMode="External"/><Relationship Id="rId5" Type="http://schemas.openxmlformats.org/officeDocument/2006/relationships/hyperlink" Target="http://www.nevo.co.il/law/70301/368b.a" TargetMode="External"/><Relationship Id="rId6" Type="http://schemas.openxmlformats.org/officeDocument/2006/relationships/hyperlink" Target="http://www.nevo.co.il/law/70301/368c" TargetMode="External"/><Relationship Id="rId7" Type="http://schemas.openxmlformats.org/officeDocument/2006/relationships/hyperlink" Target="http://www.nevo.co.il/law/70301/368b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34" TargetMode="External"/><Relationship Id="rId10" Type="http://schemas.openxmlformats.org/officeDocument/2006/relationships/hyperlink" Target="http://www.nevo.co.il/law/70301/335.b.2" TargetMode="External"/><Relationship Id="rId11" Type="http://schemas.openxmlformats.org/officeDocument/2006/relationships/hyperlink" Target="http://www.nevo.co.il/law/70301/368c" TargetMode="External"/><Relationship Id="rId12" Type="http://schemas.openxmlformats.org/officeDocument/2006/relationships/hyperlink" Target="http://www.nevo.co.il/case/29145070" TargetMode="External"/><Relationship Id="rId13" Type="http://schemas.openxmlformats.org/officeDocument/2006/relationships/hyperlink" Target="http://www.nevo.co.il/case/29564821" TargetMode="External"/><Relationship Id="rId14" Type="http://schemas.openxmlformats.org/officeDocument/2006/relationships/hyperlink" Target="http://www.nevo.co.il/case/28916092" TargetMode="External"/><Relationship Id="rId15" Type="http://schemas.openxmlformats.org/officeDocument/2006/relationships/hyperlink" Target="http://www.nevo.co.il/case/6015465" TargetMode="External"/><Relationship Id="rId16" Type="http://schemas.openxmlformats.org/officeDocument/2006/relationships/hyperlink" Target="http://www.nevo.co.il/case/5727409" TargetMode="External"/><Relationship Id="rId17" Type="http://schemas.openxmlformats.org/officeDocument/2006/relationships/hyperlink" Target="http://www.nevo.co.il/case/5896936" TargetMode="External"/><Relationship Id="rId18" Type="http://schemas.openxmlformats.org/officeDocument/2006/relationships/hyperlink" Target="http://www.nevo.co.il/case/27309272" TargetMode="External"/><Relationship Id="rId19" Type="http://schemas.openxmlformats.org/officeDocument/2006/relationships/hyperlink" Target="http://www.nevo.co.il/case/25585562" TargetMode="External"/><Relationship Id="rId20" Type="http://schemas.openxmlformats.org/officeDocument/2006/relationships/hyperlink" Target="http://www.nevo.co.il/case/6248499" TargetMode="External"/><Relationship Id="rId21" Type="http://schemas.openxmlformats.org/officeDocument/2006/relationships/hyperlink" Target="http://www.nevo.co.il/case/5949452" TargetMode="External"/><Relationship Id="rId22" Type="http://schemas.openxmlformats.org/officeDocument/2006/relationships/hyperlink" Target="https://supreme.court.gov.il/" TargetMode="External"/><Relationship Id="rId23" Type="http://schemas.openxmlformats.org/officeDocument/2006/relationships/hyperlink" Target="http://www.nevo.co.il/advertisements/nevo-100.doc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2023-05-13T03:23:00Z</dcterms:created>
  <dc:creator>h4</dc:creator>
  <dc:description/>
  <cp:keywords/>
  <dc:language>en-IL</dc:language>
  <cp:lastModifiedBy>h1</cp:lastModifiedBy>
  <cp:lastPrinted>2023-05-10T13:01:00Z</cp:lastPrinted>
  <dcterms:modified xsi:type="dcterms:W3CDTF">2023-05-13T03:23:00Z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29145070;29564821;28916092;6015465;5727409;5896936;27309272;25585562;6248499;5949452</vt:lpwstr>
  </property>
  <property fmtid="{D5CDD505-2E9C-101B-9397-08002B2CF9AE}" pid="9" name="CITY">
    <vt:lpwstr/>
  </property>
  <property fmtid="{D5CDD505-2E9C-101B-9397-08002B2CF9AE}" pid="10" name="DATE">
    <vt:lpwstr>20230509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וילנר;א' שטיין;ג' כנפי שטייניץ</vt:lpwstr>
  </property>
  <property fmtid="{D5CDD505-2E9C-101B-9397-08002B2CF9AE}" pid="14" name="LAWLISTTMP1">
    <vt:lpwstr>70301/368b.a;334;335.b.2;368c</vt:lpwstr>
  </property>
  <property fmtid="{D5CDD505-2E9C-101B-9397-08002B2CF9AE}" pid="15" name="LAWYER">
    <vt:lpwstr>תאבת מונעם;יעל שרף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בתי-משפט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77;77;77;14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ערעור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1446;1446;1446;333</vt:lpwstr>
  </property>
  <property fmtid="{D5CDD505-2E9C-101B-9397-08002B2CF9AE}" pid="48" name="NOSE31">
    <vt:lpwstr>מדיניות ענישה: עבירות אלימות</vt:lpwstr>
  </property>
  <property fmtid="{D5CDD505-2E9C-101B-9397-08002B2CF9AE}" pid="49" name="NOSE310">
    <vt:lpwstr/>
  </property>
  <property fmtid="{D5CDD505-2E9C-101B-9397-08002B2CF9AE}" pid="50" name="NOSE32">
    <vt:lpwstr>מדיניות ענישה: התערבות ערכאת ערעור</vt:lpwstr>
  </property>
  <property fmtid="{D5CDD505-2E9C-101B-9397-08002B2CF9AE}" pid="51" name="NOSE33">
    <vt:lpwstr>מדיניות ענישה: שיקולים לחומרה</vt:lpwstr>
  </property>
  <property fmtid="{D5CDD505-2E9C-101B-9397-08002B2CF9AE}" pid="52" name="NOSE34">
    <vt:lpwstr>התערבות במידת העונש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8984;8982;8995;2708</vt:lpwstr>
  </property>
  <property fmtid="{D5CDD505-2E9C-101B-9397-08002B2CF9AE}" pid="59" name="PADIDATE">
    <vt:lpwstr>20230511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2722</vt:lpwstr>
  </property>
  <property fmtid="{D5CDD505-2E9C-101B-9397-08002B2CF9AE}" pid="65" name="PROCYEAR">
    <vt:lpwstr>23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410120230509</vt:lpwstr>
  </property>
  <property fmtid="{D5CDD505-2E9C-101B-9397-08002B2CF9AE}" pid="69" name="TYPE_N_DATE">
    <vt:lpwstr>41020230509</vt:lpwstr>
  </property>
  <property fmtid="{D5CDD505-2E9C-101B-9397-08002B2CF9AE}" pid="70" name="VOLUME">
    <vt:lpwstr/>
  </property>
  <property fmtid="{D5CDD505-2E9C-101B-9397-08002B2CF9AE}" pid="71" name="WORDNUMPAGES">
    <vt:lpwstr>10</vt:lpwstr>
  </property>
</Properties>
</file>