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2729/22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2731/22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72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2729/22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שיטרית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2731/22</w:t>
            </w:r>
            <w:r>
              <w:rPr>
                <w:rtl w:val="true"/>
              </w:rPr>
              <w:t>:</w:t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ראובן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מלכה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38647-12-20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8.3.2022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Miriam" w:ascii="Miriam" w:hAnsi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z w:val="24"/>
                <w:sz w:val="24"/>
                <w:szCs w:val="24"/>
                <w:rtl w:val="true"/>
              </w:rPr>
              <w:t>טרסי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באדר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13.3.2023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72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2729/22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שעיה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72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2731/22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ריטיגשטיין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אייזנר</w:t>
            </w:r>
            <w:r>
              <w:rPr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72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פוגודה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72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שירותי המבחן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למבוגרים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287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לא מצא מקום להתערב בעונש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שהושת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2731/22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הרשעתו בביצוע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הנוגעות להקמת מעבדות לגידול סם הקנבוס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הולם את חומרת מעשיו ועולה בקנה אחד עם מלוא השיקולים הצריכים 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ואין כל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הצדקה להקלה בעונש מטעמי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 נפסק כי אין מקום להפחית מעונש המאסר בפועל שהושת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2729/22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מטעמי אחדות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יש להפחית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סמים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במידת העונש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גזר דינו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שבו נגזרו 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מיכאל שטרית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2729/22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ראובן מלכה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2731/22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ונאשמים 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בעבירות שונות הנוגעות להקמת מספר מעבדות לגידול סם הקנבוס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מלכה מלין על 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ובפרט על הקביעה כי הרף התחתון שלו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שטרית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מלין על גזירת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 מבלי להתחשב כראוי בשיקולי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הנשיאה חיות ובהסכמת המשנה לנשיאה פוגלמן והשופט כשר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2731/22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בחלקו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2729/22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מלכה אינו נמנה עם המקרים החריגים המצדיקים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בירות הנוגעות לגידול ולייצור סם הקנבוס מתאפיינות בחומרה 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 לכך יש לנקוט לגביהן מדיניות ענישה מחמירה ומרתיעה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בהתחשב בתמריץ הכלכלי הניכר לביצוע 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יש לתת משקל להיקף הגידול של הסמים וכן להיקף התכנון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הכלים והמשאבים שהושקעו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מלכה הולם את חומרת מעשיו ועולה בקנה אחד עם מלוא השיקולים הצריכים לעניין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מלכה שכר שתי יחידות דיור והפעיל בהן מעבדות לגידול הסם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השקעה משמעותית במונחי זמן וכסף ותוך נטילת חשמל שלא כדין בשווי עשרות אלפי שקלים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במעבדות נתפסו כמעט אלף שתילי סם בשווי כולל של למעלה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13.5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מיליון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 אלו 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צויים ברף החומרה הגבוה של עבירות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 האישיות של מלכה והקשיים שהובילו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נשקלו על ידי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קמא ולא עלה בידי מלכה להוכיח הצדקה להקלה נוספת בעונשו מטעמי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מלכה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הראה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העונש שהוטל עליו חורג באופן ניכר ממדיניות הענישה הנוהגת או הראויה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לשטרית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 אחידות הענישה קובע כי יש להחיל שיקולי ענישה דומים על מי שביצעו עבירות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ובאותן 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עקרון זה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חזות הכול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אחד מתוך מכלול שיקולי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והוא אף אינו כלל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מתמטי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המחייב גזירת עונש שווה לנאשמים שהורשעו במסגרת אותה 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אמנם דמיון מסוים בנסיבות האישיות של שטרית ושל נאשם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הנאשם הנוסף הורשע בסיוע להקמה ולתפעול שתי מעבדות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ששטרית הורשע כמבצע עיקרי בעבירות הנוגעות להקמת מעבדת הסמים בגבעת זאב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הורשע בשתי עבירות נוספות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מתן אמצעים לביצוע פשע והפרת הוראה חוקית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שהיה נתון במעצר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לטענת שטרית בדבר ההתחשבות בשיקומו בעת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התקדמותו המשמעותית של שטרית בתהליך השיקום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תקופה לא מבוטלת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להקל בעונשו ולחרוג לקולה ממתחם הענישה שקבע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שיופחתו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מעונשו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והוא יעמוד על </w:t>
      </w:r>
      <w:r>
        <w:rPr>
          <w:rFonts w:cs="Times New Roman" w:ascii="Times New Roman" w:hAnsi="Times New Roman"/>
          <w:spacing w:val="0"/>
          <w:szCs w:val="26"/>
        </w:rPr>
        <w:t>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תקופה זו </w:t>
      </w:r>
      <w:r>
        <w:rPr>
          <w:rFonts w:ascii="Times New Roman" w:hAnsi="Times New Roman" w:cs="Times New Roman"/>
          <w:spacing w:val="0"/>
          <w:szCs w:val="26"/>
          <w:rtl w:val="true"/>
        </w:rPr>
        <w:t>תשקף את ההתקדמות בהליך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מתן המשקל הראוי למאפייני העבירות שבהן הורשע ולעובדה שביצע את חלקן בעת שהיה נתון במעצר 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העונש יוותרו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לפנינו שני ערעורים על גזר דינו של בית המשפט המחוזי מרכז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טרסי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8.3.2022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38647-12-20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שבו נגזרו על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2729/22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מיכאל שטרית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מאסר על תנאי וקנס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2731/22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ראובן מלכה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מלכה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נגזרו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וכן מאסר על תנאי וקנס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6.4.2021</w:t>
      </w:r>
      <w:r>
        <w:rPr>
          <w:rtl w:val="true"/>
        </w:rPr>
        <w:t xml:space="preserve"> </w:t>
      </w:r>
      <w:r>
        <w:rPr>
          <w:rtl w:val="true"/>
        </w:rPr>
        <w:t>הורשעו המערערים ושישה נאשמים נוספים</w:t>
      </w:r>
      <w:r>
        <w:rPr>
          <w:rtl w:val="true"/>
        </w:rPr>
        <w:t xml:space="preserve">, </w:t>
      </w:r>
      <w:r>
        <w:rPr>
          <w:rtl w:val="true"/>
        </w:rPr>
        <w:t>על יסוד הודאתם ובמסגרת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שונות הנוגעות להקמת מספר מעבדות לגידול סם הקנבוס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הסם</w:t>
      </w:r>
      <w:r>
        <w:rPr>
          <w:rtl w:val="true"/>
        </w:rPr>
        <w:t xml:space="preserve">).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הורשע בשתי עבירות של ייצור</w:t>
      </w:r>
      <w:r>
        <w:rPr>
          <w:rtl w:val="true"/>
        </w:rPr>
        <w:t xml:space="preserve">, </w:t>
      </w:r>
      <w:r>
        <w:rPr>
          <w:rtl w:val="true"/>
        </w:rPr>
        <w:t xml:space="preserve">הכנה והפקת סם מסוכן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בשתי עבירות של החזקת כלים להכנת סם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 לפקודה</w:t>
      </w:r>
      <w:r>
        <w:rPr>
          <w:rtl w:val="true"/>
        </w:rPr>
        <w:t xml:space="preserve">; </w:t>
      </w:r>
      <w:r>
        <w:rPr>
          <w:rtl w:val="true"/>
        </w:rPr>
        <w:t xml:space="preserve">בשתי עבירות של החזקת חצרים להכנת סמים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 xml:space="preserve">ובעבירה של נטילת חשמל שלא כדין בצוותא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 xml:space="preserve">הורשע בעבירה של מתן אמצעים לביצוע פשע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ובעבירה של הפרת הוראה חוקית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18.5.2021</w:t>
      </w:r>
      <w:r>
        <w:rPr>
          <w:rtl w:val="true"/>
        </w:rPr>
        <w:t xml:space="preserve"> </w:t>
      </w:r>
      <w:r>
        <w:rPr>
          <w:rtl w:val="true"/>
        </w:rPr>
        <w:t>צורף להליך</w:t>
      </w:r>
      <w:r>
        <w:rPr>
          <w:rtl w:val="true"/>
        </w:rPr>
        <w:t xml:space="preserve">, </w:t>
      </w:r>
      <w:r>
        <w:rPr>
          <w:rtl w:val="true"/>
        </w:rPr>
        <w:t>לבקשת  שטרית</w:t>
      </w:r>
      <w:r>
        <w:rPr>
          <w:rtl w:val="true"/>
        </w:rPr>
        <w:t xml:space="preserve">, </w:t>
      </w:r>
      <w:r>
        <w:rPr>
          <w:rtl w:val="true"/>
        </w:rPr>
        <w:t xml:space="preserve">כתב אישום נוסף שהוגש נגדו בבית המשפט המחוזי בירושלים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73161-01-20</w:t>
        </w:r>
      </w:hyperlink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בירושלים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ובעקבות</w:t>
      </w:r>
      <w:r>
        <w:rPr>
          <w:rtl w:val="true"/>
        </w:rPr>
        <w:t xml:space="preserve"> זאת הורשע שטרית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גידול סם מסוכן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החזקת כלים להכנת סם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 לפקודה</w:t>
      </w:r>
      <w:r>
        <w:rPr>
          <w:rtl w:val="true"/>
        </w:rPr>
        <w:t xml:space="preserve">, </w:t>
      </w:r>
      <w:r>
        <w:rPr>
          <w:rtl w:val="true"/>
        </w:rPr>
        <w:t xml:space="preserve">החזקת חצרים להכנת סם 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לפקודה ונטילת חשמל שלא כדין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עניינן של העבירות בהן הורשע מלכה בהקמה ובהפעלה של שתי מעבדות לגידול הסם בערים רעננה וחולון</w:t>
      </w:r>
      <w:r>
        <w:rPr>
          <w:rtl w:val="true"/>
        </w:rPr>
        <w:t xml:space="preserve">. </w:t>
      </w:r>
      <w:r>
        <w:rPr>
          <w:rtl w:val="true"/>
        </w:rPr>
        <w:t>לפי כתב האישום המתוקן שבעובדותיו הודה</w:t>
      </w:r>
      <w:r>
        <w:rPr>
          <w:rtl w:val="true"/>
        </w:rPr>
        <w:t xml:space="preserve">, </w:t>
      </w:r>
      <w:r>
        <w:rPr>
          <w:rtl w:val="true"/>
        </w:rPr>
        <w:t xml:space="preserve">מלכה שכר יחידת דיור בבית ברעננה תמורת דמי שכירות חודשיים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והקים בה מעבדה שאותה הפעיל</w:t>
      </w:r>
      <w:r>
        <w:rPr>
          <w:rtl w:val="true"/>
        </w:rPr>
        <w:t xml:space="preserve">, </w:t>
      </w:r>
      <w:r>
        <w:rPr>
          <w:rtl w:val="true"/>
        </w:rPr>
        <w:t>בסיוע שלושה נאשמים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23.3.2020</w:t>
      </w:r>
      <w:r>
        <w:rPr>
          <w:rtl w:val="true"/>
        </w:rPr>
        <w:t xml:space="preserve"> </w:t>
      </w:r>
      <w:r>
        <w:rPr>
          <w:rtl w:val="true"/>
        </w:rPr>
        <w:t xml:space="preserve">ועד למעצרו ביום </w:t>
      </w:r>
      <w:r>
        <w:rPr/>
        <w:t>2.9.2020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דהיינו במשך כחמישה חודשים וחצי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ציוד המעבדה בציוד רב הכולל מזגנים</w:t>
      </w:r>
      <w:r>
        <w:rPr>
          <w:rtl w:val="true"/>
        </w:rPr>
        <w:t xml:space="preserve">, </w:t>
      </w:r>
      <w:r>
        <w:rPr>
          <w:rtl w:val="true"/>
        </w:rPr>
        <w:t>מפוחים</w:t>
      </w:r>
      <w:r>
        <w:rPr>
          <w:rtl w:val="true"/>
        </w:rPr>
        <w:t xml:space="preserve">, </w:t>
      </w:r>
      <w:r>
        <w:rPr>
          <w:rtl w:val="true"/>
        </w:rPr>
        <w:t>אדניות</w:t>
      </w:r>
      <w:r>
        <w:rPr>
          <w:rtl w:val="true"/>
        </w:rPr>
        <w:t xml:space="preserve">, </w:t>
      </w:r>
      <w:r>
        <w:rPr>
          <w:rtl w:val="true"/>
        </w:rPr>
        <w:t>רפלקטורים ומנורות</w:t>
      </w:r>
      <w:r>
        <w:rPr>
          <w:rtl w:val="true"/>
        </w:rPr>
        <w:t xml:space="preserve">. </w:t>
      </w:r>
      <w:r>
        <w:rPr>
          <w:rtl w:val="true"/>
        </w:rPr>
        <w:t>במסגרת הפעלת מעבדה זו</w:t>
      </w:r>
      <w:r>
        <w:rPr>
          <w:rtl w:val="true"/>
        </w:rPr>
        <w:t xml:space="preserve">, </w:t>
      </w:r>
      <w:r>
        <w:rPr>
          <w:rtl w:val="true"/>
        </w:rPr>
        <w:t>מלכה אף נטל שלא כדין חשמל בשווי עשרות אלפי שקלים על מנת להימנע מלעורר חשד עקב תשלומי חשמל גבוהים</w:t>
      </w:r>
      <w:r>
        <w:rPr>
          <w:rtl w:val="true"/>
        </w:rPr>
        <w:t xml:space="preserve">. </w:t>
      </w:r>
      <w:r>
        <w:rPr>
          <w:rtl w:val="true"/>
        </w:rPr>
        <w:t>במעבדה ברעננה נתפסו כ</w:t>
      </w:r>
      <w:r>
        <w:rPr>
          <w:rtl w:val="true"/>
        </w:rPr>
        <w:t>-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 xml:space="preserve">שתילים של הסם במשקל כולל של </w:t>
      </w:r>
      <w:r>
        <w:rPr/>
        <w:t>131.16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ששווים מוערך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13,116,000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ביני לביני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23.7.2020</w:t>
      </w:r>
      <w:r>
        <w:rPr>
          <w:rtl w:val="true"/>
        </w:rPr>
        <w:t xml:space="preserve"> </w:t>
      </w:r>
      <w:r>
        <w:rPr>
          <w:rtl w:val="true"/>
        </w:rPr>
        <w:t xml:space="preserve">שכר מלכה יחידת דיור בבית פרטי בחולון תמורת דמי שכירות חודשיים בסך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והחל ממועד זה ועד למעצרו ביום </w:t>
      </w:r>
      <w:r>
        <w:rPr/>
        <w:t>2.9.2020</w:t>
      </w:r>
      <w:r>
        <w:rPr>
          <w:rtl w:val="true"/>
        </w:rPr>
        <w:t xml:space="preserve"> </w:t>
      </w:r>
      <w:r>
        <w:rPr>
          <w:rtl w:val="true"/>
        </w:rPr>
        <w:t>הפעיל שם מעבדה לגידול הסם</w:t>
      </w:r>
      <w:r>
        <w:rPr>
          <w:rtl w:val="true"/>
        </w:rPr>
        <w:t xml:space="preserve">, </w:t>
      </w:r>
      <w:r>
        <w:rPr>
          <w:rtl w:val="true"/>
        </w:rPr>
        <w:t>תוך ציודה בציוד רב</w:t>
      </w:r>
      <w:r>
        <w:rPr>
          <w:rtl w:val="true"/>
        </w:rPr>
        <w:t xml:space="preserve">. </w:t>
      </w:r>
      <w:r>
        <w:rPr>
          <w:rtl w:val="true"/>
        </w:rPr>
        <w:t>במעבדה בחולון נתפסו כ</w:t>
      </w:r>
      <w:r>
        <w:rPr>
          <w:rtl w:val="true"/>
        </w:rPr>
        <w:t>-</w:t>
      </w:r>
      <w:r>
        <w:rPr/>
        <w:t>347</w:t>
      </w:r>
      <w:r>
        <w:rPr>
          <w:rtl w:val="true"/>
        </w:rPr>
        <w:t xml:space="preserve"> </w:t>
      </w:r>
      <w:r>
        <w:rPr>
          <w:rtl w:val="true"/>
        </w:rPr>
        <w:t xml:space="preserve">שתילים במשקל כולל של </w:t>
      </w:r>
      <w:r>
        <w:rPr/>
        <w:t>5.14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ובשווי מוערך של כ</w:t>
      </w:r>
      <w:r>
        <w:rPr>
          <w:rtl w:val="true"/>
        </w:rPr>
        <w:t>-</w:t>
      </w:r>
      <w:r>
        <w:rPr/>
        <w:t>514,000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לשטרית</w:t>
      </w:r>
      <w:r>
        <w:rPr>
          <w:rtl w:val="true"/>
        </w:rPr>
        <w:t xml:space="preserve">, </w:t>
      </w:r>
      <w:r>
        <w:rPr>
          <w:rtl w:val="true"/>
        </w:rPr>
        <w:t>בכתב האישום המתוקן נושא ההליך דנן צוין כי שטרית ונאשם נוסף נתנו לאחד הנאשמים האחרים אמצעים להקמת מעבדה לגידול הסם בפתח תקווה</w:t>
      </w:r>
      <w:r>
        <w:rPr>
          <w:rtl w:val="true"/>
        </w:rPr>
        <w:t xml:space="preserve">, </w:t>
      </w:r>
      <w:r>
        <w:rPr>
          <w:rtl w:val="true"/>
        </w:rPr>
        <w:t xml:space="preserve">אשר פעלה מיום </w:t>
      </w:r>
      <w:r>
        <w:rPr/>
        <w:t>1.7.2020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2.9.2020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אז נתפסו בה כ</w:t>
      </w:r>
      <w:r>
        <w:rPr>
          <w:rtl w:val="true"/>
        </w:rPr>
        <w:t>-</w:t>
      </w:r>
      <w:r>
        <w:rPr/>
        <w:t>791</w:t>
      </w:r>
      <w:r>
        <w:rPr>
          <w:rtl w:val="true"/>
        </w:rPr>
        <w:t xml:space="preserve"> </w:t>
      </w:r>
      <w:r>
        <w:rPr>
          <w:rtl w:val="true"/>
        </w:rPr>
        <w:t xml:space="preserve">שתילים של הסם במשקל כולל של </w:t>
      </w:r>
      <w:r>
        <w:rPr/>
        <w:t>40.54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ובשווי מוערך של כ</w:t>
      </w:r>
      <w:r>
        <w:rPr>
          <w:rtl w:val="true"/>
        </w:rPr>
        <w:t>-</w:t>
      </w:r>
      <w:r>
        <w:rPr/>
        <w:t>4,054,000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ביום </w:t>
      </w:r>
      <w:r>
        <w:rPr/>
        <w:t>19.8.2020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בעת ששטרית היה נתון במעצר בית חלקי בבית הוריו בבני ברק בעקבות ההליך בירושלים </w:t>
      </w:r>
      <w:r>
        <w:rPr>
          <w:rtl w:val="true"/>
        </w:rPr>
        <w:t>–</w:t>
      </w:r>
      <w:r>
        <w:rPr>
          <w:rtl w:val="true"/>
        </w:rPr>
        <w:t xml:space="preserve"> נסע שטרית מהמעבדה בפתח תקווה לכיוון בני ברק ובכך הפר את התנאים המגבילים שנקבעו 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עובדות כתב האישום נושא ההליך בירושלים</w:t>
      </w:r>
      <w:r>
        <w:rPr>
          <w:rtl w:val="true"/>
        </w:rPr>
        <w:t xml:space="preserve">, </w:t>
      </w:r>
      <w:r>
        <w:rPr>
          <w:rtl w:val="true"/>
        </w:rPr>
        <w:t>שבהן הודה שטרית</w:t>
      </w:r>
      <w:r>
        <w:rPr>
          <w:rtl w:val="true"/>
        </w:rPr>
        <w:t xml:space="preserve">, </w:t>
      </w:r>
      <w:r>
        <w:rPr>
          <w:rtl w:val="true"/>
        </w:rPr>
        <w:t xml:space="preserve">הָחֵל מיום </w:t>
      </w:r>
      <w:r>
        <w:rPr/>
        <w:t>28.12.2018</w:t>
      </w:r>
      <w:r>
        <w:rPr>
          <w:rtl w:val="true"/>
        </w:rPr>
        <w:t xml:space="preserve"> </w:t>
      </w:r>
      <w:r>
        <w:rPr>
          <w:rtl w:val="true"/>
        </w:rPr>
        <w:t xml:space="preserve">ועד למעצרו ביום </w:t>
      </w:r>
      <w:r>
        <w:rPr/>
        <w:t>20.1.2020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במשך כשנה ועוד קודם להקמת המעבדה בפתח</w:t>
      </w:r>
      <w:r>
        <w:rPr>
          <w:rtl w:val="true"/>
        </w:rPr>
        <w:t>-</w:t>
      </w:r>
      <w:r>
        <w:rPr>
          <w:rtl w:val="true"/>
        </w:rPr>
        <w:t xml:space="preserve">תקווה </w:t>
      </w:r>
      <w:r>
        <w:rPr>
          <w:rtl w:val="true"/>
        </w:rPr>
        <w:t>–</w:t>
      </w:r>
      <w:r>
        <w:rPr>
          <w:rtl w:val="true"/>
        </w:rPr>
        <w:t xml:space="preserve"> הקים שטרית והפעיל מעבדה לגידול הסם במחסן הדירה השכורה שבה התגורר יחד עם אשתו ושני ילדיו בגבעת זאב</w:t>
      </w:r>
      <w:r>
        <w:rPr>
          <w:rtl w:val="true"/>
        </w:rPr>
        <w:t xml:space="preserve">. </w:t>
      </w:r>
      <w:r>
        <w:rPr>
          <w:rtl w:val="true"/>
        </w:rPr>
        <w:t>שטרית החזיק והתקין את הציוד הדרוש לגידול הסם</w:t>
      </w:r>
      <w:r>
        <w:rPr>
          <w:rtl w:val="true"/>
        </w:rPr>
        <w:t xml:space="preserve">, </w:t>
      </w:r>
      <w:r>
        <w:rPr>
          <w:rtl w:val="true"/>
        </w:rPr>
        <w:t xml:space="preserve">ושתל במעבדה </w:t>
      </w:r>
      <w:r>
        <w:rPr>
          <w:rtl w:val="true"/>
        </w:rPr>
        <w:t>–</w:t>
      </w:r>
      <w:r>
        <w:rPr>
          <w:rtl w:val="true"/>
        </w:rPr>
        <w:t xml:space="preserve"> בעצמו או באמצעות אחרים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שתילי סם</w:t>
      </w:r>
      <w:r>
        <w:rPr>
          <w:rtl w:val="true"/>
        </w:rPr>
        <w:t xml:space="preserve">. </w:t>
      </w:r>
      <w:r>
        <w:rPr>
          <w:rtl w:val="true"/>
        </w:rPr>
        <w:t>בנוסף אחסן שטרית סם במסדרון שבדירה ובאחד מהחדרים</w:t>
      </w:r>
      <w:r>
        <w:rPr>
          <w:rtl w:val="true"/>
        </w:rPr>
        <w:t xml:space="preserve">, </w:t>
      </w:r>
      <w:r>
        <w:rPr>
          <w:rtl w:val="true"/>
        </w:rPr>
        <w:t>וכן נטל שלא כדין חשמל בשווי של כ</w:t>
      </w:r>
      <w:r>
        <w:rPr>
          <w:rtl w:val="true"/>
        </w:rPr>
        <w:t>-</w:t>
      </w:r>
      <w:r>
        <w:rPr/>
        <w:t>120,960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במטרה לחסוך בהוצאות החשמל עקב תפעול המעבדה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באמצעות יצירת חיבור חשמל בלתי</w:t>
      </w:r>
      <w:r>
        <w:rPr>
          <w:rtl w:val="true"/>
        </w:rPr>
        <w:t>-</w:t>
      </w:r>
      <w:r>
        <w:rPr>
          <w:rtl w:val="true"/>
        </w:rPr>
        <w:t>חוקי ותוך גרימת נזק לפילר ויצירת סכנה</w:t>
      </w:r>
      <w:r>
        <w:rPr>
          <w:rtl w:val="true"/>
        </w:rPr>
        <w:t xml:space="preserve">. </w:t>
      </w:r>
      <w:r>
        <w:rPr>
          <w:rtl w:val="true"/>
        </w:rPr>
        <w:t xml:space="preserve">בדירה נמצאו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של הסם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תסקירי שירות המבחן שהוגשו בעניינם של מלכה ושטרית לבית המשפט המחוזי היו בעיקרם חיוביים</w:t>
      </w:r>
      <w:r>
        <w:rPr>
          <w:rtl w:val="true"/>
        </w:rPr>
        <w:t xml:space="preserve">. </w:t>
      </w:r>
      <w:r>
        <w:rPr>
          <w:rtl w:val="true"/>
        </w:rPr>
        <w:t>באשר למלכה</w:t>
      </w:r>
      <w:r>
        <w:rPr>
          <w:rtl w:val="true"/>
        </w:rPr>
        <w:t xml:space="preserve">, </w:t>
      </w:r>
      <w:r>
        <w:rPr>
          <w:rtl w:val="true"/>
        </w:rPr>
        <w:t>פורט בתסקיר על הרקע המשפחתי המורכב שממנו הוא מגיע</w:t>
      </w:r>
      <w:r>
        <w:rPr>
          <w:rtl w:val="true"/>
        </w:rPr>
        <w:t xml:space="preserve">, </w:t>
      </w:r>
      <w:r>
        <w:rPr>
          <w:rtl w:val="true"/>
        </w:rPr>
        <w:t>וצוין כי לדבריו הוא ביצע את העבירות בעקבות חובות שצבר בשוק האפור</w:t>
      </w:r>
      <w:r>
        <w:rPr>
          <w:rtl w:val="true"/>
        </w:rPr>
        <w:t xml:space="preserve">, </w:t>
      </w:r>
      <w:r>
        <w:rPr>
          <w:rtl w:val="true"/>
        </w:rPr>
        <w:t>לאחר שקרובי משפחתו ספגו איומים</w:t>
      </w:r>
      <w:r>
        <w:rPr>
          <w:rtl w:val="true"/>
        </w:rPr>
        <w:t xml:space="preserve">. </w:t>
      </w:r>
      <w:r>
        <w:rPr>
          <w:rtl w:val="true"/>
        </w:rPr>
        <w:t>עוד צוין בתסקיר כי מלכה לקח אחריות על מעשיו וביטא חרטה</w:t>
      </w:r>
      <w:r>
        <w:rPr>
          <w:rtl w:val="true"/>
        </w:rPr>
        <w:t xml:space="preserve">. </w:t>
      </w:r>
      <w:r>
        <w:rPr>
          <w:rtl w:val="true"/>
        </w:rPr>
        <w:t xml:space="preserve">על אף מספר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שפורטו</w:t>
      </w:r>
      <w:r>
        <w:rPr>
          <w:rtl w:val="true"/>
        </w:rPr>
        <w:t xml:space="preserve">, </w:t>
      </w:r>
      <w:r>
        <w:rPr>
          <w:rtl w:val="true"/>
        </w:rPr>
        <w:t>ובשים לב לכך שמלכה ביטא רצון להשתלב בהליך שיקומי</w:t>
      </w:r>
      <w:r>
        <w:rPr>
          <w:rtl w:val="true"/>
        </w:rPr>
        <w:t xml:space="preserve">, </w:t>
      </w:r>
      <w:r>
        <w:rPr>
          <w:rtl w:val="true"/>
        </w:rPr>
        <w:t xml:space="preserve">המליץ שירות המבחן להימנע מהטלת עונש מאסר מאחורי סורג ובריח וחלף זאת המליץ להטיל על מלכה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 xml:space="preserve">לריצוי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 שנערך בעניינו של שטרית בא שירות המבחן בהמלצה דומה</w:t>
      </w:r>
      <w:r>
        <w:rPr>
          <w:rtl w:val="true"/>
        </w:rPr>
        <w:t xml:space="preserve">. </w:t>
      </w:r>
      <w:r>
        <w:rPr>
          <w:rtl w:val="true"/>
        </w:rPr>
        <w:t>בתסקיר צוין כי לדברי שטרית</w:t>
      </w:r>
      <w:r>
        <w:rPr>
          <w:rtl w:val="true"/>
        </w:rPr>
        <w:t xml:space="preserve">, </w:t>
      </w:r>
      <w:r>
        <w:rPr>
          <w:rtl w:val="true"/>
        </w:rPr>
        <w:t>הרקע לעבירות שבהן הודה הוא התמכרותו להימורים אשר הובילה לצבירת חובות כבדים בשוק האפור</w:t>
      </w:r>
      <w:r>
        <w:rPr>
          <w:rtl w:val="true"/>
        </w:rPr>
        <w:t xml:space="preserve">. </w:t>
      </w:r>
      <w:r>
        <w:rPr>
          <w:rtl w:val="true"/>
        </w:rPr>
        <w:t xml:space="preserve">עוד ציין שטרית כי </w:t>
      </w:r>
      <w:r>
        <w:rPr>
          <w:rtl w:val="true"/>
        </w:rPr>
        <w:t>"</w:t>
      </w:r>
      <w:r>
        <w:rPr>
          <w:rtl w:val="true"/>
        </w:rPr>
        <w:t>גורמים עברייניים</w:t>
      </w:r>
      <w:r>
        <w:rPr>
          <w:rtl w:val="true"/>
        </w:rPr>
        <w:t xml:space="preserve">" </w:t>
      </w:r>
      <w:r>
        <w:rPr>
          <w:rtl w:val="true"/>
        </w:rPr>
        <w:t>איימו עליו והציעו לו עסקה שבמסגרתה ידאג להשקות עציצים של הסם</w:t>
      </w:r>
      <w:r>
        <w:rPr>
          <w:rtl w:val="true"/>
        </w:rPr>
        <w:t xml:space="preserve">, </w:t>
      </w:r>
      <w:r>
        <w:rPr>
          <w:rtl w:val="true"/>
        </w:rPr>
        <w:t>בתמורה למחיקת החוב</w:t>
      </w:r>
      <w:r>
        <w:rPr>
          <w:rtl w:val="true"/>
        </w:rPr>
        <w:t xml:space="preserve">. </w:t>
      </w:r>
      <w:r>
        <w:rPr>
          <w:rtl w:val="true"/>
        </w:rPr>
        <w:t>באשר להפרת התנאים המגבילים</w:t>
      </w:r>
      <w:r>
        <w:rPr>
          <w:rtl w:val="true"/>
        </w:rPr>
        <w:t xml:space="preserve">, </w:t>
      </w:r>
      <w:r>
        <w:rPr>
          <w:rtl w:val="true"/>
        </w:rPr>
        <w:t>פירט שטרית כי אף שהתנאים המגבילים איפשרו לו לעבוד במהלך היום</w:t>
      </w:r>
      <w:r>
        <w:rPr>
          <w:rtl w:val="true"/>
        </w:rPr>
        <w:t xml:space="preserve">, </w:t>
      </w:r>
      <w:r>
        <w:rPr>
          <w:rtl w:val="true"/>
        </w:rPr>
        <w:t>היה זה בראשית התפרצות מגפת הקורונה ומשכך הוא התקשה למצוא עבודה</w:t>
      </w:r>
      <w:r>
        <w:rPr>
          <w:rtl w:val="true"/>
        </w:rPr>
        <w:t xml:space="preserve">. </w:t>
      </w:r>
      <w:r>
        <w:rPr>
          <w:rtl w:val="true"/>
        </w:rPr>
        <w:t>עקב כך נענה שטרית לפניית אחד הנאשמים האחרים והסכים לרכוש עבורו שתיל ממשתלה סמוכה לביתו</w:t>
      </w:r>
      <w:r>
        <w:rPr>
          <w:rtl w:val="true"/>
        </w:rPr>
        <w:t xml:space="preserve">. </w:t>
      </w:r>
      <w:r>
        <w:rPr>
          <w:rtl w:val="true"/>
        </w:rPr>
        <w:t>כשהגיע לדירה בפתח תקווה על מנת למסור את השתיל</w:t>
      </w:r>
      <w:r>
        <w:rPr>
          <w:rtl w:val="true"/>
        </w:rPr>
        <w:t xml:space="preserve">, </w:t>
      </w:r>
      <w:r>
        <w:rPr>
          <w:rtl w:val="true"/>
        </w:rPr>
        <w:t>הוצע לו לפנות פסולת מהמקום תמורת תשלום</w:t>
      </w:r>
      <w:r>
        <w:rPr>
          <w:rtl w:val="true"/>
        </w:rPr>
        <w:t xml:space="preserve">. </w:t>
      </w:r>
      <w:r>
        <w:rPr>
          <w:rtl w:val="true"/>
        </w:rPr>
        <w:t>שטרית טען כי לא ראה סימנים שהדירה עתידה להפוך למעבדת סמים</w:t>
      </w:r>
      <w:r>
        <w:rPr>
          <w:rtl w:val="true"/>
        </w:rPr>
        <w:t xml:space="preserve">, </w:t>
      </w:r>
      <w:r>
        <w:rPr>
          <w:rtl w:val="true"/>
        </w:rPr>
        <w:t xml:space="preserve">אך הודה כי </w:t>
      </w:r>
      <w:r>
        <w:rPr>
          <w:rtl w:val="true"/>
        </w:rPr>
        <w:t>הקל</w:t>
      </w:r>
      <w:r>
        <w:rPr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 </w:t>
      </w:r>
      <w:r>
        <w:rPr>
          <w:rtl w:val="true"/>
        </w:rPr>
        <w:t>בתנאים המגבילים שהוטלו עליו עקב הצורך בהכנסה</w:t>
      </w:r>
      <w:r>
        <w:rPr>
          <w:rtl w:val="true"/>
        </w:rPr>
        <w:t xml:space="preserve">. </w:t>
      </w:r>
      <w:r>
        <w:rPr>
          <w:rtl w:val="true"/>
        </w:rPr>
        <w:t>שירות המבחן הדגיש ששטרית לקח אחריות על ביצוע העבירות והביע חרטה</w:t>
      </w:r>
      <w:r>
        <w:rPr>
          <w:rtl w:val="true"/>
        </w:rPr>
        <w:t xml:space="preserve">, </w:t>
      </w:r>
      <w:r>
        <w:rPr>
          <w:rtl w:val="true"/>
        </w:rPr>
        <w:t>וכי הוא אף פנה לגורמי הרווחה לשם קבלת טיפול בהתמכרותו להימורים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לצד זאת צוין בתסקיר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הגבולות שהוצבו לשטרית בעקבות ההליך בירושלים לא מנעו מעורבות נוספת שלו בפלילים</w:t>
      </w:r>
      <w:r>
        <w:rPr>
          <w:rtl w:val="true"/>
        </w:rPr>
        <w:t xml:space="preserve">. </w:t>
      </w:r>
      <w:r>
        <w:rPr>
          <w:rtl w:val="true"/>
        </w:rPr>
        <w:t>נוכח האמור המליץ שירות המבחן לבחון את ההתאמה של שטרית לריצוי מאסר בעבודות שירות</w:t>
      </w:r>
      <w:r>
        <w:rPr>
          <w:rtl w:val="true"/>
        </w:rPr>
        <w:t xml:space="preserve">; </w:t>
      </w:r>
      <w:r>
        <w:rPr>
          <w:rtl w:val="true"/>
        </w:rPr>
        <w:t>להטיל עליו מאסר מותנה</w:t>
      </w:r>
      <w:r>
        <w:rPr>
          <w:rtl w:val="true"/>
        </w:rPr>
        <w:t xml:space="preserve">, </w:t>
      </w:r>
      <w:r>
        <w:rPr>
          <w:rtl w:val="true"/>
        </w:rPr>
        <w:t>קנס והתחייבות</w:t>
      </w:r>
      <w:r>
        <w:rPr>
          <w:rtl w:val="true"/>
        </w:rPr>
        <w:t xml:space="preserve">; </w:t>
      </w:r>
      <w:r>
        <w:rPr>
          <w:rtl w:val="true"/>
        </w:rPr>
        <w:t>וכן להעמידו בצו מבחן למשך שנה וחצי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8.3.2022</w:t>
      </w:r>
      <w:r>
        <w:rPr>
          <w:rtl w:val="true"/>
        </w:rPr>
        <w:t xml:space="preserve"> </w:t>
      </w:r>
      <w:r>
        <w:rPr>
          <w:rtl w:val="true"/>
        </w:rPr>
        <w:t>ניתן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 xml:space="preserve">במסגרת גזר הדין הדגיש בית המשפט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את הצורך בענישה מחמירה של מקימי מעבדות סמים</w:t>
      </w:r>
      <w:r>
        <w:rPr>
          <w:rtl w:val="true"/>
        </w:rPr>
        <w:t xml:space="preserve">, </w:t>
      </w:r>
      <w:r>
        <w:rPr>
          <w:rtl w:val="true"/>
        </w:rPr>
        <w:t xml:space="preserve">שכן מדובר בתופעה שהפכה </w:t>
      </w:r>
      <w:r>
        <w:rPr>
          <w:rtl w:val="true"/>
        </w:rPr>
        <w:t>"</w:t>
      </w:r>
      <w:r>
        <w:rPr>
          <w:rtl w:val="true"/>
        </w:rPr>
        <w:t>למכת מדינה של ממש</w:t>
      </w:r>
      <w:r>
        <w:rPr>
          <w:rtl w:val="true"/>
        </w:rPr>
        <w:t xml:space="preserve">". </w:t>
      </w:r>
      <w:r>
        <w:rPr>
          <w:rtl w:val="true"/>
        </w:rPr>
        <w:t>באשר למלכה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מעשיו ומידת פגיעתם בערכים חברתיים מוגנים הם </w:t>
      </w:r>
      <w:r>
        <w:rPr>
          <w:rtl w:val="true"/>
        </w:rPr>
        <w:t>"</w:t>
      </w:r>
      <w:r>
        <w:rPr>
          <w:rtl w:val="true"/>
        </w:rPr>
        <w:t>ברף החומרה הגבוה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נוכח העובדה שמלכה הקים שתי מעבדות סמים במקביל </w:t>
      </w:r>
      <w:r>
        <w:rPr>
          <w:rtl w:val="true"/>
        </w:rPr>
        <w:t>"</w:t>
      </w:r>
      <w:r>
        <w:rPr>
          <w:rtl w:val="true"/>
        </w:rPr>
        <w:t>כמבצע ראשי ועיקרי</w:t>
      </w:r>
      <w:r>
        <w:rPr>
          <w:rtl w:val="true"/>
        </w:rPr>
        <w:t xml:space="preserve">" </w:t>
      </w:r>
      <w:r>
        <w:rPr>
          <w:rtl w:val="true"/>
        </w:rPr>
        <w:t>וכן נוכח העובדה שהמעבדה ברעננה דרשה השקעה ניכרת של כסף</w:t>
      </w:r>
      <w:r>
        <w:rPr>
          <w:rtl w:val="true"/>
        </w:rPr>
        <w:t xml:space="preserve">, </w:t>
      </w:r>
      <w:r>
        <w:rPr>
          <w:rtl w:val="true"/>
        </w:rPr>
        <w:t xml:space="preserve">זמן ומשאבים והניבה סם בשווי </w:t>
      </w:r>
      <w:r>
        <w:rPr>
          <w:rtl w:val="true"/>
        </w:rPr>
        <w:t>"</w:t>
      </w:r>
      <w:r>
        <w:rPr>
          <w:rtl w:val="true"/>
        </w:rPr>
        <w:t>עצום</w:t>
      </w:r>
      <w:r>
        <w:rPr>
          <w:rtl w:val="true"/>
        </w:rPr>
        <w:t xml:space="preserve">" </w:t>
      </w:r>
      <w:r>
        <w:rPr>
          <w:rtl w:val="true"/>
        </w:rPr>
        <w:t>של 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עוד צויין כי המעבדה בחולון אמנם פעלה זמן קצר בלבד טרם חשיפתה</w:t>
      </w:r>
      <w:r>
        <w:rPr>
          <w:rtl w:val="true"/>
        </w:rPr>
        <w:t xml:space="preserve">, </w:t>
      </w:r>
      <w:r>
        <w:rPr>
          <w:rtl w:val="true"/>
        </w:rPr>
        <w:t>אך בכל זאת נתפס בה סם בשווי של כחצי מיליון ש</w:t>
      </w:r>
      <w:r>
        <w:rPr>
          <w:rtl w:val="true"/>
        </w:rPr>
        <w:t>"</w:t>
      </w:r>
      <w:r>
        <w:rPr>
          <w:rtl w:val="true"/>
        </w:rPr>
        <w:t>ח ו</w:t>
      </w:r>
      <w:r>
        <w:rPr>
          <w:rtl w:val="true"/>
        </w:rPr>
        <w:t>"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הכרוך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למעשיו של שטרית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הם מצויים </w:t>
      </w:r>
      <w:r>
        <w:rPr>
          <w:rtl w:val="true"/>
        </w:rPr>
        <w:t>"</w:t>
      </w:r>
      <w:r>
        <w:rPr>
          <w:rtl w:val="true"/>
        </w:rPr>
        <w:t>ברף בינוני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tl w:val="true"/>
        </w:rPr>
        <w:t xml:space="preserve">". </w:t>
      </w:r>
      <w:r>
        <w:rPr>
          <w:rtl w:val="true"/>
        </w:rPr>
        <w:t>בית המשפט המחוזי הדגיש כי שטרית הפעיל מעבדה גדולה במשך כשנה</w:t>
      </w:r>
      <w:r>
        <w:rPr>
          <w:rtl w:val="true"/>
        </w:rPr>
        <w:t xml:space="preserve">, </w:t>
      </w:r>
      <w:r>
        <w:rPr>
          <w:rtl w:val="true"/>
        </w:rPr>
        <w:t>תוך השקעה ניכרת ושימוש בציוד ייעודי רב וכן תוך נטילת חשמל באופן שיצר סכנה</w:t>
      </w:r>
      <w:r>
        <w:rPr>
          <w:rtl w:val="true"/>
        </w:rPr>
        <w:t xml:space="preserve">; </w:t>
      </w:r>
      <w:r>
        <w:rPr>
          <w:rtl w:val="true"/>
        </w:rPr>
        <w:t>כי הוא סיפק אמצעים להקמת מעבדה נוספת</w:t>
      </w:r>
      <w:r>
        <w:rPr>
          <w:rtl w:val="true"/>
        </w:rPr>
        <w:t xml:space="preserve">; </w:t>
      </w:r>
      <w:r>
        <w:rPr>
          <w:rtl w:val="true"/>
        </w:rPr>
        <w:t>וכי אף לאחר שהועמד לדין והיה ער להשלכות מעשיו</w:t>
      </w:r>
      <w:r>
        <w:rPr>
          <w:rtl w:val="true"/>
        </w:rPr>
        <w:t xml:space="preserve">, </w:t>
      </w:r>
      <w:r>
        <w:rPr>
          <w:rtl w:val="true"/>
        </w:rPr>
        <w:t>הוא הפר את תנאי שחרורו ושב לפעול בתחום הסמים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רקע כל האמור סקר בית המשפט המחוזי את מדיניות הענישה הנוהגת וקבע מתחם עונש הולם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 עבור מכלול העבירות שבהן הורשע מלכה</w:t>
      </w:r>
      <w:r>
        <w:rPr>
          <w:rtl w:val="true"/>
        </w:rPr>
        <w:t xml:space="preserve">, </w:t>
      </w:r>
      <w:r>
        <w:rPr>
          <w:rtl w:val="true"/>
        </w:rPr>
        <w:t xml:space="preserve">ומתחם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 עבור העבירות שבהן הורשע שטרית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מכן פנה בית המשפט קמא לגזירת העונש הראוי</w:t>
      </w:r>
      <w:r>
        <w:rPr>
          <w:rtl w:val="true"/>
        </w:rPr>
        <w:t xml:space="preserve">. </w:t>
      </w:r>
      <w:r>
        <w:rPr>
          <w:rtl w:val="true"/>
        </w:rPr>
        <w:t>באשר למלכה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המשיבה לא ביקשה לגזור עליו עונש מעל הרף התחתון של המתחם שנקבע </w:t>
      </w:r>
      <w:r>
        <w:rPr>
          <w:rtl w:val="true"/>
        </w:rPr>
        <w:t>–</w:t>
      </w:r>
      <w:r>
        <w:rPr>
          <w:rtl w:val="true"/>
        </w:rPr>
        <w:t xml:space="preserve"> וזאת בשים לב להודאתו ולנטילת האחריות מצדו</w:t>
      </w:r>
      <w:r>
        <w:rPr>
          <w:rtl w:val="true"/>
        </w:rPr>
        <w:t xml:space="preserve">, </w:t>
      </w:r>
      <w:r>
        <w:rPr>
          <w:rtl w:val="true"/>
        </w:rPr>
        <w:t>לגילו הצעיר ולעברו הפלילי ה</w:t>
      </w:r>
      <w:r>
        <w:rPr>
          <w:rtl w:val="true"/>
        </w:rPr>
        <w:t>"</w:t>
      </w:r>
      <w:r>
        <w:rPr>
          <w:rtl w:val="true"/>
        </w:rPr>
        <w:t>מינורי</w:t>
      </w:r>
      <w:r>
        <w:rPr>
          <w:rtl w:val="true"/>
        </w:rPr>
        <w:t xml:space="preserve">". </w:t>
      </w:r>
      <w:r>
        <w:rPr>
          <w:rtl w:val="true"/>
        </w:rPr>
        <w:t>עוד עמד בית המשפט על נסיבותיו האישיות המורכבות של מלכה ועל ה</w:t>
      </w:r>
      <w:r>
        <w:rPr>
          <w:rtl w:val="true"/>
        </w:rPr>
        <w:t>"</w:t>
      </w:r>
      <w:r>
        <w:rPr>
          <w:rtl w:val="true"/>
        </w:rPr>
        <w:t>נכונות הטיפולית</w:t>
      </w:r>
      <w:r>
        <w:rPr>
          <w:rtl w:val="true"/>
        </w:rPr>
        <w:t xml:space="preserve">" </w:t>
      </w:r>
      <w:r>
        <w:rPr>
          <w:rtl w:val="true"/>
        </w:rPr>
        <w:t>שהביע</w:t>
      </w:r>
      <w:r>
        <w:rPr>
          <w:rtl w:val="true"/>
        </w:rPr>
        <w:t xml:space="preserve">. </w:t>
      </w:r>
      <w:r>
        <w:rPr>
          <w:rtl w:val="true"/>
        </w:rPr>
        <w:t>בית המשפט הוסיף</w:t>
      </w:r>
      <w:r>
        <w:rPr>
          <w:rtl w:val="true"/>
        </w:rPr>
        <w:t xml:space="preserve">,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כי בשים לב לחומרת מעשיו של מלכה</w:t>
      </w:r>
      <w:r>
        <w:rPr>
          <w:rtl w:val="true"/>
        </w:rPr>
        <w:t xml:space="preserve">, </w:t>
      </w:r>
      <w:r>
        <w:rPr>
          <w:rtl w:val="true"/>
        </w:rPr>
        <w:t>לצורך בהרתעה מפני ביצוע עבירות מסוג זה ו</w:t>
      </w:r>
      <w:r>
        <w:rPr>
          <w:rtl w:val="true"/>
        </w:rPr>
        <w:t>"</w:t>
      </w:r>
      <w:r>
        <w:rPr>
          <w:rtl w:val="true"/>
        </w:rPr>
        <w:t>לשלב הטיפולי הראשוני</w:t>
      </w:r>
      <w:r>
        <w:rPr>
          <w:rtl w:val="true"/>
        </w:rPr>
        <w:t xml:space="preserve">" </w:t>
      </w:r>
      <w:r>
        <w:rPr>
          <w:rtl w:val="true"/>
        </w:rPr>
        <w:t>שבו הוא מצוי</w:t>
      </w:r>
      <w:r>
        <w:rPr>
          <w:rtl w:val="true"/>
        </w:rPr>
        <w:t xml:space="preserve">, </w:t>
      </w:r>
      <w:r>
        <w:rPr>
          <w:rtl w:val="true"/>
        </w:rPr>
        <w:t>אין מקום לסטות באופן ניכר לקולה מהמתחם ולא ניתן לאמץ את המלצות שירות המבחן בהקשר 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באיזון שבין מכלול השיקולים הללו ראה בית המשפט קמא לסטות לקולה ממתחם הענישה ו</w:t>
      </w:r>
      <w:r>
        <w:rPr>
          <w:rtl w:val="true"/>
        </w:rPr>
        <w:t>"</w:t>
      </w:r>
      <w:r>
        <w:rPr>
          <w:rtl w:val="true"/>
        </w:rPr>
        <w:t>להקל מעט</w:t>
      </w:r>
      <w:r>
        <w:rPr>
          <w:rtl w:val="true"/>
        </w:rPr>
        <w:t xml:space="preserve">" </w:t>
      </w:r>
      <w:r>
        <w:rPr>
          <w:rtl w:val="true"/>
        </w:rPr>
        <w:t>עם מלכה</w:t>
      </w:r>
      <w:r>
        <w:rPr>
          <w:rtl w:val="true"/>
        </w:rPr>
        <w:t xml:space="preserve">, </w:t>
      </w:r>
      <w:r>
        <w:rPr>
          <w:rtl w:val="true"/>
        </w:rPr>
        <w:t xml:space="preserve">וזאת נוכח המוטיבציה שלו לקבלת טיפול ולאור </w:t>
      </w:r>
      <w:r>
        <w:rPr>
          <w:rtl w:val="true"/>
        </w:rPr>
        <w:t>"</w:t>
      </w:r>
      <w:r>
        <w:rPr>
          <w:rtl w:val="true"/>
        </w:rPr>
        <w:t>פוטנציאל שיקום מסוים</w:t>
      </w:r>
      <w:r>
        <w:rPr>
          <w:rtl w:val="true"/>
        </w:rPr>
        <w:t xml:space="preserve">" </w:t>
      </w:r>
      <w:r>
        <w:rPr>
          <w:rtl w:val="true"/>
        </w:rPr>
        <w:t>העולה מהתסקיר</w:t>
      </w:r>
      <w:r>
        <w:rPr>
          <w:rtl w:val="true"/>
        </w:rPr>
        <w:t xml:space="preserve">. </w:t>
      </w:r>
      <w:r>
        <w:rPr>
          <w:rtl w:val="true"/>
        </w:rPr>
        <w:t xml:space="preserve">לפיכך גזר על מלכה עונש של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 xml:space="preserve">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 xml:space="preserve">לבל יבצע </w:t>
      </w:r>
      <w:r>
        <w:rPr>
          <w:rtl w:val="true"/>
        </w:rPr>
        <w:t>עבירת</w:t>
      </w:r>
      <w:r>
        <w:rPr>
          <w:rtl w:val="true"/>
        </w:rPr>
        <w:t xml:space="preserve"> סמים מסוג פשע</w:t>
      </w:r>
      <w:r>
        <w:rPr>
          <w:rtl w:val="true"/>
        </w:rPr>
        <w:t xml:space="preserve">; </w:t>
      </w:r>
      <w:r>
        <w:rPr>
          <w:rtl w:val="true"/>
        </w:rPr>
        <w:t xml:space="preserve">ומאסר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 xml:space="preserve">לבל יבצע עבירת סמים מסוג עוון או עבירה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כמו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 xml:space="preserve"> עליו קנס בסך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הוא הוכרז כסוחר סמים ובית המשפט הורה על חילוט פריטים שונים שנתפסו בידיו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לשטרית</w:t>
      </w:r>
      <w:r>
        <w:rPr>
          <w:rtl w:val="true"/>
        </w:rPr>
        <w:t xml:space="preserve">, </w:t>
      </w:r>
      <w:r>
        <w:rPr>
          <w:rtl w:val="true"/>
        </w:rPr>
        <w:t>תחילה עמד בית המשפט על נתוניו האישיים והדגיש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שטרית הודה</w:t>
      </w:r>
      <w:r>
        <w:rPr>
          <w:rtl w:val="true"/>
        </w:rPr>
        <w:t xml:space="preserve">, </w:t>
      </w:r>
      <w:r>
        <w:rPr>
          <w:rtl w:val="true"/>
        </w:rPr>
        <w:t>לקח אחריות על מעשיו והביע רצון לנהל אורח חיים נורמטיבי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באשר לטענת שטרית כי ביצע את העבירות על רקע חובות הימורים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לטענה זו </w:t>
      </w:r>
      <w:r>
        <w:rPr>
          <w:rtl w:val="true"/>
        </w:rPr>
        <w:t>"</w:t>
      </w:r>
      <w:r>
        <w:rPr>
          <w:rtl w:val="true"/>
        </w:rPr>
        <w:t>השלכה מוגבלת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שכן שטרית בחר לשוב לאותו תחום עברייני גם לאחר שנתפס</w:t>
      </w:r>
      <w:r>
        <w:rPr>
          <w:rtl w:val="true"/>
        </w:rPr>
        <w:t xml:space="preserve">, </w:t>
      </w:r>
      <w:r>
        <w:rPr>
          <w:rtl w:val="true"/>
        </w:rPr>
        <w:t>תוך הפרת התנאים המגבילים שנקבעו 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דחה בית המשפט קמא את בקשת שטרית לדחות את מועד מתן גזר הדין עד שיסתיים הטיפול בהתמכרויות אותו החל</w:t>
      </w:r>
      <w:r>
        <w:rPr>
          <w:rtl w:val="true"/>
        </w:rPr>
        <w:t xml:space="preserve">. </w:t>
      </w:r>
      <w:r>
        <w:rPr>
          <w:rtl w:val="true"/>
        </w:rPr>
        <w:t>בתוך כך דחה בית המשפט את טענת שטרית כי הוסכם על דחייה כאמור בעת כריתת הסדר הטיעון בהליך בירושלים</w:t>
      </w:r>
      <w:r>
        <w:rPr>
          <w:rtl w:val="true"/>
        </w:rPr>
        <w:t xml:space="preserve">, </w:t>
      </w:r>
      <w:r>
        <w:rPr>
          <w:rtl w:val="true"/>
        </w:rPr>
        <w:t>בציינו כי כל שנקבע בהסדר הוא ש</w:t>
      </w:r>
      <w:r>
        <w:rPr>
          <w:rtl w:val="true"/>
        </w:rPr>
        <w:t>"[</w:t>
      </w:r>
      <w:r>
        <w:rPr>
          <w:rtl w:val="true"/>
        </w:rPr>
        <w:t>שטרית</w:t>
      </w:r>
      <w:r>
        <w:rPr>
          <w:rtl w:val="true"/>
        </w:rPr>
        <w:t xml:space="preserve">]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מכור</w:t>
      </w:r>
      <w:r>
        <w:rPr>
          <w:rtl w:val="true"/>
        </w:rPr>
        <w:t xml:space="preserve"> </w:t>
      </w:r>
      <w:r>
        <w:rPr>
          <w:rtl w:val="true"/>
        </w:rPr>
        <w:t>להימורים</w:t>
      </w:r>
      <w:r>
        <w:rPr>
          <w:rtl w:val="true"/>
        </w:rPr>
        <w:t xml:space="preserve"> </w:t>
      </w:r>
      <w:r>
        <w:rPr>
          <w:rtl w:val="true"/>
        </w:rPr>
        <w:t>והדבר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תביא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לסתור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לגופו של עניין קבע בית המשפט קמא כי אין מקום לסטות לקולה ממתחם העונש ההולם שנקבע לשטרית מטעמי שיקום</w:t>
      </w:r>
      <w:r>
        <w:rPr>
          <w:rtl w:val="true"/>
        </w:rPr>
        <w:t xml:space="preserve">. </w:t>
      </w:r>
      <w:r>
        <w:rPr>
          <w:rtl w:val="true"/>
        </w:rPr>
        <w:t>בית המשפט הפנה לפסיקה שלפיה ככל שמדובר בעבירות חמורות יותר</w:t>
      </w:r>
      <w:r>
        <w:rPr>
          <w:rtl w:val="true"/>
        </w:rPr>
        <w:t xml:space="preserve">, </w:t>
      </w:r>
      <w:r>
        <w:rPr>
          <w:rtl w:val="true"/>
        </w:rPr>
        <w:t xml:space="preserve">כך גובר הנטל על הנאשם להוכיח הצדקה להקל עמו מטעמי שיקום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27.1.2020</w:t>
      </w:r>
      <w:r>
        <w:rPr>
          <w:rtl w:val="true"/>
        </w:rPr>
        <w:t xml:space="preserve">)), </w:t>
      </w:r>
      <w:r>
        <w:rPr>
          <w:rtl w:val="true"/>
        </w:rPr>
        <w:t xml:space="preserve">וציין כי מעשיו של שטרית חמורים וכי סיכוייו לשיקום </w:t>
      </w:r>
      <w:r>
        <w:rPr>
          <w:rtl w:val="true"/>
        </w:rPr>
        <w:t>"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קבע בית המשפט המחוזי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ממוטיבציה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שטרית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לדפוסיו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בערפל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נקבע כי ההקלה עם שטרית תתמצה בכך שהעונש ייקבע על הרף התחתון של המתחם</w:t>
      </w:r>
      <w:r>
        <w:rPr>
          <w:rtl w:val="true"/>
        </w:rPr>
        <w:t>, "</w:t>
      </w:r>
      <w:r>
        <w:rPr>
          <w:rtl w:val="true"/>
        </w:rPr>
        <w:t>מתוך תקווה כי ישכיל בכל זאת לשנות את דרכיו</w:t>
      </w:r>
      <w:r>
        <w:rPr>
          <w:rtl w:val="true"/>
        </w:rPr>
        <w:t xml:space="preserve">", </w:t>
      </w:r>
      <w:r>
        <w:rPr>
          <w:rtl w:val="true"/>
        </w:rPr>
        <w:t>וזאת על אף ששיקולי הרתעה מצדיקים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עונש חמור יותר</w:t>
      </w:r>
      <w:r>
        <w:rPr>
          <w:rtl w:val="true"/>
        </w:rPr>
        <w:t xml:space="preserve">. </w:t>
      </w:r>
      <w:r>
        <w:rPr>
          <w:rtl w:val="true"/>
        </w:rPr>
        <w:t xml:space="preserve">לפיכך הוטל על שטרית עונש מאסר בפועל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 xml:space="preserve">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יבצע עבירת סמים מסוג פשע</w:t>
      </w:r>
      <w:r>
        <w:rPr>
          <w:rtl w:val="true"/>
        </w:rPr>
        <w:t xml:space="preserve">; </w:t>
      </w:r>
      <w:r>
        <w:rPr>
          <w:rtl w:val="true"/>
        </w:rPr>
        <w:t xml:space="preserve">ומאסר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יבצע עבירת סמים מסוג עוון</w:t>
      </w:r>
      <w:r>
        <w:rPr>
          <w:rtl w:val="true"/>
        </w:rPr>
        <w:t xml:space="preserve">, </w:t>
      </w:r>
      <w:r>
        <w:rPr>
          <w:rtl w:val="true"/>
        </w:rPr>
        <w:t xml:space="preserve">עבירה של מתן אמצעים לביצוע פשע או עבירה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כמו כן הוטל על שטרית קנס בסך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הוא הוכרז כסוחר סמים ובית המשפט הורה על חילוט פריטים שנתפסו ברשותו</w:t>
      </w:r>
      <w:r>
        <w:rPr>
          <w:rtl w:val="true"/>
        </w:rPr>
        <w:t xml:space="preserve">, </w:t>
      </w:r>
      <w:r>
        <w:rPr>
          <w:rtl w:val="true"/>
        </w:rPr>
        <w:t xml:space="preserve">למעט רכב שנקבע כי יוחזר לשטרית כנגד חילוט סכום של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להשלמת התמונה יצוין כי ביום </w:t>
      </w:r>
      <w:r>
        <w:rPr/>
        <w:t>14.11.2022</w:t>
      </w:r>
      <w:r>
        <w:rPr>
          <w:rtl w:val="true"/>
        </w:rPr>
        <w:t xml:space="preserve">, </w:t>
      </w:r>
      <w:r>
        <w:rPr>
          <w:rtl w:val="true"/>
        </w:rPr>
        <w:t>לאחר הגשת הערעורים דנן</w:t>
      </w:r>
      <w:r>
        <w:rPr>
          <w:rtl w:val="true"/>
        </w:rPr>
        <w:t xml:space="preserve">, </w:t>
      </w:r>
      <w:r>
        <w:rPr>
          <w:rtl w:val="true"/>
        </w:rPr>
        <w:t>ניתן גזר דין נוסף בעניינם של שני מעורבים אחרים בפרשה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ובהם נאשם אשר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בשתי עבירות של סיוע לייצור</w:t>
      </w:r>
      <w:r>
        <w:rPr>
          <w:rtl w:val="true"/>
        </w:rPr>
        <w:t xml:space="preserve">, </w:t>
      </w:r>
      <w:r>
        <w:rPr>
          <w:rtl w:val="true"/>
        </w:rPr>
        <w:t xml:space="preserve">הכנה והפקת סם מסוכן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הנוסף</w:t>
      </w:r>
      <w:r>
        <w:rPr>
          <w:rtl w:val="true"/>
        </w:rPr>
        <w:t xml:space="preserve">) </w:t>
      </w:r>
      <w:r>
        <w:rPr>
          <w:rtl w:val="true"/>
        </w:rPr>
        <w:t>ואשר אל גזר דינו התייחסו באי</w:t>
      </w:r>
      <w:r>
        <w:rPr>
          <w:rtl w:val="true"/>
        </w:rPr>
        <w:t>-</w:t>
      </w:r>
      <w:r>
        <w:rPr>
          <w:rtl w:val="true"/>
        </w:rPr>
        <w:t>כוח המערערים בטיעוניהם</w:t>
      </w:r>
      <w:r>
        <w:rPr>
          <w:rtl w:val="true"/>
        </w:rPr>
        <w:t xml:space="preserve">. </w:t>
      </w:r>
      <w:r>
        <w:rPr>
          <w:rtl w:val="true"/>
        </w:rPr>
        <w:t>הנאשם הנוסף הורשע בסיוע להקמה ולתפעול של שתיים מהמעבדות המוזכרות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אשר פעלו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כחמישה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מתוכם כחודשיים שבהם פעלו שתי המעבדות במקביל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המחוזי העמיד את מתחם הענישה ההולם בעניינו של הנאשם הנוסף על מתחם שבין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אך מצא לסטות מהמתחם לקולה מטעמי שיקום</w:t>
      </w:r>
      <w:r>
        <w:rPr>
          <w:rtl w:val="true"/>
        </w:rPr>
        <w:t xml:space="preserve">. </w:t>
      </w:r>
      <w:r>
        <w:rPr>
          <w:rtl w:val="true"/>
        </w:rPr>
        <w:t>בתוך כך הדגיש בית המשפט המחוזי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בשונה מעניינם של נאשמים אחרים בפרשה </w:t>
      </w:r>
      <w:r>
        <w:rPr>
          <w:rtl w:val="true"/>
        </w:rPr>
        <w:t>–</w:t>
      </w:r>
      <w:r>
        <w:rPr>
          <w:rtl w:val="true"/>
        </w:rPr>
        <w:t xml:space="preserve"> ובהם המערערים </w:t>
      </w:r>
      <w:r>
        <w:rPr>
          <w:rtl w:val="true"/>
        </w:rPr>
        <w:t>–</w:t>
      </w:r>
      <w:r>
        <w:rPr>
          <w:rtl w:val="true"/>
        </w:rPr>
        <w:t xml:space="preserve"> הנאשם הנוסף החל בהליך שיקומי עוד לפני מתן גזר הדין וחל שינוי של ממש בחייו</w:t>
      </w:r>
      <w:r>
        <w:rPr>
          <w:rtl w:val="true"/>
        </w:rPr>
        <w:t xml:space="preserve">; </w:t>
      </w:r>
      <w:r>
        <w:rPr>
          <w:rtl w:val="true"/>
        </w:rPr>
        <w:t>כי הוא ניתק את קשריו השוליים ושילם את מלוא חובותיו</w:t>
      </w:r>
      <w:r>
        <w:rPr>
          <w:rtl w:val="true"/>
        </w:rPr>
        <w:t xml:space="preserve">; </w:t>
      </w:r>
      <w:r>
        <w:rPr>
          <w:rtl w:val="true"/>
        </w:rPr>
        <w:t>וכן כי מעשיו חמורים פחות ממעשיהם של אותם נאשמים אחרים</w:t>
      </w:r>
      <w:r>
        <w:rPr>
          <w:rtl w:val="true"/>
        </w:rPr>
        <w:t xml:space="preserve">. </w:t>
      </w:r>
      <w:r>
        <w:rPr>
          <w:rtl w:val="true"/>
        </w:rPr>
        <w:t xml:space="preserve">נוכח האמור הוטל על הנאשם הנוסף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לצד קנס כספי</w:t>
      </w:r>
      <w:r>
        <w:rPr>
          <w:rtl w:val="true"/>
        </w:rPr>
        <w:t xml:space="preserve">, </w:t>
      </w:r>
      <w:r>
        <w:rPr>
          <w:rtl w:val="true"/>
        </w:rPr>
        <w:t>עונשי מאסר על תנאי וצו מבחן למשך שנה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הערעורים שלפנינו </w:t>
      </w:r>
      <w:r>
        <w:rPr>
          <w:sz w:val="28"/>
          <w:sz w:val="28"/>
          <w:rtl w:val="true"/>
        </w:rPr>
        <w:t>ממוקדים ברכיב המאסר בפועל שהושת על המערערים</w:t>
      </w:r>
      <w:r>
        <w:rPr>
          <w:sz w:val="28"/>
          <w:rtl w:val="true"/>
        </w:rPr>
        <w:t xml:space="preserve">. </w:t>
      </w:r>
      <w:r>
        <w:rPr>
          <w:rtl w:val="true"/>
        </w:rPr>
        <w:t>מלכה מלין על מתחם העונש ההולם שנקבע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ובפרט על הקביעה כי הרף התחתון שלו יעמוד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במקרים דומים קבעה הפסיקה רף תחתון נמוך יותר</w:t>
      </w:r>
      <w:r>
        <w:rPr>
          <w:rtl w:val="true"/>
        </w:rPr>
        <w:t xml:space="preserve">, </w:t>
      </w:r>
      <w:r>
        <w:rPr>
          <w:rtl w:val="true"/>
        </w:rPr>
        <w:t>וכך מוצדק לעשות בעניינו</w:t>
      </w:r>
      <w:r>
        <w:rPr>
          <w:rtl w:val="true"/>
        </w:rPr>
        <w:t xml:space="preserve">. </w:t>
      </w:r>
      <w:r>
        <w:rPr>
          <w:rtl w:val="true"/>
        </w:rPr>
        <w:t>עוד טוען מלכה כי בית המשפט קמא לא נתן משקל מספק ל</w:t>
      </w:r>
      <w:r>
        <w:rPr>
          <w:rtl w:val="true"/>
        </w:rPr>
        <w:t>"</w:t>
      </w:r>
      <w:r>
        <w:rPr>
          <w:rtl w:val="true"/>
        </w:rPr>
        <w:t>פוטנציאל השיקום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ערעורו של שטרית ממוקד בטענה שבית המשפט קמא גזר את דינו מבלי להתחשב כראוי בשיקולי השיקום בעניינו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ובפרט בקיומו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סיכוי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ממש</w:t>
      </w:r>
      <w:r>
        <w:rPr>
          <w:sz w:val="28"/>
          <w:sz w:val="28"/>
          <w:rtl w:val="true"/>
        </w:rPr>
        <w:t xml:space="preserve"> שישתקם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 xml:space="preserve">כלשון </w:t>
      </w:r>
      <w:hyperlink r:id="rId3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ד</w:t>
        </w:r>
      </w:hyperlink>
      <w:r>
        <w:rPr>
          <w:sz w:val="28"/>
          <w:sz w:val="28"/>
          <w:rtl w:val="true"/>
        </w:rPr>
        <w:t xml:space="preserve"> לחוק העוסק בסטייה לקולה ממתחם העונש ההולם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בהקשר זה מדגיש שטרית כי פנה </w:t>
      </w:r>
      <w:r>
        <w:rPr>
          <w:sz w:val="28"/>
          <w:sz w:val="28"/>
          <w:rtl w:val="true"/>
        </w:rPr>
        <w:t>מיוזמתו</w:t>
      </w:r>
      <w:r>
        <w:rPr>
          <w:sz w:val="28"/>
          <w:sz w:val="28"/>
          <w:rtl w:val="true"/>
        </w:rPr>
        <w:t xml:space="preserve"> לטיפול בהתמכרותו להימורים 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נרתם לטיפול באופן מלא</w:t>
      </w:r>
      <w:r>
        <w:rPr>
          <w:sz w:val="28"/>
          <w:rtl w:val="true"/>
        </w:rPr>
        <w:t xml:space="preserve">"; </w:t>
      </w:r>
      <w:r>
        <w:rPr>
          <w:sz w:val="28"/>
          <w:sz w:val="28"/>
          <w:rtl w:val="true"/>
        </w:rPr>
        <w:t>כי מאז מתן גזר הדין הוא ממשיך בטיפול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 xml:space="preserve">וכי שירות המבחן ומדריך שלו לשעבר בישיבה שבה למד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אשר העיד כעד אופי מטעמו בבית המשפט המחוזי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המליצו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הימנעות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מהטלת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מאחורי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סורג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ובריח</w:t>
      </w:r>
      <w:r>
        <w:rPr>
          <w:sz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בנוסף מלין שטרית על החלטת בית המשפט קמא שלא לדחות את מתן גזר הדין עד להשלמת התהליך השיקומי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נוכח הסכמת הצדדים במסגרת הסדר הטיעון בהליך בירושלים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לפיה הוא יוכל להציג ראיות לכך שבעיית ההתמכרות שלו הובילה לביצוע העבירות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 xml:space="preserve">וכן מן הטעם שהתסקיר שהוגש בעניינו לבית המשפט המחוזי היה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תסקיר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מניח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התמונה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שטרית</w:t>
      </w:r>
      <w:r>
        <w:rPr>
          <w:sz w:val="28"/>
          <w:rtl w:val="true"/>
        </w:rPr>
        <w:t xml:space="preserve">] </w:t>
      </w:r>
      <w:r>
        <w:rPr>
          <w:sz w:val="28"/>
          <w:sz w:val="28"/>
          <w:rtl w:val="true"/>
        </w:rPr>
        <w:t>במלואה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עוד טוען שטרית כי הוא הסתמך על כך שכלל ההליכים הטיפוליים שעבר יוצגו בפני בית המשפט בטרם ייגזר דינו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להשלמת התמונה יצוין כי בד בבד עם הגשת הערעור</w:t>
      </w:r>
      <w:r>
        <w:rPr>
          <w:rtl w:val="true"/>
        </w:rPr>
        <w:t xml:space="preserve">, </w:t>
      </w:r>
      <w:r>
        <w:rPr>
          <w:rtl w:val="true"/>
        </w:rPr>
        <w:t>הגיש שטרית בקשה לעיכוב ביצוע עונש המאסר בפועל שהוטל עליו עד להכרעה בערעור</w:t>
      </w:r>
      <w:r>
        <w:rPr>
          <w:rtl w:val="true"/>
        </w:rPr>
        <w:t xml:space="preserve">, </w:t>
      </w:r>
      <w:r>
        <w:rPr>
          <w:rtl w:val="true"/>
        </w:rPr>
        <w:t xml:space="preserve">ובקשתו התקבלה ביום </w:t>
      </w:r>
      <w:r>
        <w:rPr/>
        <w:t>9.5.2022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 xml:space="preserve">לקראת הדיון בערעורים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אשר נקבע במקור ליום </w:t>
      </w:r>
      <w:r>
        <w:rPr>
          <w:sz w:val="28"/>
        </w:rPr>
        <w:t>28.12.2022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ונדחה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התקבלו שני תסקירי מבחן עדכניים בנוגע לכל אחד מן המערערים</w:t>
      </w:r>
      <w:r>
        <w:rPr>
          <w:sz w:val="28"/>
          <w:rtl w:val="true"/>
        </w:rPr>
        <w:t xml:space="preserve">. </w:t>
      </w:r>
      <w:r>
        <w:rPr>
          <w:rtl w:val="true"/>
        </w:rPr>
        <w:t>בתסקירים בעניינו של מלכה נאמר כי הוא החל לרצות את עונש המאסר שלו</w:t>
      </w:r>
      <w:r>
        <w:rPr>
          <w:rtl w:val="true"/>
        </w:rPr>
        <w:t xml:space="preserve">, </w:t>
      </w:r>
      <w:r>
        <w:rPr>
          <w:rtl w:val="true"/>
        </w:rPr>
        <w:t>אך בשלב מסוים לפני כן הוא נחבל בראשו באורח חמור ומאז הוא מתמודד עם פגיעה בזיכרון</w:t>
      </w:r>
      <w:r>
        <w:rPr>
          <w:rtl w:val="true"/>
        </w:rPr>
        <w:t xml:space="preserve">, </w:t>
      </w:r>
      <w:r>
        <w:rPr>
          <w:rtl w:val="true"/>
        </w:rPr>
        <w:t>ואינו זוכר את הנסיבות שבבסיס מאסרו</w:t>
      </w:r>
      <w:r>
        <w:rPr>
          <w:rtl w:val="true"/>
        </w:rPr>
        <w:t xml:space="preserve">. </w:t>
      </w:r>
      <w:r>
        <w:rPr>
          <w:rtl w:val="true"/>
        </w:rPr>
        <w:t xml:space="preserve">בתסקירים הוסבר כי בשל כך לא ניתן היה לבחון את התייחסותו העדכנית של מלכה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 xml:space="preserve">בתסקירים בעניינו של שטרית צוין כי הוא החל </w:t>
      </w:r>
      <w:r>
        <w:rPr>
          <w:sz w:val="28"/>
          <w:sz w:val="28"/>
          <w:rtl w:val="true"/>
        </w:rPr>
        <w:t>בטיפול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פרטני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סדיר</w:t>
      </w:r>
      <w:r>
        <w:rPr>
          <w:sz w:val="28"/>
          <w:sz w:val="28"/>
          <w:rtl w:val="true"/>
        </w:rPr>
        <w:t xml:space="preserve"> במחלקה לשירותים חברתיים בעירו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ולבקשתו הצטרף לטיפול נוסף בעמותה העוסקת בטיפול בהתמכרויות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הגורמים המטפלים בשני הגופים העידו על תהליך שינוי משמעותי מצד שטרית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ובכלל זה שינוי בדפוסי המחשבה שאפיינו אותו </w:t>
      </w:r>
      <w:r>
        <w:rPr>
          <w:sz w:val="28"/>
          <w:sz w:val="28"/>
          <w:rtl w:val="true"/>
        </w:rPr>
        <w:t>בעבר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ובנסיבות 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לרבות השלמת לימודי </w:t>
      </w:r>
      <w:r>
        <w:rPr>
          <w:sz w:val="28"/>
          <w:sz w:val="28"/>
          <w:rtl w:val="true"/>
        </w:rPr>
        <w:t>תעודה</w:t>
      </w:r>
      <w:r>
        <w:rPr>
          <w:sz w:val="28"/>
          <w:sz w:val="28"/>
          <w:rtl w:val="true"/>
        </w:rPr>
        <w:t xml:space="preserve"> והשתלבות בעבודה מסודרת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לפי האמור בתסקירים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שטרית הציג מסמכים </w:t>
      </w:r>
      <w:r>
        <w:rPr>
          <w:sz w:val="28"/>
          <w:sz w:val="28"/>
          <w:rtl w:val="true"/>
        </w:rPr>
        <w:t>שמהם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מילדיו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מתמודד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רפואית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שבעקבותיה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יידרש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לעבור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ניתוח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בקרוב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הדיון שהתקיים בפנינו ביום </w:t>
      </w:r>
      <w:r>
        <w:rPr/>
        <w:t>13.3.2023</w:t>
      </w:r>
      <w:r>
        <w:rPr>
          <w:rtl w:val="true"/>
        </w:rPr>
        <w:t xml:space="preserve">, </w:t>
      </w:r>
      <w:r>
        <w:rPr>
          <w:rtl w:val="true"/>
        </w:rPr>
        <w:t>חזרה באת כוחו של מלכה על הטענות שהועלו בערעורו</w:t>
      </w:r>
      <w:r>
        <w:rPr>
          <w:rtl w:val="true"/>
        </w:rPr>
        <w:t xml:space="preserve">, </w:t>
      </w:r>
      <w:r>
        <w:rPr>
          <w:rtl w:val="true"/>
        </w:rPr>
        <w:t>והדגישה את גילו הצעיר ואת מצבו הרפואי המורכב</w:t>
      </w:r>
      <w:r>
        <w:rPr>
          <w:rtl w:val="true"/>
        </w:rPr>
        <w:t xml:space="preserve">. </w:t>
      </w:r>
      <w:r>
        <w:rPr>
          <w:rtl w:val="true"/>
        </w:rPr>
        <w:t>כמו כן ביקשה באת</w:t>
      </w:r>
      <w:r>
        <w:rPr>
          <w:rtl w:val="true"/>
        </w:rPr>
        <w:t>-</w:t>
      </w:r>
      <w:r>
        <w:rPr>
          <w:rtl w:val="true"/>
        </w:rPr>
        <w:t>כוחו של מלכה לייחס משקל לעובדה שבתסקירים שהוגשו בערעור ציין שירות המבחן כי בחשיבה מחודשת</w:t>
      </w:r>
      <w:r>
        <w:rPr>
          <w:rtl w:val="true"/>
        </w:rPr>
        <w:t xml:space="preserve">, </w:t>
      </w:r>
      <w:r>
        <w:rPr>
          <w:rtl w:val="true"/>
        </w:rPr>
        <w:t>היה מקום להמליץ על תקופת ניסיון טיפולי בעניינו של מלכה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 כוחו של שטרית טען בדיון כי נוכח העונש שהוטל על הנאשם הנוסף</w:t>
      </w:r>
      <w:r>
        <w:rPr>
          <w:rtl w:val="true"/>
        </w:rPr>
        <w:t xml:space="preserve">, </w:t>
      </w:r>
      <w:r>
        <w:rPr>
          <w:rtl w:val="true"/>
        </w:rPr>
        <w:t>ובשים לב לעיקרון אחידות הענישה</w:t>
      </w:r>
      <w:r>
        <w:rPr>
          <w:rtl w:val="true"/>
        </w:rPr>
        <w:t xml:space="preserve">, </w:t>
      </w:r>
      <w:r>
        <w:rPr>
          <w:rtl w:val="true"/>
        </w:rPr>
        <w:t>קמה הצדקה נוספת להקל בעונשו של שטרית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העבירות שבביצוען הורשע הנאשם הנוסף </w:t>
      </w:r>
      <w:r>
        <w:rPr>
          <w:rtl w:val="true"/>
        </w:rPr>
        <w:t>–</w:t>
      </w:r>
      <w:r>
        <w:rPr>
          <w:rtl w:val="true"/>
        </w:rPr>
        <w:t xml:space="preserve"> סיוע להקמת שתי מעבדות סמים </w:t>
      </w:r>
      <w:r>
        <w:rPr>
          <w:rtl w:val="true"/>
        </w:rPr>
        <w:t>–</w:t>
      </w:r>
      <w:r>
        <w:rPr>
          <w:rtl w:val="true"/>
        </w:rPr>
        <w:t xml:space="preserve"> חמורות מאלו שבהן הורשע שטרית</w:t>
      </w:r>
      <w:r>
        <w:rPr>
          <w:rtl w:val="true"/>
        </w:rPr>
        <w:t xml:space="preserve">, </w:t>
      </w:r>
      <w:r>
        <w:rPr>
          <w:rtl w:val="true"/>
        </w:rPr>
        <w:t>שעניינן כאמור בהקמת מעבדת סמים אחת ובמתן אמצעים לביצוע פשע ביחס למעבדה אחרת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בפרט בהתחשב בכך שכמות הסם שנתפסה במעבדות שהנאשם הנוסף סייע למפעיליהן הייתה גדולה בהרבה מזו </w:t>
      </w:r>
      <w:r>
        <w:rPr>
          <w:rtl w:val="true"/>
        </w:rPr>
        <w:t>שנתפסה</w:t>
      </w:r>
      <w:r>
        <w:rPr>
          <w:rtl w:val="true"/>
        </w:rPr>
        <w:t xml:space="preserve"> </w:t>
      </w:r>
      <w:r>
        <w:rPr>
          <w:rtl w:val="true"/>
        </w:rPr>
        <w:t>במעבדה</w:t>
      </w:r>
      <w:r>
        <w:rPr>
          <w:rtl w:val="true"/>
        </w:rPr>
        <w:t xml:space="preserve"> </w:t>
      </w:r>
      <w:r>
        <w:rPr>
          <w:rtl w:val="true"/>
        </w:rPr>
        <w:t>שאותה</w:t>
      </w:r>
      <w:r>
        <w:rPr>
          <w:rtl w:val="true"/>
        </w:rPr>
        <w:t xml:space="preserve"> </w:t>
      </w:r>
      <w:r>
        <w:rPr>
          <w:rtl w:val="true"/>
        </w:rPr>
        <w:t>הפעיל</w:t>
      </w:r>
      <w:r>
        <w:rPr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הדגיש בא כוחו של שטרית את תהליך השיקום האינטנסיבי שעובר מרשו</w:t>
      </w:r>
      <w:r>
        <w:rPr>
          <w:rtl w:val="true"/>
        </w:rPr>
        <w:t xml:space="preserve">, </w:t>
      </w:r>
      <w:r>
        <w:rPr>
          <w:rtl w:val="true"/>
        </w:rPr>
        <w:t>וציין כי קשה היה להבין אם התהליך השיקומי שעבר הנאשם הנוסף אכן הצליח</w:t>
      </w:r>
      <w:r>
        <w:rPr>
          <w:rtl w:val="true"/>
        </w:rPr>
        <w:t xml:space="preserve">. </w:t>
      </w:r>
      <w:r>
        <w:rPr>
          <w:rtl w:val="true"/>
        </w:rPr>
        <w:t>לדיון התייצב גם מנהל העמותה שבה מטופל שטרית</w:t>
      </w:r>
      <w:r>
        <w:rPr>
          <w:rtl w:val="true"/>
        </w:rPr>
        <w:t xml:space="preserve">, </w:t>
      </w:r>
      <w:r>
        <w:rPr>
          <w:rtl w:val="true"/>
        </w:rPr>
        <w:t>וברשות בית המשפט התייחס לסיכויי שיקומו</w:t>
      </w:r>
      <w:r>
        <w:rPr>
          <w:rtl w:val="true"/>
        </w:rPr>
        <w:t xml:space="preserve">, </w:t>
      </w:r>
      <w:r>
        <w:rPr>
          <w:rtl w:val="true"/>
        </w:rPr>
        <w:t>וציין כי שטרית מחויב לטיפול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סבורה שיש לדחות את הערעורים</w:t>
      </w:r>
      <w:r>
        <w:rPr>
          <w:rtl w:val="true"/>
        </w:rPr>
        <w:t xml:space="preserve">. </w:t>
      </w:r>
      <w:r>
        <w:rPr>
          <w:rtl w:val="true"/>
        </w:rPr>
        <w:t>בדיון בפנינו הדגישה באת כוחה את חומרת מעשיהם של המערערים</w:t>
      </w:r>
      <w:r>
        <w:rPr>
          <w:rtl w:val="true"/>
        </w:rPr>
        <w:t xml:space="preserve">, </w:t>
      </w:r>
      <w:r>
        <w:rPr>
          <w:rtl w:val="true"/>
        </w:rPr>
        <w:t>וטענה בפרט באשר לשטרית כי אין מקום לחרוג לקולה ממתחם העונש ההולם שנקבע לו</w:t>
      </w:r>
      <w:r>
        <w:rPr>
          <w:rtl w:val="true"/>
        </w:rPr>
        <w:t xml:space="preserve">, </w:t>
      </w:r>
      <w:r>
        <w:rPr>
          <w:rtl w:val="true"/>
        </w:rPr>
        <w:t>וביתר שאת אין מקום לאפשר לו לרצות את מאסרו בעבודות שירות</w:t>
      </w:r>
      <w:r>
        <w:rPr>
          <w:rtl w:val="true"/>
        </w:rPr>
        <w:t xml:space="preserve">. </w:t>
      </w:r>
      <w:r>
        <w:rPr>
          <w:rtl w:val="true"/>
        </w:rPr>
        <w:t>עוד לדברי באת כוח המשיבה</w:t>
      </w:r>
      <w:r>
        <w:rPr>
          <w:rtl w:val="true"/>
        </w:rPr>
        <w:t xml:space="preserve">, </w:t>
      </w:r>
      <w:r>
        <w:rPr>
          <w:rtl w:val="true"/>
        </w:rPr>
        <w:t xml:space="preserve">אף שלשטרית חלק </w:t>
      </w:r>
      <w:r>
        <w:rPr>
          <w:rtl w:val="true"/>
        </w:rPr>
        <w:t>"</w:t>
      </w:r>
      <w:r>
        <w:rPr>
          <w:rtl w:val="true"/>
        </w:rPr>
        <w:t>שולי</w:t>
      </w:r>
      <w:r>
        <w:rPr>
          <w:rtl w:val="true"/>
        </w:rPr>
        <w:t xml:space="preserve">" </w:t>
      </w:r>
      <w:r>
        <w:rPr>
          <w:rtl w:val="true"/>
        </w:rPr>
        <w:t xml:space="preserve">בכתב האישום המתוקן בהליך הנוכחי </w:t>
      </w:r>
      <w:r>
        <w:rPr>
          <w:rtl w:val="true"/>
        </w:rPr>
        <w:t>–</w:t>
      </w:r>
      <w:r>
        <w:rPr>
          <w:rtl w:val="true"/>
        </w:rPr>
        <w:t xml:space="preserve"> שם 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במתן אמצעים לביצוע פשע ובהפרת הוראה חוקית </w:t>
      </w:r>
      <w:r>
        <w:rPr>
          <w:rtl w:val="true"/>
        </w:rPr>
        <w:t>–</w:t>
      </w:r>
      <w:r>
        <w:rPr>
          <w:rtl w:val="true"/>
        </w:rPr>
        <w:t xml:space="preserve"> ככל שהדבר נוגע למעשים נושא ההליך בירושלים היה חלקו </w:t>
      </w:r>
      <w:r>
        <w:rPr>
          <w:rtl w:val="true"/>
        </w:rPr>
        <w:t>"</w:t>
      </w:r>
      <w:r>
        <w:rPr>
          <w:rtl w:val="true"/>
        </w:rPr>
        <w:t>בלעדי</w:t>
      </w:r>
      <w:r>
        <w:rPr>
          <w:rtl w:val="true"/>
        </w:rPr>
        <w:t xml:space="preserve">". </w:t>
      </w:r>
      <w:r>
        <w:rPr>
          <w:rtl w:val="true"/>
        </w:rPr>
        <w:t xml:space="preserve">באת כוח המשיבה הוסיפה כי הטיפול שבו מצוי שטרית אינו </w:t>
      </w:r>
      <w:r>
        <w:rPr>
          <w:rtl w:val="true"/>
        </w:rPr>
        <w:t>"</w:t>
      </w:r>
      <w:r>
        <w:rPr>
          <w:rtl w:val="true"/>
        </w:rPr>
        <w:t>טיפול כוללני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חלופה מוסדית</w:t>
      </w:r>
      <w:r>
        <w:rPr>
          <w:rtl w:val="true"/>
        </w:rPr>
        <w:t xml:space="preserve">", </w:t>
      </w:r>
      <w:r>
        <w:rPr>
          <w:rtl w:val="true"/>
        </w:rPr>
        <w:t>ומכל מקום לגישתה אין לקבל את הטענה כי כניסה לכלא תקטע תהליך זה</w:t>
      </w:r>
      <w:r>
        <w:rPr>
          <w:rtl w:val="true"/>
        </w:rPr>
        <w:t xml:space="preserve">. </w:t>
      </w:r>
      <w:r>
        <w:rPr>
          <w:rtl w:val="true"/>
        </w:rPr>
        <w:t>באשר לטענות בדבר 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עמדה באת כוח המשיבה על ההבדלים בין המעשים שבהם הורשעו הנאשם הנוסף ושטרית</w:t>
      </w:r>
      <w:r>
        <w:rPr>
          <w:rtl w:val="true"/>
        </w:rPr>
        <w:t xml:space="preserve">, </w:t>
      </w:r>
      <w:r>
        <w:rPr>
          <w:rtl w:val="true"/>
        </w:rPr>
        <w:t xml:space="preserve">בהדגישה כי במעבדה נושא ההליך בירושלים היה שטרית </w:t>
      </w:r>
      <w:r>
        <w:rPr>
          <w:rtl w:val="true"/>
        </w:rPr>
        <w:t>"</w:t>
      </w:r>
      <w:r>
        <w:rPr>
          <w:rtl w:val="true"/>
        </w:rPr>
        <w:t>בעל בית</w:t>
      </w:r>
      <w:r>
        <w:rPr>
          <w:rtl w:val="true"/>
        </w:rPr>
        <w:t xml:space="preserve">" </w:t>
      </w:r>
      <w:r>
        <w:rPr>
          <w:rtl w:val="true"/>
        </w:rPr>
        <w:t>ולא מסייע בלבד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בזיכרון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בפנינו ציינה נציגת שירות המבחן כי שטרית משתף פעולה במסגרת הליך השיקום</w:t>
      </w:r>
      <w:r>
        <w:rPr>
          <w:rtl w:val="true"/>
        </w:rPr>
        <w:t xml:space="preserve">, </w:t>
      </w:r>
      <w:r>
        <w:rPr>
          <w:rtl w:val="true"/>
        </w:rPr>
        <w:t>מכיר בצורך שלו בטיפול ולוקח אחריות</w:t>
      </w:r>
      <w:r>
        <w:rPr>
          <w:rtl w:val="true"/>
        </w:rPr>
        <w:t xml:space="preserve">. </w:t>
      </w:r>
      <w:r>
        <w:rPr>
          <w:rtl w:val="true"/>
        </w:rPr>
        <w:t>באשר למלכה צוין כי אין לשירות המבחן עדכונים נוספים מעבר לאמור בתסקירים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 ובתסקירים העדכניים שהוגשו לעיוננו</w:t>
      </w:r>
      <w:r>
        <w:rPr>
          <w:rtl w:val="true"/>
        </w:rPr>
        <w:t xml:space="preserve">, </w:t>
      </w:r>
      <w:r>
        <w:rPr>
          <w:rtl w:val="true"/>
        </w:rPr>
        <w:t>באתי לידי מסקנה כי דין ערעורו של מלכה להידחות ודין ערעורו של שטרית להתקבל באופן חלקי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מלכה</w:t>
      </w:r>
      <w:r>
        <w:rPr>
          <w:rtl w:val="true"/>
        </w:rPr>
        <w:t xml:space="preserve">: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תיטה שלא להתערב בגזרי דין שניתנו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מלבד מקרים חריגים שבהם נפלה בגזר הדין טעות מהותית או שהעונש שנגזר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חורג באופן ממשי מרמת הענישה הנוהגת או הראויה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למשל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אזי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עייאט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2.9.202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ערכאת הערעור לא תתערב ככלל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אם העונש שהוטל תואם את נסיבות המקרה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 של מלכה אינו נמנה עם המקרים החריגים המצדיקים התערבות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שנפסק לא אחת</w:t>
      </w:r>
      <w:r>
        <w:rPr>
          <w:rtl w:val="true"/>
        </w:rPr>
        <w:t xml:space="preserve">, </w:t>
      </w:r>
      <w:r>
        <w:rPr>
          <w:rtl w:val="true"/>
        </w:rPr>
        <w:t>וכפי שציין בית המשפט קמא בגזר הדין</w:t>
      </w:r>
      <w:r>
        <w:rPr>
          <w:rtl w:val="true"/>
        </w:rPr>
        <w:t xml:space="preserve">, </w:t>
      </w:r>
      <w:r>
        <w:rPr>
          <w:rtl w:val="true"/>
        </w:rPr>
        <w:t>עבירות הנוגעות לגידול ולייצור סם הקנבוס מתאפיינות בחומרה יתרה</w:t>
      </w:r>
      <w:r>
        <w:rPr>
          <w:rtl w:val="true"/>
        </w:rPr>
        <w:t xml:space="preserve">, </w:t>
      </w:r>
      <w:r>
        <w:rPr>
          <w:rtl w:val="true"/>
        </w:rPr>
        <w:t xml:space="preserve">ובהתאם לכך יש לנקוט לגביהן מדיניות ענישה מחמירה ומרתיעה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זנזורי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אות</w:t>
      </w:r>
      <w:r>
        <w:rPr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12.8.2018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זנזורי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18.6.2018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בפרט בהתחשב בתמריץ הכלכלי הניכר לביצוע עבירות מסוג זה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8.2.2021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בהקשר זה נקבע </w:t>
      </w:r>
      <w:r>
        <w:rPr>
          <w:rtl w:val="true"/>
        </w:rPr>
        <w:t>בפסיקה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להיקף</w:t>
      </w:r>
      <w:r>
        <w:rPr>
          <w:rtl w:val="true"/>
        </w:rPr>
        <w:t xml:space="preserve"> </w:t>
      </w:r>
      <w:r>
        <w:rPr>
          <w:rtl w:val="true"/>
        </w:rPr>
        <w:t>הגידול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tl w:val="true"/>
        </w:rPr>
        <w:t>להיקף</w:t>
      </w:r>
      <w:r>
        <w:rPr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הכלים</w:t>
      </w:r>
      <w:r>
        <w:rPr>
          <w:rtl w:val="true"/>
        </w:rPr>
        <w:t xml:space="preserve"> </w:t>
      </w:r>
      <w:r>
        <w:rPr>
          <w:rtl w:val="true"/>
        </w:rPr>
        <w:t>והמשאבים</w:t>
      </w:r>
      <w:r>
        <w:rPr>
          <w:rtl w:val="true"/>
        </w:rPr>
        <w:t xml:space="preserve"> </w:t>
      </w:r>
      <w:r>
        <w:rPr>
          <w:rtl w:val="true"/>
        </w:rPr>
        <w:t>שהושקעו</w:t>
      </w:r>
      <w:r>
        <w:rPr>
          <w:rtl w:val="true"/>
        </w:rPr>
        <w:t xml:space="preserve"> </w:t>
      </w:r>
      <w:r>
        <w:rPr>
          <w:rtl w:val="true"/>
        </w:rPr>
        <w:t xml:space="preserve">בכך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27.4.2022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)).</w:t>
      </w:r>
    </w:p>
    <w:p>
      <w:pPr>
        <w:pStyle w:val="Ruller42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מלכה מלין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הן על מתחם הענישה שנקבע בעניינו והן על עונש המאסר בפועל שנגזר עליו </w:t>
      </w:r>
      <w:r>
        <w:rPr>
          <w:rtl w:val="true"/>
        </w:rPr>
        <w:t>–</w:t>
      </w:r>
      <w:r>
        <w:rPr>
          <w:rtl w:val="true"/>
        </w:rPr>
        <w:t xml:space="preserve"> אשר היה קצר בארבעה חודשים מן הרף התחתון של המתחם </w:t>
      </w:r>
      <w:r>
        <w:rPr>
          <w:rtl w:val="true"/>
        </w:rPr>
        <w:t>(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לעומת </w:t>
      </w:r>
      <w:r>
        <w:rPr/>
        <w:t>36</w:t>
      </w:r>
      <w:r>
        <w:rPr>
          <w:rtl w:val="true"/>
        </w:rPr>
        <w:t xml:space="preserve">).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שוכנעתי כי העונש שהוטל על מלכה הולם את חומרת מעשיו ועולה בקנה אחד עם מלוא השיקולים הצריכים לעניין</w:t>
      </w:r>
      <w:r>
        <w:rPr>
          <w:rtl w:val="true"/>
        </w:rPr>
        <w:t xml:space="preserve">. 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מלכה שכר שתי יחידות דיור בערים שונות והפעיל בהן מעבדות לגידול הסם</w:t>
      </w:r>
      <w:r>
        <w:rPr>
          <w:rtl w:val="true"/>
        </w:rPr>
        <w:t xml:space="preserve">, </w:t>
      </w:r>
      <w:r>
        <w:rPr>
          <w:rtl w:val="true"/>
        </w:rPr>
        <w:t>תוך השקעה משמעותית במונחי זמן וכסף ותוך נטילת חשמל שלא כדין בשווי עשרות אלפי שקלים</w:t>
      </w:r>
      <w:r>
        <w:rPr>
          <w:rtl w:val="true"/>
        </w:rPr>
        <w:t xml:space="preserve">. </w:t>
      </w:r>
      <w:r>
        <w:rPr>
          <w:rtl w:val="true"/>
        </w:rPr>
        <w:t>במעבדות נתפסו כמעט אלף שתילי סם</w:t>
      </w:r>
      <w:r>
        <w:rPr>
          <w:rtl w:val="true"/>
        </w:rPr>
        <w:t xml:space="preserve">, </w:t>
      </w:r>
      <w:r>
        <w:rPr>
          <w:rtl w:val="true"/>
        </w:rPr>
        <w:t>במשקל כולל של כ</w:t>
      </w:r>
      <w:r>
        <w:rPr>
          <w:rtl w:val="true"/>
        </w:rPr>
        <w:t>-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ובשווי כולל של למעלה מ</w:t>
      </w:r>
      <w:r>
        <w:rPr>
          <w:rtl w:val="true"/>
        </w:rPr>
        <w:t>-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אלו מקובלת עליי קביעתו של בית המשפט קמא כי מעשיו של מלכה מצויים </w:t>
      </w:r>
      <w:r>
        <w:rPr>
          <w:rtl w:val="true"/>
        </w:rPr>
        <w:t>"</w:t>
      </w:r>
      <w:r>
        <w:rPr>
          <w:rtl w:val="true"/>
        </w:rPr>
        <w:t>ברף החומרה הגבוה של עבירות מעין אלה</w:t>
      </w:r>
      <w:r>
        <w:rPr>
          <w:rtl w:val="true"/>
        </w:rPr>
        <w:t>" 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זנזורי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 xml:space="preserve">לא למותר לציין בהקשר זה כי פסקי הדין שהביא מלכה בערעורו עסקו בעניינם של נאשמים בהפעלת מעבדה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tl w:val="true"/>
        </w:rPr>
        <w:t xml:space="preserve"> לגידול הסם </w:t>
      </w:r>
      <w:r>
        <w:rPr>
          <w:rtl w:val="true"/>
        </w:rPr>
        <w:t>–</w:t>
      </w:r>
      <w:r>
        <w:rPr>
          <w:rtl w:val="true"/>
        </w:rPr>
        <w:t xml:space="preserve"> בעוד שמלכה הקים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שתי מעבדות בתוך פרק זמן קצר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כפי שפורט בגזר הדין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במקרים אחרים הוטלו על נאשמים בייצור סם הקנבוס עונשי מאסר דומים בהיקפם ואף חמורים מזה שהוטל על מלכה בענייננו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נעלמו מעיניי נסיבותיו האישיות של מלכה והקשיים שהובילו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לביצוע העבירות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נסיבות אלו נשקלו על ידי בית המשפט קמא בבואו לגזור את דינו של מלכה</w:t>
      </w:r>
      <w:r>
        <w:rPr>
          <w:rtl w:val="true"/>
        </w:rPr>
        <w:t xml:space="preserve">, </w:t>
      </w:r>
      <w:r>
        <w:rPr>
          <w:rtl w:val="true"/>
        </w:rPr>
        <w:t>ולא שוכנעתי כי עלה בידי מלכה להוכיח הצדקה להקלה נוספת בעונשו מטעמי שיקום</w:t>
      </w:r>
      <w:r>
        <w:rPr>
          <w:rtl w:val="true"/>
        </w:rPr>
        <w:t xml:space="preserve">. </w:t>
      </w:r>
      <w:r>
        <w:rPr>
          <w:rtl w:val="true"/>
        </w:rPr>
        <w:t>אף שמלכה הביע רצון להשתלב בטיפול עוד במסגרת ההליך בבית המשפט קמא</w:t>
      </w:r>
      <w:r>
        <w:rPr>
          <w:rtl w:val="true"/>
        </w:rPr>
        <w:t xml:space="preserve">, </w:t>
      </w:r>
      <w:r>
        <w:rPr>
          <w:rtl w:val="true"/>
        </w:rPr>
        <w:t>מהתסקירים שהוגשו בעניינו עולה כי לא חלה התקדמות כלשהי במישור הטיפולי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טענת מלכה בדבר השינוי במצבו הרפואי והפגיעה בזיכרונו</w:t>
      </w:r>
      <w:r>
        <w:rPr>
          <w:rtl w:val="true"/>
        </w:rPr>
        <w:t xml:space="preserve">, </w:t>
      </w:r>
      <w:r>
        <w:rPr>
          <w:rtl w:val="true"/>
        </w:rPr>
        <w:t>לא גובתה באסמכתאות ומשכך לא ניתן לקבלה במתכונת שבה הועלתה</w:t>
      </w:r>
      <w:r>
        <w:rPr>
          <w:rtl w:val="true"/>
        </w:rPr>
        <w:t xml:space="preserve">. </w:t>
      </w:r>
      <w:r>
        <w:rPr>
          <w:rtl w:val="true"/>
        </w:rPr>
        <w:t>אף מטעמים אלו לא עלה בידי מלכה להראות כי העונש שהוטל עליו חורג באופן ניכר ממדיניות הענישה הנוהגת או הראויה בנסיבות העניין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לערעורו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: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בגזר הדין נקבע כי רף החומרה של מעשיו של שטרית הוא </w:t>
      </w:r>
      <w:r>
        <w:rPr>
          <w:rtl w:val="true"/>
        </w:rPr>
        <w:t>"</w:t>
      </w:r>
      <w:r>
        <w:rPr>
          <w:rtl w:val="true"/>
        </w:rPr>
        <w:t>בינוני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tl w:val="true"/>
        </w:rPr>
        <w:t xml:space="preserve">".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שטרית הקים והפעיל מעבדה לגידול הסם במחסן הדירה שבה התגורר עם אשתו וילדיו</w:t>
      </w:r>
      <w:r>
        <w:rPr>
          <w:rtl w:val="true"/>
        </w:rPr>
        <w:t xml:space="preserve">, </w:t>
      </w:r>
      <w:r>
        <w:rPr>
          <w:rtl w:val="true"/>
        </w:rPr>
        <w:t>ואף אחסן סם במסדרון הדירה</w:t>
      </w:r>
      <w:r>
        <w:rPr>
          <w:rtl w:val="true"/>
        </w:rPr>
        <w:t xml:space="preserve">. </w:t>
      </w:r>
      <w:r>
        <w:rPr>
          <w:rtl w:val="true"/>
        </w:rPr>
        <w:t>במעבדה</w:t>
      </w:r>
      <w:r>
        <w:rPr>
          <w:rtl w:val="true"/>
        </w:rPr>
        <w:t xml:space="preserve">, </w:t>
      </w:r>
      <w:r>
        <w:rPr>
          <w:rtl w:val="true"/>
        </w:rPr>
        <w:t>אשר פעלה במשך כשנה</w:t>
      </w:r>
      <w:r>
        <w:rPr>
          <w:rtl w:val="true"/>
        </w:rPr>
        <w:t xml:space="preserve">, </w:t>
      </w:r>
      <w:r>
        <w:rPr>
          <w:rtl w:val="true"/>
        </w:rPr>
        <w:t xml:space="preserve">נתפסו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של הסם</w:t>
      </w:r>
      <w:r>
        <w:rPr>
          <w:rtl w:val="true"/>
        </w:rPr>
        <w:t xml:space="preserve">, </w:t>
      </w:r>
      <w:r>
        <w:rPr>
          <w:rtl w:val="true"/>
        </w:rPr>
        <w:t>ולשם הפעלתה נטל שטרית חשמל שלא כדין באופן שיצר סכנה</w:t>
      </w:r>
      <w:r>
        <w:rPr>
          <w:rtl w:val="true"/>
        </w:rPr>
        <w:t xml:space="preserve">. </w:t>
      </w:r>
      <w:r>
        <w:rPr>
          <w:rtl w:val="true"/>
        </w:rPr>
        <w:t>ואם בכך לא די</w:t>
      </w:r>
      <w:r>
        <w:rPr>
          <w:rtl w:val="true"/>
        </w:rPr>
        <w:t xml:space="preserve">, </w:t>
      </w:r>
      <w:r>
        <w:rPr>
          <w:rtl w:val="true"/>
        </w:rPr>
        <w:t>גם לאחר מעצרו של שטרית והגשת כתב האישום נושא ההליך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הוא חזר לפעול בתחום הסמים </w:t>
      </w:r>
      <w:r>
        <w:rPr>
          <w:rtl w:val="true"/>
        </w:rPr>
        <w:t>–</w:t>
      </w:r>
      <w:r>
        <w:rPr>
          <w:rtl w:val="true"/>
        </w:rPr>
        <w:t xml:space="preserve"> ובמסגרת זו נתן אמצעים להקמת מעבדה נוספת בפתח תקווה והפר את התנאים המגבילים שנקבעו לו בהליך המעצר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ascii="Arial TUR" w:hAnsi="Arial TUR" w:cs="Arial TUR"/>
          <w:sz w:val="22"/>
          <w:sz w:val="22"/>
          <w:rtl w:val="true"/>
        </w:rPr>
        <w:t>שטרית טוען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כאמור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כי העונש שהוטל עליו אינו עולה בקנה אחד עם עקרון אחידות הענישה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נוכח העונש שנגזר על הנאשם הנוסף</w:t>
      </w:r>
      <w:r>
        <w:rPr>
          <w:rFonts w:cs="Arial TUR" w:ascii="Arial TUR" w:hAnsi="Arial TUR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ובאותן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>" (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ניסנצויג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21.2.2017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7350/12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14.1.2013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מתמטי</w:t>
      </w:r>
      <w:r>
        <w:rPr>
          <w:rtl w:val="true"/>
        </w:rPr>
        <w:t xml:space="preserve">"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14.6.2015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קיים אמנם דמיון מסוים בנסיבות האישיות של שטרית ושל הנאשם הנוסף </w:t>
      </w:r>
      <w:r>
        <w:rPr>
          <w:rtl w:val="true"/>
        </w:rPr>
        <w:t>–</w:t>
      </w:r>
      <w:r>
        <w:rPr>
          <w:rtl w:val="true"/>
        </w:rPr>
        <w:t xml:space="preserve"> אשר 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בנסיבות שלטענתם הובילו לביצוע העבירות ובתסקירים החיוביים שהוגשו בעניינם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קיים ביניהם הבדל משמעותי בכל הנוגע לעבירות שבגינן הורשעו ולנסיבות ביצוען</w:t>
      </w:r>
      <w:r>
        <w:rPr>
          <w:rtl w:val="true"/>
        </w:rPr>
        <w:t xml:space="preserve">, </w:t>
      </w:r>
      <w:r>
        <w:rPr>
          <w:rtl w:val="true"/>
        </w:rPr>
        <w:t>והבדל זה מוביל לשיטתי למסקנה כי אין מקום לגזור לענייננו גזירה שווה מן העונש שהוטל על הנאשם הנוסף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הנוסף הורשע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סיוע</w:t>
      </w:r>
      <w:r>
        <w:rPr>
          <w:rtl w:val="true"/>
        </w:rPr>
        <w:t xml:space="preserve"> להקמה ולתפעול שתי מעבדות סמים</w:t>
      </w:r>
      <w:r>
        <w:rPr>
          <w:rtl w:val="true"/>
        </w:rPr>
        <w:t xml:space="preserve">, </w:t>
      </w:r>
      <w:r>
        <w:rPr>
          <w:rtl w:val="true"/>
        </w:rPr>
        <w:t>בעוד ששטרית הורשע כמבצע עיקרי בעבירות הנוגעות להקמת מעבדת הסמים בגבעת זאב</w:t>
      </w:r>
      <w:r>
        <w:rPr>
          <w:rtl w:val="true"/>
        </w:rPr>
        <w:t xml:space="preserve">, </w:t>
      </w:r>
      <w:r>
        <w:rPr>
          <w:rtl w:val="true"/>
        </w:rPr>
        <w:t>ולמעשה כנאשם היחיד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הבדל זה מקשה כשלעצמו על התוויית השוואה בין העונשים שהוטלו על השניים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23.9.2014</w:t>
      </w:r>
      <w:r>
        <w:rPr>
          <w:rtl w:val="true"/>
        </w:rPr>
        <w:t xml:space="preserve">); 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3060/15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פסקה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21.7.2015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לכך מתווספת העובדה ששטרית הורשע בשתי עבירות נוספות </w:t>
      </w:r>
      <w:r>
        <w:rPr>
          <w:rtl w:val="true"/>
        </w:rPr>
        <w:t>–</w:t>
      </w:r>
      <w:r>
        <w:rPr>
          <w:rtl w:val="true"/>
        </w:rPr>
        <w:t xml:space="preserve"> מתן אמצעים לביצוע פשע והפרת הוראה חוקית</w:t>
      </w:r>
      <w:r>
        <w:rPr>
          <w:rtl w:val="true"/>
        </w:rPr>
        <w:t xml:space="preserve">. </w:t>
      </w:r>
      <w:r>
        <w:rPr>
          <w:rtl w:val="true"/>
        </w:rPr>
        <w:t>בנסיבות העניין מדובר אמנם בעבירות חמורות פחות מהעבירות שבהן הורשע הנאשם הנוסף</w:t>
      </w:r>
      <w:r>
        <w:rPr>
          <w:rtl w:val="true"/>
        </w:rPr>
        <w:t xml:space="preserve">, </w:t>
      </w:r>
      <w:r>
        <w:rPr>
          <w:rtl w:val="true"/>
        </w:rPr>
        <w:t>אך העובדה ששטרית ביצע עבירות אלו בעת שהיה נתון במעצר בית בעקבות ההליך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מהווה אף היא הבדל רלוונטי בינו ובין הנאשם הנוסף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מצאתי לקבל את הטענות שהעלה שטרית בעניין דחיית מתן גזר הדין על מנת לאפשר לו למצות את הליכי השיקום</w:t>
      </w:r>
      <w:r>
        <w:rPr>
          <w:rtl w:val="true"/>
        </w:rPr>
        <w:t xml:space="preserve">. </w:t>
      </w:r>
      <w:r>
        <w:rPr>
          <w:rtl w:val="true"/>
        </w:rPr>
        <w:t>החלטת בית המשפט המחוזי בעניי</w:t>
      </w:r>
      <w:r>
        <w:rPr>
          <w:rtl w:val="true"/>
        </w:rPr>
        <w:t>ן</w:t>
      </w:r>
      <w:r>
        <w:rPr>
          <w:rtl w:val="true"/>
        </w:rPr>
        <w:t xml:space="preserve"> זה מעוגנת היטב בפסיקה</w:t>
      </w:r>
      <w:r>
        <w:rPr>
          <w:rtl w:val="true"/>
        </w:rPr>
        <w:t xml:space="preserve">, </w:t>
      </w:r>
      <w:r>
        <w:rPr>
          <w:rtl w:val="true"/>
        </w:rPr>
        <w:t xml:space="preserve">אשר מקנה לערכאה הדיונית שיקול דעת נרחב בבקשות מסוג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11.1.2016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לאחר עיון בנוסח הסדר הטיעון שאליו הגיעו הצדדים בהליך בירושלים</w:t>
      </w:r>
      <w:r>
        <w:rPr>
          <w:rtl w:val="true"/>
        </w:rPr>
        <w:t xml:space="preserve">, </w:t>
      </w:r>
      <w:r>
        <w:rPr>
          <w:rtl w:val="true"/>
        </w:rPr>
        <w:t>לא מצאתי תימוכין לטענה בעניין התחייבות המשיבה להסכים לדחיית מועד מתן גזר הדין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לטענת שטרית בדבר ההתחשבות בשיקומו בעת גזירת העונש</w:t>
      </w:r>
      <w:r>
        <w:rPr>
          <w:rtl w:val="true"/>
        </w:rPr>
        <w:t xml:space="preserve">: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מוסמך לחרוג לקולה ממתחם העונש ההולם מטעמי שיקום כאשר נמצא כי </w:t>
      </w:r>
      <w:r>
        <w:rPr>
          <w:rtl w:val="true"/>
        </w:rPr>
        <w:t>"</w:t>
      </w:r>
      <w:r>
        <w:rPr>
          <w:rtl w:val="true"/>
        </w:rPr>
        <w:t>הנאשם השתקם או כי יש סיכוי של ממש שישתקם</w:t>
      </w:r>
      <w:r>
        <w:rPr>
          <w:rtl w:val="true"/>
        </w:rPr>
        <w:t>" 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 xml:space="preserve">ככל שמעשי הנאשם ומידת אשמו הם בעלי </w:t>
      </w:r>
      <w:r>
        <w:rPr>
          <w:rtl w:val="true"/>
        </w:rPr>
        <w:t>"</w:t>
      </w:r>
      <w:r>
        <w:rPr>
          <w:rtl w:val="true"/>
        </w:rPr>
        <w:t>חומרה יתרה</w:t>
      </w:r>
      <w:r>
        <w:rPr>
          <w:rtl w:val="true"/>
        </w:rPr>
        <w:t xml:space="preserve">", </w:t>
      </w:r>
      <w:r>
        <w:rPr>
          <w:rtl w:val="true"/>
        </w:rPr>
        <w:t>יש צורך ב</w:t>
      </w:r>
      <w:r>
        <w:rPr>
          <w:rtl w:val="true"/>
        </w:rPr>
        <w:t>"</w:t>
      </w:r>
      <w:r>
        <w:rPr>
          <w:rtl w:val="true"/>
        </w:rPr>
        <w:t>נסיבות מיוחדות ויוצאות דופן</w:t>
      </w:r>
      <w:r>
        <w:rPr>
          <w:rtl w:val="true"/>
        </w:rPr>
        <w:t xml:space="preserve">" </w:t>
      </w:r>
      <w:r>
        <w:rPr>
          <w:rtl w:val="true"/>
        </w:rPr>
        <w:t xml:space="preserve">על מנת לסטות לקולה ממתחם הענישה משיקולי שיקום </w:t>
      </w:r>
      <w:r>
        <w:rPr>
          <w:rtl w:val="true"/>
        </w:rPr>
        <w:t>(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עוד נקבע בפסיקה כי עם השיקולים העשויים להצדיק חריגה לקולה ממתחם הענישה מטעמי שיקום</w:t>
      </w:r>
      <w:r>
        <w:rPr>
          <w:rtl w:val="true"/>
        </w:rPr>
        <w:t xml:space="preserve">, </w:t>
      </w:r>
      <w:r>
        <w:rPr>
          <w:rtl w:val="true"/>
        </w:rPr>
        <w:t>נמנים הבעת מוטיבציה מצד הנאשם להשתקם</w:t>
      </w:r>
      <w:r>
        <w:rPr>
          <w:rtl w:val="true"/>
        </w:rPr>
        <w:t xml:space="preserve">, </w:t>
      </w:r>
      <w:r>
        <w:rPr>
          <w:rtl w:val="true"/>
        </w:rPr>
        <w:t>השתלבות מוצלחת בהליכים טיפוליים</w:t>
      </w:r>
      <w:r>
        <w:rPr>
          <w:rtl w:val="true"/>
        </w:rPr>
        <w:t xml:space="preserve">, </w:t>
      </w:r>
      <w:r>
        <w:rPr>
          <w:rtl w:val="true"/>
        </w:rPr>
        <w:t>הבעת חרטה</w:t>
      </w:r>
      <w:r>
        <w:rPr>
          <w:rtl w:val="true"/>
        </w:rPr>
        <w:t xml:space="preserve">, </w:t>
      </w:r>
      <w:r>
        <w:rPr>
          <w:rtl w:val="true"/>
        </w:rPr>
        <w:t>הפגנת הזדהות כלפי נפגעי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tl w:val="true"/>
        </w:rPr>
        <w:t>"</w:t>
      </w:r>
      <w:r>
        <w:rPr>
          <w:rtl w:val="true"/>
        </w:rPr>
        <w:t>אינדיקציות לשינוי עמוק בהתנהגות ובדרך החשיבה</w:t>
      </w:r>
      <w:r>
        <w:rPr>
          <w:rtl w:val="true"/>
        </w:rPr>
        <w:t>" (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6637/17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18.4.2018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כמו כן נקבע כי נאשם המבקש להצדיק חריגה כאמור</w:t>
      </w:r>
      <w:r>
        <w:rPr>
          <w:rtl w:val="true"/>
        </w:rPr>
        <w:t xml:space="preserve">, </w:t>
      </w:r>
      <w:r>
        <w:rPr>
          <w:rtl w:val="true"/>
        </w:rPr>
        <w:t xml:space="preserve">נדרש לבסס זאת בראיות ולא להסתפק בטענות בעלמא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9147/17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20.9.2018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קמא לא מצא מקום לסטייה כזו בכל הנוגע לשטרית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בנסיבות הפרטניות של המקרה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ונוכח התקדמותו המשמעותית של שטרית בתהליך השיקום מאז מתן גזר הדין </w:t>
      </w:r>
      <w:r>
        <w:rPr>
          <w:rtl w:val="true"/>
        </w:rPr>
        <w:t>–</w:t>
      </w:r>
      <w:r>
        <w:rPr>
          <w:rtl w:val="true"/>
        </w:rPr>
        <w:t xml:space="preserve"> אני סבורה כי יש מקום להקל בעונשו ולחרוג לקולה ממתחם הענישה שקבע בית המשפט קמא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tl w:val="true"/>
        </w:rPr>
        <w:t>בתסקירים העדכניים שהוגשו בעניינו של שטרית הודגש כי הוא מצוי בעיצומו של תהליך שיקום משמעותי</w:t>
      </w:r>
      <w:r>
        <w:rPr>
          <w:rtl w:val="true"/>
        </w:rPr>
        <w:t xml:space="preserve">, </w:t>
      </w:r>
      <w:r>
        <w:rPr>
          <w:rtl w:val="true"/>
        </w:rPr>
        <w:t>לוקח אחריות על מעשיו ומחויב להטמעת שינוי בחייו ובהתנהלותו</w:t>
      </w:r>
      <w:r>
        <w:rPr>
          <w:rtl w:val="true"/>
        </w:rPr>
        <w:t xml:space="preserve">. </w:t>
      </w:r>
      <w:r>
        <w:rPr>
          <w:rtl w:val="true"/>
        </w:rPr>
        <w:t xml:space="preserve">עוד יש להדגיש כי שטרית מתמיד בהליך הטיפולי </w:t>
      </w:r>
      <w:r>
        <w:rPr>
          <w:rFonts w:ascii="Arial TUR" w:hAnsi="Arial TUR" w:cs="Arial TUR"/>
          <w:sz w:val="22"/>
          <w:sz w:val="22"/>
          <w:rtl w:val="true"/>
        </w:rPr>
        <w:t xml:space="preserve">מזה למעלה משנה </w:t>
      </w:r>
      <w:r>
        <w:rPr>
          <w:rFonts w:cs="Arial TUR" w:ascii="Arial TUR" w:hAnsi="Arial TUR"/>
          <w:sz w:val="22"/>
          <w:rtl w:val="true"/>
        </w:rPr>
        <w:t>(</w:t>
      </w:r>
      <w:r>
        <w:rPr>
          <w:rFonts w:ascii="Arial TUR" w:hAnsi="Arial TUR" w:cs="Arial TUR"/>
          <w:sz w:val="22"/>
          <w:sz w:val="22"/>
          <w:rtl w:val="true"/>
        </w:rPr>
        <w:t>ראו והשוו לעניין זה</w:t>
      </w:r>
      <w:r>
        <w:rPr>
          <w:rFonts w:cs="Arial TUR" w:ascii="Arial TUR" w:hAnsi="Arial TUR"/>
          <w:sz w:val="22"/>
          <w:rtl w:val="true"/>
        </w:rPr>
        <w:t xml:space="preserve">: </w:t>
      </w:r>
      <w:hyperlink r:id="rId61"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</w:rPr>
          <w:t>1964/16</w:t>
        </w:r>
      </w:hyperlink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בושנאק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פסקה </w:t>
      </w:r>
      <w:r>
        <w:rPr>
          <w:rFonts w:cs="Arial TUR" w:ascii="Arial TUR" w:hAnsi="Arial TUR"/>
          <w:sz w:val="22"/>
        </w:rPr>
        <w:t>9</w:t>
      </w:r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" w:ascii="Arial TUR" w:hAnsi="Arial TUR"/>
          <w:sz w:val="22"/>
          <w:rtl w:val="true"/>
        </w:rPr>
        <w:t>(</w:t>
      </w:r>
      <w:r>
        <w:rPr>
          <w:rFonts w:cs="Arial TUR" w:ascii="Arial TUR" w:hAnsi="Arial TUR"/>
          <w:sz w:val="22"/>
        </w:rPr>
        <w:t>25.5.2017</w:t>
      </w:r>
      <w:r>
        <w:rPr>
          <w:rFonts w:cs="Arial TUR" w:ascii="Arial TUR" w:hAnsi="Arial TUR"/>
          <w:sz w:val="22"/>
          <w:rtl w:val="true"/>
        </w:rPr>
        <w:t>)</w:t>
      </w:r>
      <w:r>
        <w:rPr>
          <w:rFonts w:cs="Arial TUR" w:ascii="Arial TUR" w:hAnsi="Arial TUR"/>
          <w:sz w:val="22"/>
          <w:rtl w:val="true"/>
        </w:rPr>
        <w:t xml:space="preserve">; </w:t>
      </w:r>
      <w:hyperlink r:id="rId62"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</w:rPr>
          <w:t>6132/21</w:t>
        </w:r>
      </w:hyperlink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פסקה </w:t>
      </w:r>
      <w:r>
        <w:rPr>
          <w:rFonts w:cs="Arial TUR" w:ascii="Arial TUR" w:hAnsi="Arial TUR"/>
          <w:sz w:val="22"/>
        </w:rPr>
        <w:t>8</w:t>
      </w:r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" w:ascii="Arial TUR" w:hAnsi="Arial TUR"/>
          <w:sz w:val="22"/>
          <w:rtl w:val="true"/>
        </w:rPr>
        <w:t>(</w:t>
      </w:r>
      <w:r>
        <w:rPr>
          <w:rFonts w:cs="Arial TUR" w:ascii="Arial TUR" w:hAnsi="Arial TUR"/>
          <w:sz w:val="22"/>
        </w:rPr>
        <w:t>13.1.2022</w:t>
      </w:r>
      <w:r>
        <w:rPr>
          <w:rFonts w:cs="Arial TUR" w:ascii="Arial TUR" w:hAnsi="Arial TUR"/>
          <w:sz w:val="22"/>
          <w:rtl w:val="true"/>
        </w:rPr>
        <w:t>)</w:t>
      </w:r>
      <w:r>
        <w:rPr>
          <w:rFonts w:cs="Arial TUR" w:ascii="Arial TUR" w:hAnsi="Arial TUR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ההתמדה של שטרית בתהליך הטיפול בהתמכרותו להימורים מהווה נדבך חשוב בשיקומו</w:t>
      </w:r>
      <w:r>
        <w:rPr>
          <w:rtl w:val="true"/>
        </w:rPr>
        <w:t xml:space="preserve">: </w:t>
      </w:r>
      <w:r>
        <w:rPr>
          <w:rtl w:val="true"/>
        </w:rPr>
        <w:t>היא תורמת למצבו האישי</w:t>
      </w:r>
      <w:r>
        <w:rPr>
          <w:rtl w:val="true"/>
        </w:rPr>
        <w:t xml:space="preserve">, </w:t>
      </w:r>
      <w:r>
        <w:rPr>
          <w:rtl w:val="true"/>
        </w:rPr>
        <w:t>לחיי הקרובים לו ולהשתלבותו מחדש בחברה</w:t>
      </w:r>
      <w:r>
        <w:rPr>
          <w:rtl w:val="true"/>
        </w:rPr>
        <w:t xml:space="preserve">, </w:t>
      </w:r>
      <w:r>
        <w:rPr>
          <w:rtl w:val="true"/>
        </w:rPr>
        <w:t>והיא מפחיתה את הסיכון לביצוע עבירות נוספות על בסיס אותן הנסיבות</w:t>
      </w:r>
      <w:r>
        <w:rPr>
          <w:rtl w:val="true"/>
        </w:rPr>
        <w:t xml:space="preserve">. </w:t>
      </w:r>
      <w:r>
        <w:rPr>
          <w:rtl w:val="true"/>
        </w:rPr>
        <w:t>ככל שתהליך השיקום יצלח</w:t>
      </w:r>
      <w:r>
        <w:rPr>
          <w:rtl w:val="true"/>
        </w:rPr>
        <w:t xml:space="preserve">, </w:t>
      </w:r>
      <w:r>
        <w:rPr>
          <w:rtl w:val="true"/>
        </w:rPr>
        <w:t xml:space="preserve">לא רק שטרית ייצא נשכר מכך אלא החברה בכללותה </w:t>
      </w:r>
      <w:r>
        <w:rPr>
          <w:rtl w:val="true"/>
        </w:rPr>
        <w:t>(</w:t>
      </w:r>
      <w:hyperlink r:id="rId63"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</w:rPr>
          <w:t>7459/12</w:t>
        </w:r>
      </w:hyperlink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פסקה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cs="Arial TUR" w:ascii="Arial TUR" w:hAnsi="Arial TUR"/>
          <w:sz w:val="22"/>
        </w:rPr>
        <w:t>6</w:t>
      </w:r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" w:ascii="Arial TUR" w:hAnsi="Arial TUR"/>
          <w:sz w:val="22"/>
          <w:rtl w:val="true"/>
        </w:rPr>
        <w:t>(</w:t>
      </w:r>
      <w:r>
        <w:rPr>
          <w:rFonts w:cs="Arial TUR" w:ascii="Arial TUR" w:hAnsi="Arial TUR"/>
          <w:sz w:val="22"/>
        </w:rPr>
        <w:t>20.6.2013</w:t>
      </w:r>
      <w:r>
        <w:rPr>
          <w:rFonts w:cs="Arial TUR" w:ascii="Arial TUR" w:hAnsi="Arial TUR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 xml:space="preserve">אינם שוללים לחלוטין את תחולתם של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 xml:space="preserve">הלימה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 </w:t>
      </w:r>
      <w:r>
        <w:rPr/>
        <w:t>447</w:t>
      </w:r>
      <w:r>
        <w:rPr>
          <w:rtl w:val="true"/>
        </w:rPr>
        <w:t xml:space="preserve">.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אבוטבול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7.10.2019</w:t>
      </w:r>
      <w:r>
        <w:rPr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8095/17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סטרוסטה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26.10.2017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אך בנסיבות הקונקרטיות של המקרה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להתקדמות העקבית והמשמעותית של שטרית בתהליך השיקום על פני תקופה לא מבוטלת </w:t>
      </w:r>
      <w:r>
        <w:rPr>
          <w:rtl w:val="true"/>
        </w:rPr>
        <w:t>–</w:t>
      </w:r>
      <w:r>
        <w:rPr>
          <w:rtl w:val="true"/>
        </w:rPr>
        <w:t xml:space="preserve"> אני סבורה כי הוכחה הצדקה להפחתה מסוימת בעונשו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להפחית שישה חודשים מעונשו של שטרית </w:t>
      </w:r>
      <w:r>
        <w:rPr>
          <w:rtl w:val="true"/>
        </w:rPr>
        <w:t>–</w:t>
      </w:r>
      <w:r>
        <w:rPr>
          <w:rtl w:val="true"/>
        </w:rPr>
        <w:t xml:space="preserve"> תקופה לא מבוטלת</w:t>
      </w:r>
      <w:r>
        <w:rPr>
          <w:rtl w:val="true"/>
        </w:rPr>
        <w:t xml:space="preserve">, </w:t>
      </w:r>
      <w:r>
        <w:rPr>
          <w:rtl w:val="true"/>
        </w:rPr>
        <w:t xml:space="preserve">אך מדודה </w:t>
      </w:r>
      <w:r>
        <w:rPr>
          <w:rtl w:val="true"/>
        </w:rPr>
        <w:t>–</w:t>
      </w:r>
      <w:r>
        <w:rPr>
          <w:rtl w:val="true"/>
        </w:rPr>
        <w:t xml:space="preserve"> שתשקף את ההתקדמות שעשה עד כה בהליך השיקום</w:t>
      </w:r>
      <w:r>
        <w:rPr>
          <w:rtl w:val="true"/>
        </w:rPr>
        <w:t xml:space="preserve">, </w:t>
      </w:r>
      <w:r>
        <w:rPr>
          <w:rtl w:val="true"/>
        </w:rPr>
        <w:t>תוך מתן המשקל הראוי למאפייני העבירות שבהן הורשע ולעובדה שביצע את חלקן בעת שהיה נתון במעצר בית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סיכומם של דברים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ונקבל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 </w:t>
      </w:r>
      <w:r>
        <w:rPr>
          <w:rtl w:val="true"/>
        </w:rPr>
        <w:t>במובן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שעונש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יקוצר</w:t>
      </w:r>
      <w:r>
        <w:rPr>
          <w:rtl w:val="true"/>
        </w:rPr>
        <w:t xml:space="preserve"> </w:t>
      </w:r>
      <w:r>
        <w:rPr>
          <w:rtl w:val="true"/>
        </w:rPr>
        <w:t>בשישה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שיעמוד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 </w:t>
      </w:r>
      <w:r>
        <w:rPr>
          <w:rtl w:val="true"/>
        </w:rPr>
        <w:t>יוותרו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שטרית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יתייצב לריצוי עונשו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בבי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ת מעצר הדרים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ביום </w:t>
      </w:r>
      <w:r>
        <w:rPr>
          <w:rFonts w:cs="FrankRuehl" w:ascii="FrankRuehl" w:hAnsi="FrankRuehl"/>
          <w:color w:val="000000"/>
          <w:sz w:val="28"/>
          <w:shd w:fill="FFFFFF" w:val="clear"/>
        </w:rPr>
        <w:t>1.6.2023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בשעה </w:t>
      </w:r>
      <w:r>
        <w:rPr>
          <w:rFonts w:cs="FrankRuehl" w:ascii="FrankRuehl" w:hAnsi="FrankRuehl"/>
          <w:color w:val="000000"/>
          <w:sz w:val="28"/>
          <w:shd w:fill="FFFFFF" w:val="clear"/>
        </w:rPr>
        <w:t>10:00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כשברשותו תעודת זהות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על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יו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לתאם את הכניסה למאסר כולל האפשרות למיון מוקדם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עם ענף אבחון ומיון של שב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ס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בטלפונים </w:t>
      </w:r>
      <w:r>
        <w:rPr>
          <w:rFonts w:cs="FrankRuehl" w:ascii="FrankRuehl" w:hAnsi="FrankRuehl"/>
          <w:color w:val="000000"/>
          <w:sz w:val="28"/>
          <w:shd w:fill="FFFFFF" w:val="clear"/>
        </w:rPr>
        <w:t>074-7831077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hd w:fill="FFFFFF" w:val="clear"/>
        </w:rPr>
        <w:t>074-7831078</w:t>
      </w:r>
      <w:r>
        <w:rPr>
          <w:rtl w:val="true"/>
        </w:rPr>
        <w:t>.</w:t>
      </w:r>
      <w:bookmarkStart w:id="14" w:name="Start_Write"/>
      <w:bookmarkEnd w:id="14"/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u w:val="single"/>
        </w:rPr>
      </w:pPr>
      <w:r>
        <w:rPr>
          <w:u w:val="single"/>
          <w:rtl w:val="true"/>
        </w:rPr>
        <w:t>המשנה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u w:val="single"/>
          <w:rtl w:val="true"/>
        </w:rPr>
        <w:t>לנשיאה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u w:val="single"/>
          <w:rtl w:val="true"/>
        </w:rPr>
        <w:t>ע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פוגלמן</w:t>
      </w:r>
      <w:r>
        <w:rPr>
          <w:u w:val="single"/>
          <w:rtl w:val="true"/>
        </w:rPr>
        <w:t>:</w:t>
      </w:r>
    </w:p>
    <w:p>
      <w:pPr>
        <w:pStyle w:val="Ruller42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u w:val="single"/>
        </w:rPr>
      </w:pPr>
      <w:r>
        <w:rPr>
          <w:u w:val="single"/>
          <w:rtl w:val="true"/>
        </w:rPr>
        <w:t>השופט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כשר</w:t>
      </w:r>
      <w:r>
        <w:rPr>
          <w:u w:val="single"/>
          <w:rtl w:val="true"/>
        </w:rPr>
        <w:t>:</w:t>
      </w:r>
    </w:p>
    <w:p>
      <w:pPr>
        <w:pStyle w:val="Ruller42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5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3.5.2023</w:t>
      </w:r>
      <w:r>
        <w:rPr>
          <w:rtl w:val="true"/>
        </w:rPr>
        <w:t xml:space="preserve">). </w:t>
      </w:r>
      <w:bookmarkEnd w:id="15"/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2797"/>
        <w:gridCol w:w="2783"/>
      </w:tblGrid>
      <w:tr>
        <w:trPr/>
        <w:tc>
          <w:tcPr>
            <w:tcW w:w="2783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9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22027290</w:t>
      </w:r>
      <w:r>
        <w:rPr>
          <w:sz w:val="16"/>
          <w:rtl w:val="true"/>
        </w:rPr>
        <w:t>_</w:t>
      </w:r>
      <w:r>
        <w:rPr>
          <w:sz w:val="16"/>
        </w:rPr>
        <w:t>V12.docx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רי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כשר </w:t>
      </w:r>
      <w:r>
        <w:rPr>
          <w:rFonts w:cs="David" w:ascii="David" w:hAnsi="David"/>
          <w:color w:val="000000"/>
          <w:szCs w:val="22"/>
        </w:rPr>
        <w:t>54678313-2729/22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70"/>
      <w:footerReference w:type="default" r:id="rId7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2729/22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שיטרית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noteTextChar">
    <w:name w:val="Footnote Text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41"/>
    <w:basedOn w:val="DefaultParagraphFont"/>
    <w:qFormat/>
    <w:rPr/>
  </w:style>
  <w:style w:type="character" w:styleId="spelle">
    <w:name w:val="spelle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/>
    <w:rPr>
      <w:rFonts w:ascii="Century" w:hAnsi="Century" w:cs="FrankRuehl"/>
      <w:spacing w:val="10"/>
      <w:szCs w:val="20"/>
    </w:rPr>
  </w:style>
  <w:style w:type="paragraph" w:styleId="ruller421">
    <w:name w:val="ruller4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101865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6" TargetMode="External"/><Relationship Id="rId5" Type="http://schemas.openxmlformats.org/officeDocument/2006/relationships/hyperlink" Target="http://www.nevo.co.il/law/4216/9.a" TargetMode="External"/><Relationship Id="rId6" Type="http://schemas.openxmlformats.org/officeDocument/2006/relationships/hyperlink" Target="http://www.nevo.co.il/law/4216/9.d" TargetMode="External"/><Relationship Id="rId7" Type="http://schemas.openxmlformats.org/officeDocument/2006/relationships/hyperlink" Target="http://www.nevo.co.il/law/4216/10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.b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law/70301/40d.b" TargetMode="External"/><Relationship Id="rId13" Type="http://schemas.openxmlformats.org/officeDocument/2006/relationships/hyperlink" Target="http://www.nevo.co.il/law/70301/287.a" TargetMode="External"/><Relationship Id="rId14" Type="http://schemas.openxmlformats.org/officeDocument/2006/relationships/hyperlink" Target="http://www.nevo.co.il/law/70301/400" TargetMode="External"/><Relationship Id="rId15" Type="http://schemas.openxmlformats.org/officeDocument/2006/relationships/hyperlink" Target="http://www.nevo.co.il/law/70301/498.a" TargetMode="External"/><Relationship Id="rId16" Type="http://schemas.openxmlformats.org/officeDocument/2006/relationships/hyperlink" Target="http://www.nevo.co.il/case/29101865" TargetMode="External"/><Relationship Id="rId17" Type="http://schemas.openxmlformats.org/officeDocument/2006/relationships/hyperlink" Target="http://www.nevo.co.il/law/4216/6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law/4216/9.a" TargetMode="External"/><Relationship Id="rId21" Type="http://schemas.openxmlformats.org/officeDocument/2006/relationships/hyperlink" Target="http://www.nevo.co.il/law/4216/9.d" TargetMode="External"/><Relationship Id="rId22" Type="http://schemas.openxmlformats.org/officeDocument/2006/relationships/hyperlink" Target="http://www.nevo.co.il/law/70301/400" TargetMode="External"/><Relationship Id="rId23" Type="http://schemas.openxmlformats.org/officeDocument/2006/relationships/hyperlink" Target="http://www.nevo.co.il/law/70301/29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98.a" TargetMode="External"/><Relationship Id="rId26" Type="http://schemas.openxmlformats.org/officeDocument/2006/relationships/hyperlink" Target="http://www.nevo.co.il/law/70301/287.a" TargetMode="External"/><Relationship Id="rId27" Type="http://schemas.openxmlformats.org/officeDocument/2006/relationships/hyperlink" Target="http://www.nevo.co.il/case/26410797" TargetMode="External"/><Relationship Id="rId28" Type="http://schemas.openxmlformats.org/officeDocument/2006/relationships/hyperlink" Target="http://www.nevo.co.il/law/4216/6" TargetMode="External"/><Relationship Id="rId29" Type="http://schemas.openxmlformats.org/officeDocument/2006/relationships/hyperlink" Target="http://www.nevo.co.il/law/4216/10" TargetMode="External"/><Relationship Id="rId30" Type="http://schemas.openxmlformats.org/officeDocument/2006/relationships/hyperlink" Target="http://www.nevo.co.il/law/4216/9.a" TargetMode="External"/><Relationship Id="rId31" Type="http://schemas.openxmlformats.org/officeDocument/2006/relationships/hyperlink" Target="http://www.nevo.co.il/law/70301/400" TargetMode="External"/><Relationship Id="rId32" Type="http://schemas.openxmlformats.org/officeDocument/2006/relationships/hyperlink" Target="http://www.nevo.co.il/law/70301/400" TargetMode="External"/><Relationship Id="rId33" Type="http://schemas.openxmlformats.org/officeDocument/2006/relationships/hyperlink" Target="http://www.nevo.co.il/case/25254028" TargetMode="External"/><Relationship Id="rId34" Type="http://schemas.openxmlformats.org/officeDocument/2006/relationships/hyperlink" Target="http://www.nevo.co.il/law/70301/400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case/28142541" TargetMode="External"/><Relationship Id="rId37" Type="http://schemas.openxmlformats.org/officeDocument/2006/relationships/hyperlink" Target="http://www.nevo.co.il/case/27207408" TargetMode="External"/><Relationship Id="rId38" Type="http://schemas.openxmlformats.org/officeDocument/2006/relationships/hyperlink" Target="http://www.nevo.co.il/case/21474168" TargetMode="External"/><Relationship Id="rId39" Type="http://schemas.openxmlformats.org/officeDocument/2006/relationships/hyperlink" Target="http://www.nevo.co.il/case/28403510" TargetMode="External"/><Relationship Id="rId40" Type="http://schemas.openxmlformats.org/officeDocument/2006/relationships/hyperlink" Target="http://www.nevo.co.il/case/23827604" TargetMode="External"/><Relationship Id="rId41" Type="http://schemas.openxmlformats.org/officeDocument/2006/relationships/hyperlink" Target="http://www.nevo.co.il/case/22841413" TargetMode="External"/><Relationship Id="rId42" Type="http://schemas.openxmlformats.org/officeDocument/2006/relationships/hyperlink" Target="http://www.nevo.co.il/case/26797877" TargetMode="External"/><Relationship Id="rId43" Type="http://schemas.openxmlformats.org/officeDocument/2006/relationships/hyperlink" Target="http://www.nevo.co.il/case/28437031" TargetMode="External"/><Relationship Id="rId44" Type="http://schemas.openxmlformats.org/officeDocument/2006/relationships/hyperlink" Target="http://www.nevo.co.il/case/28226828" TargetMode="External"/><Relationship Id="rId45" Type="http://schemas.openxmlformats.org/officeDocument/2006/relationships/hyperlink" Target="http://www.nevo.co.il/case/21644133" TargetMode="External"/><Relationship Id="rId46" Type="http://schemas.openxmlformats.org/officeDocument/2006/relationships/hyperlink" Target="http://www.nevo.co.il/case/5590641" TargetMode="External"/><Relationship Id="rId47" Type="http://schemas.openxmlformats.org/officeDocument/2006/relationships/hyperlink" Target="http://www.nevo.co.il/case/21479956" TargetMode="External"/><Relationship Id="rId48" Type="http://schemas.openxmlformats.org/officeDocument/2006/relationships/hyperlink" Target="http://www.nevo.co.il/case/6247752" TargetMode="External"/><Relationship Id="rId49" Type="http://schemas.openxmlformats.org/officeDocument/2006/relationships/hyperlink" Target="http://www.nevo.co.il/case/17948130" TargetMode="External"/><Relationship Id="rId50" Type="http://schemas.openxmlformats.org/officeDocument/2006/relationships/hyperlink" Target="http://www.nevo.co.il/case/27309272" TargetMode="External"/><Relationship Id="rId51" Type="http://schemas.openxmlformats.org/officeDocument/2006/relationships/hyperlink" Target="http://www.nevo.co.il/case/13104267" TargetMode="External"/><Relationship Id="rId52" Type="http://schemas.openxmlformats.org/officeDocument/2006/relationships/hyperlink" Target="http://www.nevo.co.il/case/20245898" TargetMode="External"/><Relationship Id="rId53" Type="http://schemas.openxmlformats.org/officeDocument/2006/relationships/hyperlink" Target="http://www.nevo.co.il/case/20033641" TargetMode="External"/><Relationship Id="rId54" Type="http://schemas.openxmlformats.org/officeDocument/2006/relationships/hyperlink" Target="http://www.nevo.co.il/case/27268002" TargetMode="External"/><Relationship Id="rId55" Type="http://schemas.openxmlformats.org/officeDocument/2006/relationships/hyperlink" Target="http://www.nevo.co.il/case/20031943" TargetMode="External"/><Relationship Id="rId56" Type="http://schemas.openxmlformats.org/officeDocument/2006/relationships/hyperlink" Target="http://www.nevo.co.il/law/70301/40d.a" TargetMode="External"/><Relationship Id="rId57" Type="http://schemas.openxmlformats.org/officeDocument/2006/relationships/hyperlink" Target="http://www.nevo.co.il/law/70301/40d.b" TargetMode="External"/><Relationship Id="rId58" Type="http://schemas.openxmlformats.org/officeDocument/2006/relationships/hyperlink" Target="http://www.nevo.co.il/case/22938500" TargetMode="External"/><Relationship Id="rId59" Type="http://schemas.openxmlformats.org/officeDocument/2006/relationships/hyperlink" Target="http://www.nevo.co.il/case/25029385" TargetMode="External"/><Relationship Id="rId60" Type="http://schemas.openxmlformats.org/officeDocument/2006/relationships/hyperlink" Target="http://www.nevo.co.il/case/23506543" TargetMode="External"/><Relationship Id="rId61" Type="http://schemas.openxmlformats.org/officeDocument/2006/relationships/hyperlink" Target="http://www.nevo.co.il/case/21021192" TargetMode="External"/><Relationship Id="rId62" Type="http://schemas.openxmlformats.org/officeDocument/2006/relationships/hyperlink" Target="http://www.nevo.co.il/case/27922116" TargetMode="External"/><Relationship Id="rId63" Type="http://schemas.openxmlformats.org/officeDocument/2006/relationships/hyperlink" Target="http://www.nevo.co.il/case/5601394" TargetMode="External"/><Relationship Id="rId64" Type="http://schemas.openxmlformats.org/officeDocument/2006/relationships/hyperlink" Target="http://www.nevo.co.il/law/70301/40d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5386231" TargetMode="External"/><Relationship Id="rId67" Type="http://schemas.openxmlformats.org/officeDocument/2006/relationships/hyperlink" Target="http://www.nevo.co.il/case/23226235" TargetMode="External"/><Relationship Id="rId68" Type="http://schemas.openxmlformats.org/officeDocument/2006/relationships/hyperlink" Target="https://supreme.court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2023-05-05T03:07:00Z</dcterms:created>
  <dc:creator>h4</dc:creator>
  <dc:description/>
  <cp:keywords/>
  <dc:language>en-IL</dc:language>
  <cp:lastModifiedBy>h1</cp:lastModifiedBy>
  <cp:lastPrinted>2023-05-03T12:01:00Z</cp:lastPrinted>
  <dcterms:modified xsi:type="dcterms:W3CDTF">2023-05-05T03:07:00Z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מיכאל שיטרית;ראובן מלכה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29101865:2;26410797;25254028;28142541;27207408;21474168;28403510;23827604;22841413;26797877;28437031;28226828;21644133;5590641;21479956;6247752;17948130;27309272;13104267;20245898;20033641;27268002;20031943;22938500;25029385;23506543;21021192;27922116</vt:lpwstr>
  </property>
  <property fmtid="{D5CDD505-2E9C-101B-9397-08002B2CF9AE}" pid="9" name="CASESLISTTMP2">
    <vt:lpwstr>5601394;25386231;23226235</vt:lpwstr>
  </property>
  <property fmtid="{D5CDD505-2E9C-101B-9397-08002B2CF9AE}" pid="10" name="CITY">
    <vt:lpwstr/>
  </property>
  <property fmtid="{D5CDD505-2E9C-101B-9397-08002B2CF9AE}" pid="11" name="DATE">
    <vt:lpwstr>20230503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כשר;א' חיות;ע' פוגלמן</vt:lpwstr>
  </property>
  <property fmtid="{D5CDD505-2E9C-101B-9397-08002B2CF9AE}" pid="15" name="LAWLISTTMP1">
    <vt:lpwstr>4216/006:2;010:2;009.a:2;009.d</vt:lpwstr>
  </property>
  <property fmtid="{D5CDD505-2E9C-101B-9397-08002B2CF9AE}" pid="16" name="LAWLISTTMP2">
    <vt:lpwstr>70301/400:4;029.b;498.a;287.a;040d:2;040d.a;040d.b</vt:lpwstr>
  </property>
  <property fmtid="{D5CDD505-2E9C-101B-9397-08002B2CF9AE}" pid="17" name="LAWYER">
    <vt:lpwstr>שני פוגודה;קובי בן שעיה;עדי ריטיגשטיין אייזנר;רחל אפשטיין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בתי-משפט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77;77;77;77;77;14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ערעור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1446;1446;1446;1446;1446;333</vt:lpwstr>
  </property>
  <property fmtid="{D5CDD505-2E9C-101B-9397-08002B2CF9AE}" pid="50" name="NOSE31">
    <vt:lpwstr>מדיניות ענישה: עבירות סמים</vt:lpwstr>
  </property>
  <property fmtid="{D5CDD505-2E9C-101B-9397-08002B2CF9AE}" pid="51" name="NOSE310">
    <vt:lpwstr/>
  </property>
  <property fmtid="{D5CDD505-2E9C-101B-9397-08002B2CF9AE}" pid="52" name="NOSE32">
    <vt:lpwstr>מדיניות ענישה: שיקום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מדיניות ענישה: התערבות ערכאת ערעור</vt:lpwstr>
  </property>
  <property fmtid="{D5CDD505-2E9C-101B-9397-08002B2CF9AE}" pid="55" name="NOSE35">
    <vt:lpwstr>אחדות הענישה</vt:lpwstr>
  </property>
  <property fmtid="{D5CDD505-2E9C-101B-9397-08002B2CF9AE}" pid="56" name="NOSE36">
    <vt:lpwstr>התערבות במידת העונש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8991;14346;8994;8982;12547;2708</vt:lpwstr>
  </property>
  <property fmtid="{D5CDD505-2E9C-101B-9397-08002B2CF9AE}" pid="61" name="PADIDATE">
    <vt:lpwstr>20230504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2729;2731</vt:lpwstr>
  </property>
  <property fmtid="{D5CDD505-2E9C-101B-9397-08002B2CF9AE}" pid="67" name="PROCYEAR">
    <vt:lpwstr>22;22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410120230503</vt:lpwstr>
  </property>
  <property fmtid="{D5CDD505-2E9C-101B-9397-08002B2CF9AE}" pid="71" name="TYPE_N_DATE">
    <vt:lpwstr>41020230503</vt:lpwstr>
  </property>
  <property fmtid="{D5CDD505-2E9C-101B-9397-08002B2CF9AE}" pid="72" name="VOLUME">
    <vt:lpwstr/>
  </property>
  <property fmtid="{D5CDD505-2E9C-101B-9397-08002B2CF9AE}" pid="73" name="WORDNUMPAGES">
    <vt:lpwstr>17</vt:lpwstr>
  </property>
</Properties>
</file>