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2733/20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המערערים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בשיר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זיאד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זאייד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51306-12-18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ליבדרו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14.9.2021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גזרי הדין שהושתו על המערערים בגין ביצוע עבירות נשק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הצורך בענישה מחמירה ומרתיעה בעבירות אלה ופסק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הביא את כל השיקולים הרלבנטיים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אין הצדקה להתערבות ערכאת הערעור בעונשים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שכללו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למערער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למערער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תסקיר שירות מבחן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שבגדרו הושתו 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15,000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Cs w:val="26"/>
        </w:rPr>
        <w:t>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7,000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גזרי דין אלה הושתו על המערערים בגין הרשעתם בביצוע עבירות נשק שונות ועבירות נלוות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קרא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המערערים ביצעו עסקאות נשק ותחמושת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 גורמים בתחומי המדינה ומחוצה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עם גורמים בשטחי איו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רעה חולה זו פוקדת את מדינתנו מזה זמן ומזינה את פעולות הטרור ואת עורקי הפשיעה החמורה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המסכנים את הציבור הישראלי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סכנת נפשות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הקלות שאפיינה את מעשי הסחר והתעלמות המערערים מפוטנציאל הנזק האדיר של מעשיהם החמורים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למען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ראויים לגינוי וענישה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גל האלימות הגואה במגזר 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מצריך אף הוא לנקוט יד קשה כלפי מבצעי 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התערבות ערכאת הערעור בגזר דין שמורה למצבים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שהמקרה דנן אינו בא בגדרם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גזר הדין מחמיר עם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איננו חריג ביחס למקרים דומים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גזר הדין ניתן לאחר שקילת כל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בעמדת הפסיקה לפיה יש לנקוט ענישה מחמירה כלפי 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טענות המערער בדבר פגם שנפל בקביעת מתחם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בהם כדי לחייב התערבות בעונש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אין בו משום סטייה קיצונית מרמת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התוצאות הקשות הנגרמות כתוצאה מעבירות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הדגשת פוטנציאל הסיכון החמור לפגיעה בשלום הציבור וביטחונו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 המחמירה שקבע המחוקק לעבירות שביצעו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שכיחות התופעה שבה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ותוצאותיה ההרסניות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מחייבות את הֵרתמות המערכת המשפטית כולה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הקפדה על ענישה קשה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סחר בנשק קיים מנעד רחב של 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ומנסיבות 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למצוא בפסיקה מקרים חמורים יותר ומקרים חמורים 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מקרה ונסיבותיו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נתן דעתו על כל אותם מקרים בפסיקה והבהיר כיצד הגיע למתחם הענישה שקבע בעניינם של המערערים ואין כל הצדקה להתערבות ערכאת הערעור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גם בעונש שנגזר בתוך מתחם הענישה אין הצדקה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לתסקירי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התסקיר הוא אחד מהכלים העומדים לרשות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לצורך בחינת 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וסיכוייו 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מהתסקירים עולה כי ניתנה בהם התייחסות הולמת לנסיבות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 שירות המבחן היה אחד מִני מספר שיקולים שבחן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ניתן כי הוענק לאמור בהם משקל מכריע בעת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בהחלט רשאי היה להתחשב גם בתסקיר בקרב מכלול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נפל כל פגם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התייחס לכלל הנסיבות המקלות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הודאה ושיתוף הפעולה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ואיזן ביניהן לבין הנסיבות המחמירות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עברם הפלילי המכביד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תסקירי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 בהרתעה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ויתר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נפלה שגגה במלאכת איזון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המצריכה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שהצדיקו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דחייה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ערעור על גזר הדין של בית המשפט המחוזי בבאר שבע מיום </w:t>
      </w:r>
      <w:r>
        <w:rPr/>
        <w:t>6.2.2020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51306-12-18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ליבדרו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שבגדרו הושתו על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בשיר אבו זיאד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של </w:t>
      </w:r>
      <w:r>
        <w:rPr/>
        <w:t>15,000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האדי אבו זאייד</w:t>
      </w:r>
      <w:r>
        <w:rPr>
          <w:rtl w:val="true"/>
        </w:rPr>
        <w:t xml:space="preserve">, </w:t>
      </w:r>
      <w:r>
        <w:rPr>
          <w:rtl w:val="true"/>
        </w:rPr>
        <w:t xml:space="preserve">הושתו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של </w:t>
      </w:r>
      <w:r>
        <w:rPr/>
        <w:t>7,000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המתוקן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במהלך המשפט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שלפיו בשיר והאדי יודו במיוחס להם בכתב אישום מתוקן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 </w:t>
      </w:r>
      <w:r>
        <w:rPr>
          <w:rtl w:val="true"/>
        </w:rPr>
        <w:t xml:space="preserve">רשאים לטעון באופן חופשי </w:t>
      </w:r>
      <w:r>
        <w:rPr>
          <w:rtl w:val="true"/>
        </w:rPr>
        <w:t>ל</w:t>
      </w:r>
      <w:r>
        <w:rPr>
          <w:rtl w:val="true"/>
        </w:rPr>
        <w:t xml:space="preserve">גבי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ואציין את השתלשלות העניינים העובדתית אשר הביאה להאשמת המערערים בביצוע עבירות נשק שונות</w:t>
      </w:r>
      <w:r>
        <w:rPr>
          <w:rtl w:val="true"/>
        </w:rPr>
        <w:t xml:space="preserve">: </w:t>
      </w:r>
      <w:r>
        <w:rPr>
          <w:rtl w:val="true"/>
        </w:rPr>
        <w:t>במהלך החודשים אוגוסט</w:t>
      </w:r>
      <w:r>
        <w:rPr>
          <w:rtl w:val="true"/>
        </w:rPr>
        <w:t>-</w:t>
      </w:r>
      <w:r>
        <w:rPr>
          <w:rtl w:val="true"/>
        </w:rPr>
        <w:t xml:space="preserve">נובמבר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עסקו בשיר והאדי בפעילות ענפה של סחר באמצעי לחימה </w:t>
      </w:r>
      <w:r>
        <w:rPr>
          <w:rtl w:val="true"/>
        </w:rPr>
        <w:t>–</w:t>
      </w:r>
      <w:r>
        <w:rPr>
          <w:rtl w:val="true"/>
        </w:rPr>
        <w:t xml:space="preserve"> כלי נשק ותחמושת</w:t>
      </w:r>
      <w:r>
        <w:rPr>
          <w:rtl w:val="true"/>
        </w:rPr>
        <w:t xml:space="preserve">, </w:t>
      </w:r>
      <w:r>
        <w:rPr>
          <w:rtl w:val="true"/>
        </w:rPr>
        <w:t>מסוגים שונים</w:t>
      </w:r>
      <w:r>
        <w:rPr>
          <w:rtl w:val="true"/>
        </w:rPr>
        <w:t xml:space="preserve">, </w:t>
      </w:r>
      <w:r>
        <w:rPr>
          <w:rtl w:val="true"/>
        </w:rPr>
        <w:t>יחד עם אחרים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נתפסו השניים</w:t>
      </w:r>
      <w:r>
        <w:rPr>
          <w:rtl w:val="true"/>
        </w:rPr>
        <w:t xml:space="preserve">, </w:t>
      </w:r>
      <w:r>
        <w:rPr>
          <w:rtl w:val="true"/>
        </w:rPr>
        <w:t>והוגשו נגדם כתבי אישום</w:t>
      </w:r>
      <w:r>
        <w:rPr>
          <w:rtl w:val="true"/>
        </w:rPr>
        <w:t xml:space="preserve">, </w:t>
      </w:r>
      <w:r>
        <w:rPr>
          <w:rtl w:val="true"/>
        </w:rPr>
        <w:t>אשר כללו מספר אישומים</w:t>
      </w:r>
      <w:r>
        <w:rPr>
          <w:rtl w:val="true"/>
        </w:rPr>
        <w:t xml:space="preserve">; </w:t>
      </w:r>
      <w:r>
        <w:rPr>
          <w:rtl w:val="true"/>
        </w:rPr>
        <w:t>כל אחד כפי מעשיו ופעולותיו</w:t>
      </w:r>
      <w:r>
        <w:rPr>
          <w:rtl w:val="true"/>
        </w:rPr>
        <w:t xml:space="preserve">. </w:t>
      </w:r>
      <w:r>
        <w:rPr>
          <w:rtl w:val="true"/>
        </w:rPr>
        <w:t>בפרשה הנדונה בה היו מעורבים בשיר והאדי</w:t>
      </w:r>
      <w:r>
        <w:rPr>
          <w:rtl w:val="true"/>
        </w:rPr>
        <w:t xml:space="preserve">, </w:t>
      </w:r>
      <w:r>
        <w:rPr>
          <w:rtl w:val="true"/>
        </w:rPr>
        <w:t>נתפסו והורשעו נאשמים נוספים</w:t>
      </w:r>
      <w:r>
        <w:rPr>
          <w:rtl w:val="true"/>
        </w:rPr>
        <w:t xml:space="preserve">; </w:t>
      </w:r>
      <w:r>
        <w:rPr>
          <w:rtl w:val="true"/>
        </w:rPr>
        <w:t>אלו אינם מעניינו של ערעור זה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תחילה לכתב האישום המתוקן שהוגש נגד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</w:t>
      </w:r>
      <w:r>
        <w:rPr>
          <w:rtl w:val="true"/>
        </w:rPr>
        <w:t xml:space="preserve">: </w:t>
      </w:r>
      <w:r>
        <w:rPr>
          <w:rtl w:val="true"/>
        </w:rPr>
        <w:t>במסגרת האישום הראשון צויין</w:t>
      </w:r>
      <w:r>
        <w:rPr>
          <w:rtl w:val="true"/>
        </w:rPr>
        <w:t xml:space="preserve">, </w:t>
      </w:r>
      <w:r>
        <w:rPr>
          <w:rtl w:val="true"/>
        </w:rPr>
        <w:t>כי בתקופה הרלבנטית</w:t>
      </w:r>
      <w:r>
        <w:rPr>
          <w:rtl w:val="true"/>
        </w:rPr>
        <w:t xml:space="preserve">, </w:t>
      </w:r>
      <w:r>
        <w:rPr>
          <w:rtl w:val="true"/>
        </w:rPr>
        <w:t>רכש בשיר</w:t>
      </w:r>
      <w:r>
        <w:rPr>
          <w:rtl w:val="true"/>
        </w:rPr>
        <w:t xml:space="preserve">, </w:t>
      </w:r>
      <w:r>
        <w:rPr>
          <w:rtl w:val="true"/>
        </w:rPr>
        <w:t>במועדים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אלפי קליעים המשמשים תחמושת לרובי סער </w:t>
      </w:r>
      <w:r>
        <w:rPr>
          <w:rFonts w:cs="Times New Roman"/>
        </w:rPr>
        <w:t>M-16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ומקלעי </w:t>
      </w:r>
      <w:r>
        <w:rPr>
          <w:rtl w:val="true"/>
        </w:rPr>
        <w:t>'</w:t>
      </w:r>
      <w:r>
        <w:rPr>
          <w:rtl w:val="true"/>
        </w:rPr>
        <w:t>מאג</w:t>
      </w:r>
      <w:r>
        <w:rPr>
          <w:rtl w:val="true"/>
        </w:rPr>
        <w:t xml:space="preserve">', </w:t>
      </w:r>
      <w:r>
        <w:rPr>
          <w:rtl w:val="true"/>
        </w:rPr>
        <w:t xml:space="preserve">וכן גם חלקי רובים מסוג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בהמשך מכר בשיר את כל אלה לגורמים שונים בחברון</w:t>
      </w:r>
      <w:r>
        <w:rPr>
          <w:rtl w:val="true"/>
        </w:rPr>
        <w:t xml:space="preserve">, </w:t>
      </w:r>
      <w:r>
        <w:rPr>
          <w:rtl w:val="true"/>
        </w:rPr>
        <w:t xml:space="preserve">בתמורה לכמה אלפי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בשיר עמד בקשר שיטתי עם גורמים אלה</w:t>
      </w:r>
      <w:r>
        <w:rPr>
          <w:rtl w:val="true"/>
        </w:rPr>
        <w:t xml:space="preserve">, </w:t>
      </w:r>
      <w:r>
        <w:rPr>
          <w:rtl w:val="true"/>
        </w:rPr>
        <w:t>הוביל את אמצעי הלחימה ברכבו</w:t>
      </w:r>
      <w:r>
        <w:rPr>
          <w:rtl w:val="true"/>
        </w:rPr>
        <w:t xml:space="preserve">, </w:t>
      </w:r>
      <w:r>
        <w:rPr>
          <w:rtl w:val="true"/>
        </w:rPr>
        <w:t>וביצע את עסקאות המכירה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30.11.2018</w:t>
      </w:r>
      <w:r>
        <w:rPr>
          <w:rtl w:val="true"/>
        </w:rPr>
        <w:t xml:space="preserve">, </w:t>
      </w:r>
      <w:r>
        <w:rPr>
          <w:rtl w:val="true"/>
        </w:rPr>
        <w:t>נסע בשיר לחברון</w:t>
      </w:r>
      <w:r>
        <w:rPr>
          <w:rtl w:val="true"/>
        </w:rPr>
        <w:t xml:space="preserve">, </w:t>
      </w:r>
      <w:r>
        <w:rPr>
          <w:rtl w:val="true"/>
        </w:rPr>
        <w:t xml:space="preserve">כדי להשלים עסקת נשק </w:t>
      </w:r>
      <w:r>
        <w:rPr>
          <w:rtl w:val="true"/>
        </w:rPr>
        <w:t>–</w:t>
      </w:r>
      <w:r>
        <w:rPr>
          <w:rtl w:val="true"/>
        </w:rPr>
        <w:t xml:space="preserve"> אחת מני רבות שביצע באותה תקופה</w:t>
      </w:r>
      <w:r>
        <w:rPr>
          <w:rtl w:val="true"/>
        </w:rPr>
        <w:t xml:space="preserve">. </w:t>
      </w:r>
      <w:r>
        <w:rPr>
          <w:rtl w:val="true"/>
        </w:rPr>
        <w:t>בעודו ממתין לחציית מעבר מיתר</w:t>
      </w:r>
      <w:r>
        <w:rPr>
          <w:rtl w:val="true"/>
        </w:rPr>
        <w:t xml:space="preserve">, </w:t>
      </w:r>
      <w:r>
        <w:rPr>
          <w:rtl w:val="true"/>
        </w:rPr>
        <w:t>נערכה בדיקה שגרתית ברכבו</w:t>
      </w:r>
      <w:r>
        <w:rPr>
          <w:rtl w:val="true"/>
        </w:rPr>
        <w:t xml:space="preserve">, </w:t>
      </w:r>
      <w:r>
        <w:rPr>
          <w:rtl w:val="true"/>
        </w:rPr>
        <w:t>ובמהלכה נתפסו ברשותו כ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 xml:space="preserve">קליעי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שיועדו למכירה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האישום השני</w:t>
      </w:r>
      <w:r>
        <w:rPr>
          <w:rtl w:val="true"/>
        </w:rPr>
        <w:t xml:space="preserve">, </w:t>
      </w:r>
      <w:r>
        <w:rPr>
          <w:rtl w:val="true"/>
        </w:rPr>
        <w:t>במספר מועדים ביצע בשיר עסקאות רכישה ומכירה של כלי</w:t>
      </w:r>
      <w:r>
        <w:rPr>
          <w:rtl w:val="true"/>
        </w:rPr>
        <w:t>-</w:t>
      </w:r>
      <w:r>
        <w:rPr>
          <w:rtl w:val="true"/>
        </w:rPr>
        <w:t>נשק דמויי תת</w:t>
      </w:r>
      <w:r>
        <w:rPr>
          <w:rtl w:val="true"/>
        </w:rPr>
        <w:t>-</w:t>
      </w:r>
      <w:r>
        <w:rPr>
          <w:rtl w:val="true"/>
        </w:rPr>
        <w:t xml:space="preserve">מקלע מסוג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', </w:t>
      </w:r>
      <w:r>
        <w:rPr>
          <w:rtl w:val="true"/>
        </w:rPr>
        <w:t xml:space="preserve">וכן אקדח אחד מסוג </w:t>
      </w:r>
      <w:r>
        <w:rPr>
          <w:rtl w:val="true"/>
        </w:rPr>
        <w:t>'</w:t>
      </w:r>
      <w:r>
        <w:rPr>
          <w:rtl w:val="true"/>
        </w:rPr>
        <w:t>סטאר</w:t>
      </w:r>
      <w:r>
        <w:rPr>
          <w:rtl w:val="true"/>
        </w:rPr>
        <w:t xml:space="preserve">', </w:t>
      </w:r>
      <w:r>
        <w:rPr>
          <w:rtl w:val="true"/>
        </w:rPr>
        <w:t xml:space="preserve">עסקאות אשר הסתכמו בכמה עשרות אלפי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גם עסקאות אלה בוצעו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עם גורמים שונים 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כתב האישום המתוקן שהוגש נגד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האדי</w:t>
      </w:r>
      <w:r>
        <w:rPr>
          <w:rtl w:val="true"/>
        </w:rPr>
        <w:t xml:space="preserve"> במסגרת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51438-12-18</w:t>
        </w:r>
      </w:hyperlink>
      <w:r>
        <w:rPr>
          <w:rtl w:val="true"/>
        </w:rPr>
        <w:t xml:space="preserve">, </w:t>
      </w:r>
      <w:r>
        <w:rPr>
          <w:rtl w:val="true"/>
        </w:rPr>
        <w:t>אשר אוחד בהמשך עם ההליך מושא הערעור</w:t>
      </w:r>
      <w:r>
        <w:rPr>
          <w:rtl w:val="true"/>
        </w:rPr>
        <w:t xml:space="preserve">, </w:t>
      </w:r>
      <w:r>
        <w:rPr>
          <w:rtl w:val="true"/>
        </w:rPr>
        <w:t>התייחס לעבירות של סחר באמצעי לחימה</w:t>
      </w:r>
      <w:r>
        <w:rPr>
          <w:rtl w:val="true"/>
        </w:rPr>
        <w:t xml:space="preserve">, </w:t>
      </w:r>
      <w:r>
        <w:rPr>
          <w:rtl w:val="true"/>
        </w:rPr>
        <w:t>אשר בוצעו בחלקן יחד עם בשיר</w:t>
      </w:r>
      <w:r>
        <w:rPr>
          <w:rtl w:val="true"/>
        </w:rPr>
        <w:t xml:space="preserve">. </w:t>
      </w:r>
      <w:r>
        <w:rPr>
          <w:rtl w:val="true"/>
        </w:rPr>
        <w:t>במסגרת האישום הראשון צויין</w:t>
      </w:r>
      <w:r>
        <w:rPr>
          <w:rtl w:val="true"/>
        </w:rPr>
        <w:t xml:space="preserve">, </w:t>
      </w:r>
      <w:r>
        <w:rPr>
          <w:rtl w:val="true"/>
        </w:rPr>
        <w:t>כי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מועדים שונים מכר האדי לבשיר אלפי קליעי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ובחלק מן המקרים אף נסע עמו לחברון לצורך מכירת התחמושת לאחרים</w:t>
      </w:r>
      <w:r>
        <w:rPr>
          <w:rtl w:val="true"/>
        </w:rPr>
        <w:t xml:space="preserve">. </w:t>
      </w:r>
      <w:r>
        <w:rPr>
          <w:rtl w:val="true"/>
        </w:rPr>
        <w:t>האדי מכר תחמושת מסוג זה גם לגורמים שונים בשכם</w:t>
      </w:r>
      <w:r>
        <w:rPr>
          <w:rtl w:val="true"/>
        </w:rPr>
        <w:t xml:space="preserve">, </w:t>
      </w:r>
      <w:r>
        <w:rPr>
          <w:rtl w:val="true"/>
        </w:rPr>
        <w:t>וכמו כן החזיק בביתו שברהט כוונת רובה טלסקופית וסמן לייזר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האישום השני ביצע האדי מספר עסקאות רכישה ומכירה של כלי נשק שונים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tl w:val="true"/>
        </w:rPr>
        <w:t xml:space="preserve">: </w:t>
      </w:r>
      <w:r>
        <w:rPr>
          <w:rtl w:val="true"/>
        </w:rPr>
        <w:t xml:space="preserve">נשק מסוג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 </w:t>
      </w:r>
      <w:r>
        <w:rPr>
          <w:rtl w:val="true"/>
        </w:rPr>
        <w:t>ומספר אקדחים</w:t>
      </w:r>
      <w:r>
        <w:rPr>
          <w:rtl w:val="true"/>
        </w:rPr>
        <w:t xml:space="preserve">, </w:t>
      </w:r>
      <w:r>
        <w:rPr>
          <w:rtl w:val="true"/>
        </w:rPr>
        <w:t xml:space="preserve">בסכום כולל העולה על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אלף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עסקאות אלה בוצעו בתוככי ישראל</w:t>
      </w:r>
      <w:r>
        <w:rPr>
          <w:rtl w:val="true"/>
        </w:rPr>
        <w:t xml:space="preserve">, </w:t>
      </w:r>
      <w:r>
        <w:rPr>
          <w:rtl w:val="true"/>
        </w:rPr>
        <w:t>וגם עם גורמים שונים בשטחי 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23.5.2019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בשיר ואת האדי </w:t>
      </w:r>
      <w:r>
        <w:rPr>
          <w:rtl w:val="true"/>
        </w:rPr>
        <w:t>–</w:t>
      </w:r>
      <w:r>
        <w:rPr>
          <w:rtl w:val="true"/>
        </w:rPr>
        <w:t xml:space="preserve"> על</w:t>
      </w:r>
      <w:r>
        <w:rPr>
          <w:rtl w:val="true"/>
        </w:rPr>
        <w:t>-</w:t>
      </w:r>
      <w:r>
        <w:rPr>
          <w:rtl w:val="true"/>
        </w:rPr>
        <w:t xml:space="preserve">פי הודאתם </w:t>
      </w:r>
      <w:r>
        <w:rPr>
          <w:rtl w:val="true"/>
        </w:rPr>
        <w:t>–</w:t>
      </w:r>
      <w:r>
        <w:rPr>
          <w:rtl w:val="true"/>
        </w:rPr>
        <w:t xml:space="preserve"> באישומים שהואשמו בהם</w:t>
      </w:r>
      <w:r>
        <w:rPr>
          <w:rtl w:val="true"/>
        </w:rPr>
        <w:t xml:space="preserve">, </w:t>
      </w:r>
      <w:r>
        <w:rPr>
          <w:rtl w:val="true"/>
        </w:rPr>
        <w:t>כמתואר בכתבי האישום המתוקנים</w:t>
      </w:r>
      <w:r>
        <w:rPr>
          <w:rtl w:val="true"/>
        </w:rPr>
        <w:t xml:space="preserve">. </w:t>
      </w:r>
      <w:r>
        <w:rPr>
          <w:rtl w:val="true"/>
        </w:rPr>
        <w:t>השניים הורשעו אפוא</w:t>
      </w:r>
      <w:r>
        <w:rPr>
          <w:rtl w:val="true"/>
        </w:rPr>
        <w:t xml:space="preserve">, </w:t>
      </w: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בביצוע עבירות נשק שונות</w:t>
      </w:r>
      <w:r>
        <w:rPr>
          <w:rtl w:val="true"/>
        </w:rPr>
        <w:t xml:space="preserve">, </w:t>
      </w:r>
      <w:r>
        <w:rPr>
          <w:rtl w:val="true"/>
        </w:rPr>
        <w:t>רבות ומגוונות</w:t>
      </w:r>
      <w:r>
        <w:rPr>
          <w:rtl w:val="true"/>
        </w:rPr>
        <w:t xml:space="preserve">, </w:t>
      </w:r>
      <w:r>
        <w:rPr>
          <w:rtl w:val="true"/>
        </w:rPr>
        <w:t>ובביצוע עבירות נלוות נוספות</w:t>
      </w:r>
      <w:r>
        <w:rPr>
          <w:rtl w:val="true"/>
        </w:rPr>
        <w:t xml:space="preserve">. </w:t>
      </w: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לשלב גזירת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עמד על כך שמדובר בפרשת נשק מסועפת ומורכבת</w:t>
      </w:r>
      <w:r>
        <w:rPr>
          <w:rtl w:val="true"/>
        </w:rPr>
        <w:t xml:space="preserve">, </w:t>
      </w:r>
      <w:r>
        <w:rPr>
          <w:rtl w:val="true"/>
        </w:rPr>
        <w:t>שעניינה בביצוע עבירות נשק רבות</w:t>
      </w:r>
      <w:r>
        <w:rPr>
          <w:rtl w:val="true"/>
        </w:rPr>
        <w:t xml:space="preserve">, </w:t>
      </w:r>
      <w:r>
        <w:rPr>
          <w:rtl w:val="true"/>
        </w:rPr>
        <w:t>מסוגים שונים</w:t>
      </w:r>
      <w:r>
        <w:rPr>
          <w:rtl w:val="true"/>
        </w:rPr>
        <w:t xml:space="preserve">, </w:t>
      </w:r>
      <w:r>
        <w:rPr>
          <w:rtl w:val="true"/>
        </w:rPr>
        <w:t>שבמרכזן עבירות של סחר שיטתי בנשק ותחמושת בין הנאשמים עצמם</w:t>
      </w:r>
      <w:r>
        <w:rPr>
          <w:rtl w:val="true"/>
        </w:rPr>
        <w:t xml:space="preserve">, </w:t>
      </w:r>
      <w:r>
        <w:rPr>
          <w:rtl w:val="true"/>
        </w:rPr>
        <w:t xml:space="preserve">ובין הנאשמים לגורמים חיצוניים </w:t>
      </w:r>
      <w:r>
        <w:rPr>
          <w:rtl w:val="true"/>
        </w:rPr>
        <w:t>–</w:t>
      </w:r>
      <w:r>
        <w:rPr>
          <w:rtl w:val="true"/>
        </w:rPr>
        <w:t xml:space="preserve"> חלקם בתחומי ישראל</w:t>
      </w:r>
      <w:r>
        <w:rPr>
          <w:rtl w:val="true"/>
        </w:rPr>
        <w:t xml:space="preserve">, </w:t>
      </w:r>
      <w:r>
        <w:rPr>
          <w:rtl w:val="true"/>
        </w:rPr>
        <w:t>חלקם בתחומי 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בית המשפט המחוזי הבהיר</w:t>
      </w:r>
      <w:r>
        <w:rPr>
          <w:rtl w:val="true"/>
        </w:rPr>
        <w:t xml:space="preserve">, </w:t>
      </w:r>
      <w:r>
        <w:rPr>
          <w:rtl w:val="true"/>
        </w:rPr>
        <w:t>כי לא קיימת חפיפה מלאה בין העובדות והעבירות שיוחסו לנאשמים</w:t>
      </w:r>
      <w:r>
        <w:rPr>
          <w:rtl w:val="true"/>
        </w:rPr>
        <w:t xml:space="preserve">, </w:t>
      </w:r>
      <w:r>
        <w:rPr>
          <w:rtl w:val="true"/>
        </w:rPr>
        <w:t>וכי כל עונש שיוטל</w:t>
      </w:r>
      <w:r>
        <w:rPr>
          <w:rtl w:val="true"/>
        </w:rPr>
        <w:t xml:space="preserve">, </w:t>
      </w:r>
      <w:r>
        <w:rPr>
          <w:rtl w:val="true"/>
        </w:rPr>
        <w:t>יתבסס אך על העבירות והעובדות שיוחסו לאותו נאשם בכתב האישום</w:t>
      </w:r>
      <w:r>
        <w:rPr>
          <w:rtl w:val="true"/>
        </w:rPr>
        <w:t xml:space="preserve">; </w:t>
      </w:r>
      <w:r>
        <w:rPr>
          <w:rtl w:val="true"/>
        </w:rPr>
        <w:t>כל אחד כפי הודאתו ובהתאם להרשעתו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מתחמי עונש שונים לבשיר והאדי</w:t>
      </w:r>
      <w:r>
        <w:rPr>
          <w:rtl w:val="true"/>
        </w:rPr>
        <w:t xml:space="preserve">. </w:t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הערכים המוגנים שנפגעו ואת מידת הפגיעה בהם</w:t>
      </w:r>
      <w:r>
        <w:rPr>
          <w:rtl w:val="true"/>
        </w:rPr>
        <w:t xml:space="preserve">;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שזו עולה מפסקי דין קודמים</w:t>
      </w:r>
      <w:r>
        <w:rPr>
          <w:rtl w:val="true"/>
        </w:rPr>
        <w:t xml:space="preserve">; </w:t>
      </w:r>
      <w:r>
        <w:rPr>
          <w:rtl w:val="true"/>
        </w:rPr>
        <w:t>ואת הנסיבות הנוגעות לביצוע העבירות מושא האישומים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עמד על כך</w:t>
      </w:r>
      <w:r>
        <w:rPr>
          <w:rtl w:val="true"/>
        </w:rPr>
        <w:t xml:space="preserve">, </w:t>
      </w:r>
      <w:r>
        <w:rPr>
          <w:rtl w:val="true"/>
        </w:rPr>
        <w:t>שבשיר והאדי פגעו בערכים המוגנים של שמירה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ובתוך כך גם פגעו בסדר הציבורי</w:t>
      </w:r>
      <w:r>
        <w:rPr>
          <w:rtl w:val="true"/>
        </w:rPr>
        <w:t xml:space="preserve">. </w:t>
      </w:r>
      <w:r>
        <w:rPr>
          <w:rtl w:val="true"/>
        </w:rPr>
        <w:t>בית המשפט המחוזי הדגיש את החומרה היתרה שבעבירות נשק</w:t>
      </w:r>
      <w:r>
        <w:rPr>
          <w:rtl w:val="true"/>
        </w:rPr>
        <w:t xml:space="preserve">, </w:t>
      </w:r>
      <w:r>
        <w:rPr>
          <w:rtl w:val="true"/>
        </w:rPr>
        <w:t>וכן את העובדה כי מדובר בעבירות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פוטנציאל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הוסיף בית המשפט 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ומפוקחים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לאומניות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ביטחוניו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בקליע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בטחונו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תושבי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הפלשתינאית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בהתייחס לנסיבות הספציפיות הנוגעות לעבירות מושא האישומים</w:t>
      </w:r>
      <w:r>
        <w:rPr>
          <w:rtl w:val="true"/>
        </w:rPr>
        <w:t xml:space="preserve">, </w:t>
      </w:r>
      <w:r>
        <w:rPr>
          <w:rtl w:val="true"/>
        </w:rPr>
        <w:t>נתן בית המשפט המחוזי את דעתו על כך שמדובר בפרשה של סחר סדרתי בכלי נשק ותחמושת</w:t>
      </w:r>
      <w:r>
        <w:rPr>
          <w:rtl w:val="true"/>
        </w:rPr>
        <w:t xml:space="preserve">; </w:t>
      </w:r>
      <w:r>
        <w:rPr>
          <w:rtl w:val="true"/>
        </w:rPr>
        <w:t>כי בשיר והאדי סחרו 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דבר יום ביומו</w:t>
      </w:r>
      <w:r>
        <w:rPr>
          <w:rtl w:val="true"/>
        </w:rPr>
        <w:t xml:space="preserve">, </w:t>
      </w:r>
      <w:r>
        <w:rPr>
          <w:rtl w:val="true"/>
        </w:rPr>
        <w:t>ואימצו את עבירות הנשק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כאורח חיים</w:t>
      </w:r>
      <w:r>
        <w:rPr>
          <w:rtl w:val="true"/>
        </w:rPr>
        <w:t xml:space="preserve">, </w:t>
      </w:r>
      <w:r>
        <w:rPr>
          <w:rtl w:val="true"/>
        </w:rPr>
        <w:t xml:space="preserve">כעיסוק </w:t>
      </w:r>
      <w:r>
        <w:rPr>
          <w:rtl w:val="true"/>
        </w:rPr>
        <w:t>'</w:t>
      </w:r>
      <w:r>
        <w:rPr>
          <w:rtl w:val="true"/>
        </w:rPr>
        <w:t>לגיטימי</w:t>
      </w:r>
      <w:r>
        <w:rPr>
          <w:rtl w:val="true"/>
        </w:rPr>
        <w:t xml:space="preserve">'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ממניעים של בצע כסף</w:t>
      </w:r>
      <w:r>
        <w:rPr>
          <w:rtl w:val="true"/>
        </w:rPr>
        <w:t xml:space="preserve">; </w:t>
      </w:r>
      <w:r>
        <w:rPr>
          <w:rtl w:val="true"/>
        </w:rPr>
        <w:t>כי בשיר והאדי ניהלו קשר מסועף של סחר</w:t>
      </w:r>
      <w:r>
        <w:rPr>
          <w:rtl w:val="true"/>
        </w:rPr>
        <w:t>-</w:t>
      </w:r>
      <w:r>
        <w:rPr>
          <w:rtl w:val="true"/>
        </w:rPr>
        <w:t>מכר בינם לבין עצמם</w:t>
      </w:r>
      <w:r>
        <w:rPr>
          <w:rtl w:val="true"/>
        </w:rPr>
        <w:t xml:space="preserve">, </w:t>
      </w:r>
      <w:r>
        <w:rPr>
          <w:rtl w:val="true"/>
        </w:rPr>
        <w:t>ובינם לגורמים חיצוניים</w:t>
      </w:r>
      <w:r>
        <w:rPr>
          <w:rtl w:val="true"/>
        </w:rPr>
        <w:t xml:space="preserve">, </w:t>
      </w:r>
      <w:r>
        <w:rPr>
          <w:rtl w:val="true"/>
        </w:rPr>
        <w:t>מבלי שנרתעו מלקיים קשרים גם עם גורמים 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תוך העברת כמויות נכבדות של תחמושת ונשק מתחומי איו</w:t>
      </w:r>
      <w:r>
        <w:rPr>
          <w:rtl w:val="true"/>
        </w:rPr>
        <w:t>"</w:t>
      </w:r>
      <w:r>
        <w:rPr>
          <w:rtl w:val="true"/>
        </w:rPr>
        <w:t>ש ואליו</w:t>
      </w:r>
      <w:r>
        <w:rPr>
          <w:rtl w:val="true"/>
        </w:rPr>
        <w:t xml:space="preserve">, </w:t>
      </w:r>
      <w:r>
        <w:rPr>
          <w:rtl w:val="true"/>
        </w:rPr>
        <w:t>הכל כחלק מתכנון מדוקדק בכל עסקה ועסקה</w:t>
      </w:r>
      <w:r>
        <w:rPr>
          <w:rtl w:val="true"/>
        </w:rPr>
        <w:t xml:space="preserve">. </w:t>
      </w:r>
      <w:r>
        <w:rPr>
          <w:rtl w:val="true"/>
        </w:rPr>
        <w:t>בית המשפט המחוזי הדגיש</w:t>
      </w:r>
      <w:r>
        <w:rPr>
          <w:rtl w:val="true"/>
        </w:rPr>
        <w:t xml:space="preserve">, </w:t>
      </w:r>
      <w:r>
        <w:rPr>
          <w:rtl w:val="true"/>
        </w:rPr>
        <w:t>כי בשיר והאדי לא נמנעו מלסחור בכל כלי נשק או תחמושת שנקרו לידיהם</w:t>
      </w:r>
      <w:r>
        <w:rPr>
          <w:rtl w:val="true"/>
        </w:rPr>
        <w:t xml:space="preserve">, </w:t>
      </w:r>
      <w:r>
        <w:rPr>
          <w:rtl w:val="true"/>
        </w:rPr>
        <w:t>בעת שסחרו והובילו אמצעים אלה</w:t>
      </w:r>
      <w:r>
        <w:rPr>
          <w:rtl w:val="true"/>
        </w:rPr>
        <w:t xml:space="preserve">, </w:t>
      </w:r>
      <w:r>
        <w:rPr>
          <w:rtl w:val="true"/>
        </w:rPr>
        <w:t>כשהם מוחבאים ברכבם</w:t>
      </w:r>
      <w:r>
        <w:rPr>
          <w:rtl w:val="true"/>
        </w:rPr>
        <w:t xml:space="preserve">, </w:t>
      </w:r>
      <w:r>
        <w:rPr>
          <w:rtl w:val="true"/>
        </w:rPr>
        <w:t>דרך מחסומי המעבר לתוך תחומי 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מבלי להקדיש מחשבה לסכנות הנובעות מכך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גם על כך שמידת הפגיעה בערכים המוגנים במה שעשו בשיר והאדי היא גבוהה</w:t>
      </w:r>
      <w:r>
        <w:rPr>
          <w:rtl w:val="true"/>
        </w:rPr>
        <w:t xml:space="preserve">, </w:t>
      </w:r>
      <w:r>
        <w:rPr>
          <w:rtl w:val="true"/>
        </w:rPr>
        <w:t>בשים לב לריבוי עבירות הנשק שבהן הורשעו השניים</w:t>
      </w:r>
      <w:r>
        <w:rPr>
          <w:rtl w:val="true"/>
        </w:rPr>
        <w:t xml:space="preserve">, </w:t>
      </w:r>
      <w:r>
        <w:rPr>
          <w:rtl w:val="true"/>
        </w:rPr>
        <w:t>להיקף העסקאות</w:t>
      </w:r>
      <w:r>
        <w:rPr>
          <w:rtl w:val="true"/>
        </w:rPr>
        <w:t xml:space="preserve">, </w:t>
      </w:r>
      <w:r>
        <w:rPr>
          <w:rtl w:val="true"/>
        </w:rPr>
        <w:t>ולתדירותן הרבה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יִחס משקל לכך שבחלק מהעסקאות סחרו השניים בתחמושת ובאביזרי כלי נשק</w:t>
      </w:r>
      <w:r>
        <w:rPr>
          <w:rtl w:val="true"/>
        </w:rPr>
        <w:t xml:space="preserve">, </w:t>
      </w:r>
      <w:r>
        <w:rPr>
          <w:rtl w:val="true"/>
        </w:rPr>
        <w:t>ולא בנשק עצמו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אחר זאת ציין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אמנם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מהנאשמים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לחלקו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סבורני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שיוחסו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ובסמיכות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ההדוק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'"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ולאחר ששקל את 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בעניינו של בשיר על </w:t>
      </w:r>
      <w:r>
        <w:rPr/>
        <w:t>12-7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ובעניינו של האדי על </w:t>
      </w:r>
      <w:r>
        <w:rPr/>
        <w:t>11-6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 פנה בית המשפט המחוזי לסקור את מדיניות הענישה הנוהגת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ובהקשר זה ציין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הנגזרים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כפי שזו באה לידי ביטוי בשורה של פסקי דין</w:t>
      </w:r>
      <w:r>
        <w:rPr>
          <w:rtl w:val="true"/>
        </w:rPr>
        <w:t xml:space="preserve">, </w:t>
      </w:r>
      <w:r>
        <w:rPr>
          <w:rtl w:val="true"/>
        </w:rPr>
        <w:t>שיצאו מלפני בית משפט זה</w:t>
      </w:r>
      <w:r>
        <w:rPr>
          <w:rtl w:val="true"/>
        </w:rPr>
        <w:t xml:space="preserve">, </w:t>
      </w:r>
      <w:r>
        <w:rPr>
          <w:rtl w:val="true"/>
        </w:rPr>
        <w:t>בשנים האחרונות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ותלויית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/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התחמושת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ואופיים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פוטנציאל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מנשקים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ועוד</w:t>
      </w:r>
      <w:r>
        <w:rPr>
          <w:rtl w:val="true"/>
        </w:rPr>
        <w:t xml:space="preserve">". </w:t>
      </w:r>
      <w:r>
        <w:rPr>
          <w:rtl w:val="true"/>
        </w:rPr>
        <w:t>בית המשפט המחוזי סקר את פסקי הדין שהביאו ב</w:t>
      </w:r>
      <w:r>
        <w:rPr>
          <w:rtl w:val="true"/>
        </w:rPr>
        <w:t>"</w:t>
      </w:r>
      <w:r>
        <w:rPr>
          <w:rtl w:val="true"/>
        </w:rPr>
        <w:t>כ הצדדים לעיונו</w:t>
      </w:r>
      <w:r>
        <w:rPr>
          <w:rtl w:val="true"/>
        </w:rPr>
        <w:t xml:space="preserve">, </w:t>
      </w:r>
      <w:r>
        <w:rPr>
          <w:rtl w:val="true"/>
        </w:rPr>
        <w:t>ובהם נגזרו עונשים חמורים יותר וחמורים פחות</w:t>
      </w:r>
      <w:r>
        <w:rPr>
          <w:rtl w:val="true"/>
        </w:rPr>
        <w:t xml:space="preserve">, </w:t>
      </w:r>
      <w:r>
        <w:rPr>
          <w:rtl w:val="true"/>
        </w:rPr>
        <w:t>ובמסגרת זו עמד על קווי הדמיון והשוני בין המקרים האמורים</w:t>
      </w:r>
      <w:r>
        <w:rPr>
          <w:rtl w:val="true"/>
        </w:rPr>
        <w:t xml:space="preserve">, </w:t>
      </w:r>
      <w:r>
        <w:rPr>
          <w:rtl w:val="true"/>
        </w:rPr>
        <w:t>למקרה דנן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שקבע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ומשלא מצא מקום לסטות ממנו</w:t>
      </w:r>
      <w:r>
        <w:rPr>
          <w:rtl w:val="true"/>
        </w:rPr>
        <w:t xml:space="preserve">, </w:t>
      </w:r>
      <w:r>
        <w:rPr>
          <w:rtl w:val="true"/>
        </w:rPr>
        <w:t xml:space="preserve">פנה בית המשפט המחוזי לגזור את </w:t>
      </w:r>
      <w:r>
        <w:rPr>
          <w:rtl w:val="true"/>
        </w:rPr>
        <w:t>עונשיה</w:t>
      </w:r>
      <w:r>
        <w:rPr>
          <w:rtl w:val="true"/>
        </w:rPr>
        <w:t>ם</w:t>
      </w:r>
      <w:r>
        <w:rPr>
          <w:rtl w:val="true"/>
        </w:rPr>
        <w:t xml:space="preserve"> של </w:t>
      </w:r>
      <w:r>
        <w:rPr>
          <w:rtl w:val="true"/>
        </w:rPr>
        <w:t>בשיר והאדי</w:t>
      </w:r>
      <w:r>
        <w:rPr>
          <w:rtl w:val="true"/>
        </w:rPr>
        <w:t xml:space="preserve">. </w:t>
      </w:r>
      <w:r>
        <w:rPr>
          <w:rtl w:val="true"/>
        </w:rPr>
        <w:t>בית המשפט המחוזי זקף לזכותם של השניים את הודאתם</w:t>
      </w:r>
      <w:r>
        <w:rPr>
          <w:rtl w:val="true"/>
        </w:rPr>
        <w:t xml:space="preserve">, </w:t>
      </w:r>
      <w:r>
        <w:rPr>
          <w:rtl w:val="true"/>
        </w:rPr>
        <w:t>ואת לקיחת האחריות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; </w:t>
      </w:r>
      <w:r>
        <w:rPr>
          <w:rtl w:val="true"/>
        </w:rPr>
        <w:t>את גילם הצעיר</w:t>
      </w:r>
      <w:r>
        <w:rPr>
          <w:rtl w:val="true"/>
        </w:rPr>
        <w:t xml:space="preserve">; </w:t>
      </w:r>
      <w:r>
        <w:rPr>
          <w:rtl w:val="true"/>
        </w:rPr>
        <w:t>את נסיבותיהם האישיות והמשפחתיות</w:t>
      </w:r>
      <w:r>
        <w:rPr>
          <w:rtl w:val="true"/>
        </w:rPr>
        <w:t xml:space="preserve">; </w:t>
      </w:r>
      <w:r>
        <w:rPr>
          <w:rtl w:val="true"/>
        </w:rPr>
        <w:t>את הנזק הצפוי להיגרם להם ולמשפחותיהם כתוצאה מהעונש שיוטל עליהם</w:t>
      </w:r>
      <w:r>
        <w:rPr>
          <w:rtl w:val="true"/>
        </w:rPr>
        <w:t xml:space="preserve">; </w:t>
      </w:r>
      <w:r>
        <w:rPr>
          <w:rtl w:val="true"/>
        </w:rPr>
        <w:t>וכן את המלצות שירות המבחן</w:t>
      </w:r>
      <w:r>
        <w:rPr>
          <w:rtl w:val="true"/>
        </w:rPr>
        <w:t xml:space="preserve">. </w:t>
      </w:r>
      <w:r>
        <w:rPr>
          <w:rtl w:val="true"/>
        </w:rPr>
        <w:t>בפרט ביחס להאדי</w:t>
      </w:r>
      <w:r>
        <w:rPr>
          <w:rtl w:val="true"/>
        </w:rPr>
        <w:t xml:space="preserve">, </w:t>
      </w:r>
      <w:r>
        <w:rPr>
          <w:rtl w:val="true"/>
        </w:rPr>
        <w:t>יִחס בית המשפט המחוזי משקל גם לכך שהלה מסר למשטרה את אחד מכלי הנשק שהיו ברשותו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המחוזי זקף לחובתם של בשיר והאדי את עברם הפלילי</w:t>
      </w:r>
      <w:r>
        <w:rPr>
          <w:rtl w:val="true"/>
        </w:rPr>
        <w:t xml:space="preserve">: </w:t>
      </w:r>
      <w:r>
        <w:rPr>
          <w:rtl w:val="true"/>
        </w:rPr>
        <w:t xml:space="preserve">לבשיר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אף הן בעבירות נשק</w:t>
      </w:r>
      <w:r>
        <w:rPr>
          <w:rtl w:val="true"/>
        </w:rPr>
        <w:t xml:space="preserve">, </w:t>
      </w:r>
      <w:r>
        <w:rPr>
          <w:rtl w:val="true"/>
        </w:rPr>
        <w:t>שבגינן נדון לעונשי מאסר</w:t>
      </w:r>
      <w:r>
        <w:rPr>
          <w:rtl w:val="true"/>
        </w:rPr>
        <w:t xml:space="preserve">; </w:t>
      </w:r>
      <w:r>
        <w:rPr>
          <w:rtl w:val="true"/>
        </w:rPr>
        <w:t xml:space="preserve">להאדי </w:t>
      </w:r>
      <w:r>
        <w:rPr>
          <w:rtl w:val="true"/>
        </w:rPr>
        <w:t>–</w:t>
      </w:r>
      <w:r>
        <w:rPr>
          <w:rtl w:val="true"/>
        </w:rPr>
        <w:t xml:space="preserve"> גם כן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>אחת מהן בעבירת נשק</w:t>
      </w:r>
      <w:r>
        <w:rPr>
          <w:rtl w:val="true"/>
        </w:rPr>
        <w:t xml:space="preserve">, </w:t>
      </w:r>
      <w:r>
        <w:rPr>
          <w:rtl w:val="true"/>
        </w:rPr>
        <w:t>שבגינה נדון לעונש מאסר</w:t>
      </w:r>
      <w:r>
        <w:rPr>
          <w:rtl w:val="true"/>
        </w:rPr>
        <w:t xml:space="preserve">, </w:t>
      </w:r>
      <w:r>
        <w:rPr>
          <w:rtl w:val="true"/>
        </w:rPr>
        <w:t>והשנייה בעבירה של החזקת סכין</w:t>
      </w:r>
      <w:r>
        <w:rPr>
          <w:rtl w:val="true"/>
        </w:rPr>
        <w:t xml:space="preserve">. </w:t>
      </w:r>
      <w:r>
        <w:rPr>
          <w:rtl w:val="true"/>
        </w:rPr>
        <w:t>בשים לב להישנותן של העבירות שביצעו השניים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יש לייחס משקל של ממש גם לשיקולי הרתעה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>נקבע לבסוף</w:t>
      </w:r>
      <w:r>
        <w:rPr>
          <w:rtl w:val="true"/>
        </w:rPr>
        <w:t xml:space="preserve">, </w:t>
      </w:r>
      <w:r>
        <w:rPr>
          <w:rtl w:val="true"/>
        </w:rPr>
        <w:t>כאמור בראשית הדברים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בשיר י</w:t>
      </w:r>
      <w:r>
        <w:rPr>
          <w:rtl w:val="true"/>
        </w:rPr>
        <w:t xml:space="preserve">רצה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והאדי ירצה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 xml:space="preserve">נוסף על הפעלת עונש מאסר על תנאי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שנקבע כי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ממנו ירוצו במצטבר </w:t>
      </w:r>
      <w:r>
        <w:rPr>
          <w:rtl w:val="true"/>
        </w:rPr>
        <w:t>–</w:t>
      </w:r>
      <w:r>
        <w:rPr>
          <w:rtl w:val="true"/>
        </w:rPr>
        <w:t xml:space="preserve"> סך הכל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לבד מעונשים נלווים</w:t>
      </w:r>
      <w:r>
        <w:rPr>
          <w:rtl w:val="true"/>
        </w:rPr>
        <w:t xml:space="preserve"> שנגזרו על 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המערערים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בשיר והאדי טוענים</w:t>
      </w:r>
      <w:r>
        <w:rPr>
          <w:rtl w:val="true"/>
        </w:rPr>
        <w:t xml:space="preserve">, </w:t>
      </w:r>
      <w:r>
        <w:rPr>
          <w:rtl w:val="true"/>
        </w:rPr>
        <w:t>כי מתחם הענישה שקבע בית המשפט המחוזי לגביהם</w:t>
      </w:r>
      <w:r>
        <w:rPr>
          <w:rtl w:val="true"/>
        </w:rPr>
        <w:t xml:space="preserve">, </w:t>
      </w:r>
      <w:r>
        <w:rPr>
          <w:rtl w:val="true"/>
        </w:rPr>
        <w:t>חורג באופן משמעותי לחומרה</w:t>
      </w:r>
      <w:r>
        <w:rPr>
          <w:rtl w:val="true"/>
        </w:rPr>
        <w:t xml:space="preserve"> </w:t>
      </w:r>
      <w:r>
        <w:rPr>
          <w:rtl w:val="true"/>
        </w:rPr>
        <w:t>ממתחם הענישה המקובל לעבירות כגון דא</w:t>
      </w:r>
      <w:r>
        <w:rPr>
          <w:rtl w:val="true"/>
        </w:rPr>
        <w:t xml:space="preserve">, </w:t>
      </w:r>
      <w:r>
        <w:rPr>
          <w:rtl w:val="true"/>
        </w:rPr>
        <w:t>כעולה מכמה פסקי דין</w:t>
      </w:r>
      <w:r>
        <w:rPr>
          <w:rtl w:val="true"/>
        </w:rPr>
        <w:t xml:space="preserve">, </w:t>
      </w:r>
      <w:r>
        <w:rPr>
          <w:rtl w:val="true"/>
        </w:rPr>
        <w:t>התומכים לשיטתם בטענה</w:t>
      </w:r>
      <w:r>
        <w:rPr>
          <w:rtl w:val="true"/>
        </w:rPr>
        <w:t>-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 טוענים בשיר והאדי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</w:t>
      </w:r>
      <w:r>
        <w:rPr>
          <w:rtl w:val="true"/>
        </w:rPr>
        <w:t xml:space="preserve">, </w:t>
      </w:r>
      <w:r>
        <w:rPr>
          <w:rtl w:val="true"/>
        </w:rPr>
        <w:t>כאשר יִחס משקל כלשהו לאמור בתסקירי שירות המבחן</w:t>
      </w:r>
      <w:r>
        <w:rPr>
          <w:rtl w:val="true"/>
        </w:rPr>
        <w:t xml:space="preserve">;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ניכר כי מדובר בתסקירים טכניים</w:t>
      </w:r>
      <w:r>
        <w:rPr>
          <w:rtl w:val="true"/>
        </w:rPr>
        <w:t xml:space="preserve">, </w:t>
      </w:r>
      <w:r>
        <w:rPr>
          <w:rtl w:val="true"/>
        </w:rPr>
        <w:t>תבניתיים</w:t>
      </w:r>
      <w:r>
        <w:rPr>
          <w:rtl w:val="true"/>
        </w:rPr>
        <w:t xml:space="preserve">, </w:t>
      </w:r>
      <w:r>
        <w:rPr>
          <w:rtl w:val="true"/>
        </w:rPr>
        <w:t>שנכתבו על</w:t>
      </w:r>
      <w:r>
        <w:rPr>
          <w:rtl w:val="true"/>
        </w:rPr>
        <w:t>-</w:t>
      </w:r>
      <w:r>
        <w:rPr>
          <w:rtl w:val="true"/>
        </w:rPr>
        <w:t>ידי אותה קצינת מבחן</w:t>
      </w:r>
      <w:r>
        <w:rPr>
          <w:rtl w:val="true"/>
        </w:rPr>
        <w:t xml:space="preserve">, </w:t>
      </w:r>
      <w:r>
        <w:rPr>
          <w:rtl w:val="true"/>
        </w:rPr>
        <w:t>וזו כלל לא טרחה להבחין ביניהם כיאות</w:t>
      </w:r>
      <w:r>
        <w:rPr>
          <w:rtl w:val="true"/>
        </w:rPr>
        <w:t xml:space="preserve">. </w:t>
      </w:r>
      <w:r>
        <w:rPr>
          <w:rtl w:val="true"/>
        </w:rPr>
        <w:t>עוד טוענים בשיר והאדי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בשעה שנתן להודאותיהם משקל נמוך עד מאוד</w:t>
      </w:r>
      <w:r>
        <w:rPr>
          <w:rtl w:val="true"/>
        </w:rPr>
        <w:t xml:space="preserve">, </w:t>
      </w:r>
      <w:r>
        <w:rPr>
          <w:rtl w:val="true"/>
        </w:rPr>
        <w:t>מבלי שהתייחס לכך כי מדובר במי שהודו במיוחס להם כבר בעת חקירתם במשטרה</w:t>
      </w:r>
      <w:r>
        <w:rPr>
          <w:rtl w:val="true"/>
        </w:rPr>
        <w:t xml:space="preserve">, </w:t>
      </w:r>
      <w:r>
        <w:rPr>
          <w:rtl w:val="true"/>
        </w:rPr>
        <w:t>ואף הסכימו לשמש עדי תביעה בפרשה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לנסיבות אלה יש לייחס משקל משמעותי</w:t>
      </w:r>
      <w:r>
        <w:rPr>
          <w:rtl w:val="true"/>
        </w:rPr>
        <w:t xml:space="preserve">, </w:t>
      </w:r>
      <w:r>
        <w:rPr>
          <w:rtl w:val="true"/>
        </w:rPr>
        <w:t>ובפרט בכל הנוגע להאדי</w:t>
      </w:r>
      <w:r>
        <w:rPr>
          <w:rtl w:val="true"/>
        </w:rPr>
        <w:t xml:space="preserve">, </w:t>
      </w:r>
      <w:r>
        <w:rPr>
          <w:rtl w:val="true"/>
        </w:rPr>
        <w:t>אשר הסגיר לידי המשטרה כלי נשק שהיה ברשותו</w:t>
      </w:r>
      <w:r>
        <w:rPr>
          <w:rtl w:val="true"/>
        </w:rPr>
        <w:t xml:space="preserve">. </w:t>
      </w:r>
      <w:r>
        <w:rPr>
          <w:rtl w:val="true"/>
        </w:rPr>
        <w:t>בפי בשיר טענה נוספת</w:t>
      </w:r>
      <w:r>
        <w:rPr>
          <w:rtl w:val="true"/>
        </w:rPr>
        <w:t xml:space="preserve">, </w:t>
      </w:r>
      <w:r>
        <w:rPr>
          <w:rtl w:val="true"/>
        </w:rPr>
        <w:t>לפיה שגה בית המשפט המחוזי כשהחמיר בעונשו יתר על המידה</w:t>
      </w:r>
      <w:r>
        <w:rPr>
          <w:rtl w:val="true"/>
        </w:rPr>
        <w:t xml:space="preserve">, </w:t>
      </w:r>
      <w:r>
        <w:rPr>
          <w:rtl w:val="true"/>
        </w:rPr>
        <w:t>בהשוואה לעונשים שנגזרו על יתר הנאשמים המעורבים בפרשה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עקרון אחידות הענישה מחייב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שמירה על יחס הולם ומידתי בין עונשיהם של נאשמים שונים באותה פרשה</w:t>
      </w:r>
      <w:r>
        <w:rPr>
          <w:rtl w:val="true"/>
        </w:rPr>
        <w:t xml:space="preserve">, </w:t>
      </w:r>
      <w:r>
        <w:rPr>
          <w:rtl w:val="true"/>
        </w:rPr>
        <w:t>כך שמדרג הענישה ישקף את חלקו היחסי של כל אחד מן הנאשמים בפעילות העבריינית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cs="Miriam"/>
          <w:b/>
          <w:spacing w:val="0"/>
          <w:sz w:val="22"/>
          <w:szCs w:val="24"/>
        </w:rPr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שבו ב</w:t>
      </w:r>
      <w:r>
        <w:rPr>
          <w:rtl w:val="true"/>
        </w:rPr>
        <w:t>"</w:t>
      </w:r>
      <w:r>
        <w:rPr>
          <w:rtl w:val="true"/>
        </w:rPr>
        <w:t>כ המערערים על עיקרי טענותיהם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של בשיר הוסיף על האמור עד כה</w:t>
      </w:r>
      <w:r>
        <w:rPr>
          <w:rtl w:val="true"/>
        </w:rPr>
        <w:t xml:space="preserve">, </w:t>
      </w:r>
      <w:r>
        <w:rPr>
          <w:rtl w:val="true"/>
        </w:rPr>
        <w:t>כי התסקיר שהוגש בעניינו של בשיר</w:t>
      </w:r>
      <w:r>
        <w:rPr>
          <w:rtl w:val="true"/>
        </w:rPr>
        <w:t xml:space="preserve">, </w:t>
      </w: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מעיד כי פניו מועדות לשיקום</w:t>
      </w:r>
      <w:r>
        <w:rPr>
          <w:rtl w:val="true"/>
        </w:rPr>
        <w:t xml:space="preserve">, </w:t>
      </w:r>
      <w:r>
        <w:rPr>
          <w:rtl w:val="true"/>
        </w:rPr>
        <w:t>ולא לעולם הפשע</w:t>
      </w:r>
      <w:r>
        <w:rPr>
          <w:rtl w:val="true"/>
        </w:rPr>
        <w:t xml:space="preserve">;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זהו טעם נוסף להקלה בעונשו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מנגד</w:t>
      </w:r>
      <w:r>
        <w:rPr>
          <w:rtl w:val="true"/>
        </w:rPr>
        <w:t xml:space="preserve">, </w:t>
      </w:r>
      <w:r>
        <w:rPr>
          <w:rtl w:val="true"/>
        </w:rPr>
        <w:t>סמכה שתי ידיה על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על מסקנותיו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ציינה ב</w:t>
      </w:r>
      <w:r>
        <w:rPr>
          <w:rtl w:val="true"/>
        </w:rPr>
        <w:t>"</w:t>
      </w:r>
      <w:r>
        <w:rPr>
          <w:rtl w:val="true"/>
        </w:rPr>
        <w:t>כ המשיבה את האישומים החמורים שעמדו לחובת השניים</w:t>
      </w:r>
      <w:r>
        <w:rPr>
          <w:rtl w:val="true"/>
        </w:rPr>
        <w:t xml:space="preserve">, </w:t>
      </w:r>
      <w:r>
        <w:rPr>
          <w:rtl w:val="true"/>
        </w:rPr>
        <w:t>ואת ההיקף הנרחב של עסקאות הסחר שבהן היו מעורבים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עמדה גם על פוטנציאל הסיכון הרב הטמון בעבירות שבוצעו</w:t>
      </w:r>
      <w:r>
        <w:rPr>
          <w:rtl w:val="true"/>
        </w:rPr>
        <w:t xml:space="preserve">; </w:t>
      </w:r>
      <w:r>
        <w:rPr>
          <w:rtl w:val="true"/>
        </w:rPr>
        <w:t>הן מבחינה ביטחונית</w:t>
      </w:r>
      <w:r>
        <w:rPr>
          <w:rtl w:val="true"/>
        </w:rPr>
        <w:t xml:space="preserve">, </w:t>
      </w:r>
      <w:r>
        <w:rPr>
          <w:rtl w:val="true"/>
        </w:rPr>
        <w:t>הן מבחינה פלילית</w:t>
      </w:r>
      <w:r>
        <w:rPr>
          <w:rtl w:val="true"/>
        </w:rPr>
        <w:t xml:space="preserve">, </w:t>
      </w:r>
      <w:r>
        <w:rPr>
          <w:rtl w:val="true"/>
        </w:rPr>
        <w:t>וכמו כן הפנתה ל</w:t>
      </w:r>
      <w:r>
        <w:rPr>
          <w:rtl w:val="true"/>
        </w:rPr>
        <w:t>עבר</w:t>
      </w:r>
      <w:r>
        <w:rPr>
          <w:rtl w:val="true"/>
        </w:rPr>
        <w:t>ם הפלילי של בשיר והאדי</w:t>
      </w:r>
      <w:r>
        <w:rPr>
          <w:rtl w:val="true"/>
        </w:rPr>
        <w:t xml:space="preserve">, </w:t>
      </w:r>
      <w:r>
        <w:rPr>
          <w:rtl w:val="true"/>
        </w:rPr>
        <w:t>אשר כלל כאמור עבירות נשק אחרות שבוצעו במרוצת השנים</w:t>
      </w:r>
      <w:r>
        <w:rPr>
          <w:rtl w:val="true"/>
        </w:rPr>
        <w:t xml:space="preserve">. </w:t>
      </w:r>
      <w:r>
        <w:rPr>
          <w:rtl w:val="true"/>
        </w:rPr>
        <w:t>בעניינו של בשיר</w:t>
      </w:r>
      <w:r>
        <w:rPr>
          <w:rtl w:val="true"/>
        </w:rPr>
        <w:t xml:space="preserve">, </w:t>
      </w:r>
      <w:r>
        <w:rPr>
          <w:rtl w:val="true"/>
        </w:rPr>
        <w:t>בֵּירכה ב</w:t>
      </w:r>
      <w:r>
        <w:rPr>
          <w:rtl w:val="true"/>
        </w:rPr>
        <w:t>"</w:t>
      </w:r>
      <w:r>
        <w:rPr>
          <w:rtl w:val="true"/>
        </w:rPr>
        <w:t>כ המשיבה על העולה מן התסקיר העדכני</w:t>
      </w:r>
      <w:r>
        <w:rPr>
          <w:rtl w:val="true"/>
        </w:rPr>
        <w:t xml:space="preserve">, </w:t>
      </w:r>
      <w:r>
        <w:rPr>
          <w:rtl w:val="true"/>
        </w:rPr>
        <w:t>לגבי מפנה שחל בהתנהגותו</w:t>
      </w:r>
      <w:r>
        <w:rPr>
          <w:rtl w:val="true"/>
        </w:rPr>
        <w:t xml:space="preserve">, </w:t>
      </w:r>
      <w:r>
        <w:rPr>
          <w:rtl w:val="true"/>
        </w:rPr>
        <w:t>אך הבהירה כי זהו קצה</w:t>
      </w:r>
      <w:r>
        <w:rPr>
          <w:rtl w:val="true"/>
        </w:rPr>
        <w:t>-</w:t>
      </w:r>
      <w:r>
        <w:rPr>
          <w:rtl w:val="true"/>
        </w:rPr>
        <w:t>קצהו של קרחון</w:t>
      </w:r>
      <w:r>
        <w:rPr>
          <w:rtl w:val="true"/>
        </w:rPr>
        <w:t xml:space="preserve">, </w:t>
      </w:r>
      <w:r>
        <w:rPr>
          <w:rtl w:val="true"/>
        </w:rPr>
        <w:t>בייחוד נוכח אירועי אלימות והפרות סדר</w:t>
      </w:r>
      <w:r>
        <w:rPr>
          <w:rtl w:val="true"/>
        </w:rPr>
        <w:t xml:space="preserve">, </w:t>
      </w:r>
      <w:r>
        <w:rPr>
          <w:rtl w:val="true"/>
        </w:rPr>
        <w:t>שבהם היה מעורב בתקופת מאסרו</w:t>
      </w:r>
      <w:r>
        <w:rPr>
          <w:rtl w:val="true"/>
        </w:rPr>
        <w:t xml:space="preserve">. </w:t>
      </w:r>
      <w:r>
        <w:rPr>
          <w:rtl w:val="true"/>
        </w:rPr>
        <w:t>אשר לטענות בדבר אי</w:t>
      </w:r>
      <w:r>
        <w:rPr>
          <w:rtl w:val="true"/>
        </w:rPr>
        <w:t>-</w:t>
      </w:r>
      <w:r>
        <w:rPr>
          <w:rtl w:val="true"/>
        </w:rPr>
        <w:t>עמידה בעקרון אחידות הענישה נטען</w:t>
      </w:r>
      <w:r>
        <w:rPr>
          <w:rtl w:val="true"/>
        </w:rPr>
        <w:t xml:space="preserve">, </w:t>
      </w:r>
      <w:r>
        <w:rPr>
          <w:rtl w:val="true"/>
        </w:rPr>
        <w:t>כי בשיר היה מעורב במספר רב יותר של עסקאות</w:t>
      </w:r>
      <w:r>
        <w:rPr>
          <w:rtl w:val="true"/>
        </w:rPr>
        <w:t xml:space="preserve">, </w:t>
      </w:r>
      <w:r>
        <w:rPr>
          <w:rtl w:val="true"/>
        </w:rPr>
        <w:t>בכמות גדולה יותר של תחמושת</w:t>
      </w:r>
      <w:r>
        <w:rPr>
          <w:rtl w:val="true"/>
        </w:rPr>
        <w:t xml:space="preserve">, </w:t>
      </w:r>
      <w:r>
        <w:rPr>
          <w:rtl w:val="true"/>
        </w:rPr>
        <w:t xml:space="preserve">וכן בסחר בכלֵי נשק מסוג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', </w:t>
      </w:r>
      <w:r>
        <w:rPr>
          <w:rtl w:val="true"/>
        </w:rPr>
        <w:t xml:space="preserve">הטומנים בחובם פוטנציאל סיכון גבוה ביותר </w:t>
      </w:r>
      <w:r>
        <w:rPr>
          <w:rtl w:val="true"/>
        </w:rPr>
        <w:t>–</w:t>
      </w:r>
      <w:r>
        <w:rPr>
          <w:rtl w:val="true"/>
        </w:rPr>
        <w:t xml:space="preserve"> בהשוואה לפעולותיו ומעשיו של האדי</w:t>
      </w:r>
      <w:r>
        <w:rPr>
          <w:rtl w:val="true"/>
        </w:rPr>
        <w:t xml:space="preserve">. </w:t>
      </w:r>
      <w:r>
        <w:rPr>
          <w:rtl w:val="true"/>
        </w:rPr>
        <w:t>עוד ציינה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עברו הפלילי של בשיר חמור מזה של האדי</w:t>
      </w:r>
      <w:r>
        <w:rPr>
          <w:rtl w:val="true"/>
        </w:rPr>
        <w:t xml:space="preserve">. </w:t>
      </w:r>
      <w:r>
        <w:rPr>
          <w:rtl w:val="true"/>
        </w:rPr>
        <w:t>לטענות בשיר והאדי בנוגע לחומרת העונש והחריגה ממתחם הענישה המקובל</w:t>
      </w:r>
      <w:r>
        <w:rPr>
          <w:rtl w:val="true"/>
        </w:rPr>
        <w:t xml:space="preserve">, </w:t>
      </w:r>
      <w:r>
        <w:rPr>
          <w:rtl w:val="true"/>
        </w:rPr>
        <w:t>השיבה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טווח הענישה בעבירות מושא דיוננו הוא רחב</w:t>
      </w:r>
      <w:r>
        <w:rPr>
          <w:rtl w:val="true"/>
        </w:rPr>
        <w:t xml:space="preserve">, </w:t>
      </w:r>
      <w:r>
        <w:rPr>
          <w:rtl w:val="true"/>
        </w:rPr>
        <w:t>תוך הפניה לפסיקה רלבנטית</w:t>
      </w:r>
      <w:r>
        <w:rPr>
          <w:rtl w:val="true"/>
        </w:rPr>
        <w:t xml:space="preserve">, </w:t>
      </w:r>
      <w:r>
        <w:rPr>
          <w:rtl w:val="true"/>
        </w:rPr>
        <w:t>שבה ניתן למצוא טווח ענישה דומה</w:t>
      </w:r>
      <w:r>
        <w:rPr>
          <w:rtl w:val="true"/>
        </w:rPr>
        <w:t xml:space="preserve">. </w:t>
      </w:r>
      <w:r>
        <w:rPr>
          <w:rtl w:val="true"/>
        </w:rPr>
        <w:t>על כך הוסיפה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כי לא אחת נאמר על</w:t>
      </w:r>
      <w:r>
        <w:rPr>
          <w:rtl w:val="true"/>
        </w:rPr>
        <w:t>-</w:t>
      </w:r>
      <w:r>
        <w:rPr>
          <w:rtl w:val="true"/>
        </w:rPr>
        <w:t>ידי בית משפט זה</w:t>
      </w:r>
      <w:r>
        <w:rPr>
          <w:rtl w:val="true"/>
        </w:rPr>
        <w:t xml:space="preserve">, </w:t>
      </w:r>
      <w:r>
        <w:rPr>
          <w:rtl w:val="true"/>
        </w:rPr>
        <w:t>שיש להעלות את רף הענישה בעבירות נשק</w:t>
      </w:r>
      <w:r>
        <w:rPr>
          <w:rtl w:val="true"/>
        </w:rPr>
        <w:t xml:space="preserve">, </w:t>
      </w:r>
      <w:r>
        <w:rPr>
          <w:rtl w:val="true"/>
        </w:rPr>
        <w:t>מחמת ריבוי עבירות בתחום</w:t>
      </w:r>
      <w:r>
        <w:rPr>
          <w:rtl w:val="true"/>
        </w:rPr>
        <w:t xml:space="preserve">, </w:t>
      </w:r>
      <w:r>
        <w:rPr>
          <w:rtl w:val="true"/>
        </w:rPr>
        <w:t>ובשים לב למסוכנות הרבה</w:t>
      </w:r>
      <w:r>
        <w:rPr>
          <w:rtl w:val="true"/>
        </w:rPr>
        <w:t xml:space="preserve">. </w:t>
      </w:r>
      <w:r>
        <w:rPr>
          <w:rtl w:val="true"/>
        </w:rPr>
        <w:t>אשר לטענת בשיר והאדי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התחשב בשיתוף הפעולה של השניים במסגרת גזירת העונש</w:t>
      </w:r>
      <w:r>
        <w:rPr>
          <w:rtl w:val="true"/>
        </w:rPr>
        <w:t xml:space="preserve">, </w:t>
      </w:r>
      <w:r>
        <w:rPr>
          <w:rtl w:val="true"/>
        </w:rPr>
        <w:t>נטען כי אין ממש בטענה זו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קבע את העונש ברף העליון של המתחם</w:t>
      </w:r>
      <w:r>
        <w:rPr>
          <w:rtl w:val="true"/>
        </w:rPr>
        <w:t xml:space="preserve">, </w:t>
      </w:r>
      <w:r>
        <w:rPr>
          <w:rtl w:val="true"/>
        </w:rPr>
        <w:t>והיא הנותנת</w:t>
      </w:r>
      <w:r>
        <w:rPr>
          <w:rtl w:val="true"/>
        </w:rPr>
        <w:t xml:space="preserve">, </w:t>
      </w:r>
      <w:r>
        <w:rPr>
          <w:rtl w:val="true"/>
        </w:rPr>
        <w:t>על אף שבית המשפט קבע כי בנדון דידן יש ליתן משקל משמעותי לשיקולי הרתעה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rFonts w:cs="Miriam"/>
          <w:b/>
          <w:spacing w:val="0"/>
          <w:sz w:val="22"/>
          <w:szCs w:val="24"/>
        </w:rPr>
      </w:pPr>
      <w:r>
        <w:rPr>
          <w:rFonts w:cs="Miriam"/>
          <w:b/>
          <w:spacing w:val="0"/>
          <w:sz w:val="22"/>
          <w:szCs w:val="24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 xml:space="preserve">עיון ובחינת </w:t>
      </w:r>
      <w:r>
        <w:rPr>
          <w:rtl w:val="true"/>
        </w:rPr>
        <w:t>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נתתי דעתי </w:t>
      </w:r>
      <w:r>
        <w:rPr>
          <w:rtl w:val="true"/>
        </w:rPr>
        <w:t xml:space="preserve">על </w:t>
      </w:r>
      <w:r>
        <w:rPr>
          <w:rtl w:val="true"/>
        </w:rPr>
        <w:t xml:space="preserve">טענות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הצדדים מזה ומזה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באתי לכלל מסקנה כי דין</w:t>
      </w:r>
      <w:r>
        <w:rPr>
          <w:rtl w:val="true"/>
        </w:rPr>
        <w:t xml:space="preserve"> הערעור להידחות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אומר כבר בפתח הדברים</w:t>
      </w:r>
      <w:r>
        <w:rPr>
          <w:rtl w:val="true"/>
        </w:rPr>
        <w:t xml:space="preserve">, </w:t>
      </w:r>
      <w:r>
        <w:rPr>
          <w:rtl w:val="true"/>
        </w:rPr>
        <w:t>השתלשלות האירועים שנפרשה לפנינו עניינה במעשים פליליים חמורים וקשים</w:t>
      </w:r>
      <w:r>
        <w:rPr>
          <w:rtl w:val="true"/>
        </w:rPr>
        <w:t xml:space="preserve">; </w:t>
      </w:r>
      <w:r>
        <w:rPr>
          <w:rtl w:val="true"/>
        </w:rPr>
        <w:t>תופעה נפסדת ומסוכנת של סחר בכלי נשק ותחמושת</w:t>
      </w:r>
      <w:r>
        <w:rPr>
          <w:rtl w:val="true"/>
        </w:rPr>
        <w:t xml:space="preserve">. </w:t>
      </w:r>
      <w:r>
        <w:rPr>
          <w:rtl w:val="true"/>
        </w:rPr>
        <w:t>נסיבות הפרשה מלמדות</w:t>
      </w:r>
      <w:r>
        <w:rPr>
          <w:rtl w:val="true"/>
        </w:rPr>
        <w:t xml:space="preserve">, </w:t>
      </w:r>
      <w:r>
        <w:rPr>
          <w:rtl w:val="true"/>
        </w:rPr>
        <w:t>כי בשיר והאדי לא בחלו בדבר</w:t>
      </w:r>
      <w:r>
        <w:rPr>
          <w:rtl w:val="true"/>
        </w:rPr>
        <w:t xml:space="preserve">, </w:t>
      </w:r>
      <w:r>
        <w:rPr>
          <w:rtl w:val="true"/>
        </w:rPr>
        <w:t>וביצעו עסקאות נשק ותחמושת רבות</w:t>
      </w:r>
      <w:r>
        <w:rPr>
          <w:rtl w:val="true"/>
        </w:rPr>
        <w:t xml:space="preserve">, </w:t>
      </w:r>
      <w:r>
        <w:rPr>
          <w:rtl w:val="true"/>
        </w:rPr>
        <w:t>עם גורמים בתחומי המדינה ומחוצה לה</w:t>
      </w:r>
      <w:r>
        <w:rPr>
          <w:rtl w:val="true"/>
        </w:rPr>
        <w:t xml:space="preserve">, </w:t>
      </w:r>
      <w:r>
        <w:rPr>
          <w:rtl w:val="true"/>
        </w:rPr>
        <w:t>לרבות עם גורמים בשטחי 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רעה חולה זו פוקדת את מדינתנו מזה זמן</w:t>
      </w:r>
      <w:r>
        <w:rPr>
          <w:rtl w:val="true"/>
        </w:rPr>
        <w:t xml:space="preserve">, </w:t>
      </w:r>
      <w:r>
        <w:rPr>
          <w:rtl w:val="true"/>
        </w:rPr>
        <w:t>והיא מזינה</w:t>
      </w:r>
      <w:r>
        <w:rPr>
          <w:rtl w:val="true"/>
        </w:rPr>
        <w:t xml:space="preserve">, </w:t>
      </w:r>
      <w:r>
        <w:rPr>
          <w:rtl w:val="true"/>
        </w:rPr>
        <w:t>דבר יום ביומו</w:t>
      </w:r>
      <w:r>
        <w:rPr>
          <w:rtl w:val="true"/>
        </w:rPr>
        <w:t xml:space="preserve">, </w:t>
      </w:r>
      <w:r>
        <w:rPr>
          <w:rtl w:val="true"/>
        </w:rPr>
        <w:t>את פעולות הטרור ואת עורקי הפשיעה החמורה</w:t>
      </w:r>
      <w:r>
        <w:rPr>
          <w:rtl w:val="true"/>
        </w:rPr>
        <w:t xml:space="preserve">, </w:t>
      </w:r>
      <w:r>
        <w:rPr>
          <w:rtl w:val="true"/>
        </w:rPr>
        <w:t>המסכנים את הציבור הישראלי</w:t>
      </w:r>
      <w:r>
        <w:rPr>
          <w:rtl w:val="true"/>
        </w:rPr>
        <w:t xml:space="preserve">, </w:t>
      </w:r>
      <w:r>
        <w:rPr>
          <w:rtl w:val="true"/>
        </w:rPr>
        <w:t>סכנת נפשות ממש</w:t>
      </w:r>
      <w:r>
        <w:rPr>
          <w:rtl w:val="true"/>
        </w:rPr>
        <w:t xml:space="preserve">, </w:t>
      </w:r>
      <w:r>
        <w:rPr>
          <w:rtl w:val="true"/>
        </w:rPr>
        <w:t>בכוח ובפועל</w:t>
      </w:r>
      <w:r>
        <w:rPr>
          <w:rtl w:val="true"/>
        </w:rPr>
        <w:t xml:space="preserve">. </w:t>
      </w:r>
      <w:r>
        <w:rPr>
          <w:rtl w:val="true"/>
        </w:rPr>
        <w:t>הקלות שאפיינה את מעשי הסחר במקרה דנן</w:t>
      </w:r>
      <w:r>
        <w:rPr>
          <w:rtl w:val="true"/>
        </w:rPr>
        <w:t xml:space="preserve">, </w:t>
      </w:r>
      <w:r>
        <w:rPr>
          <w:rtl w:val="true"/>
        </w:rPr>
        <w:t>וההתעלמות של השניים מפוטנציאל הנזק האדיר של מעשיהם החמורים</w:t>
      </w:r>
      <w:r>
        <w:rPr>
          <w:rtl w:val="true"/>
        </w:rPr>
        <w:t xml:space="preserve">, </w:t>
      </w:r>
      <w:r>
        <w:rPr>
          <w:rtl w:val="true"/>
        </w:rPr>
        <w:t>למען בצע כסף</w:t>
      </w:r>
      <w:r>
        <w:rPr>
          <w:rtl w:val="true"/>
        </w:rPr>
        <w:t xml:space="preserve">, </w:t>
      </w:r>
      <w:r>
        <w:rPr>
          <w:rtl w:val="true"/>
        </w:rPr>
        <w:t>אכן ראויים לגינוי רועם וענישה מחמירה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גל האלימות הגואה בתוככי המגזר הערבי</w:t>
      </w:r>
      <w:r>
        <w:rPr>
          <w:rtl w:val="true"/>
        </w:rPr>
        <w:t xml:space="preserve">, </w:t>
      </w:r>
      <w:r>
        <w:rPr>
          <w:rtl w:val="true"/>
        </w:rPr>
        <w:t>מצריך אף הוא מאיתנו להיענות לצו השעה</w:t>
      </w:r>
      <w:r>
        <w:rPr>
          <w:rtl w:val="true"/>
        </w:rPr>
        <w:t xml:space="preserve">, </w:t>
      </w:r>
      <w:r>
        <w:rPr>
          <w:rtl w:val="true"/>
        </w:rPr>
        <w:t>ולנקוט יד קשה כלפי מבצעי עבירות בנשק</w:t>
      </w:r>
      <w:r>
        <w:rPr>
          <w:rtl w:val="true"/>
        </w:rPr>
        <w:t xml:space="preserve">; </w:t>
      </w:r>
      <w:r>
        <w:rPr>
          <w:rtl w:val="true"/>
        </w:rPr>
        <w:t>לבטח כך</w:t>
      </w:r>
      <w:r>
        <w:rPr>
          <w:rtl w:val="true"/>
        </w:rPr>
        <w:t xml:space="preserve">, </w:t>
      </w:r>
      <w:r>
        <w:rPr>
          <w:rtl w:val="true"/>
        </w:rPr>
        <w:t xml:space="preserve">כאשר בעבירות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בנשק עסקינן</w:t>
      </w:r>
      <w:r>
        <w:rPr>
          <w:rtl w:val="true"/>
        </w:rPr>
        <w:t xml:space="preserve">, </w:t>
      </w:r>
      <w:r>
        <w:rPr>
          <w:rtl w:val="true"/>
        </w:rPr>
        <w:t>כבעניין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משאמרנו דברים אלה</w:t>
      </w:r>
      <w:r>
        <w:rPr>
          <w:rtl w:val="true"/>
        </w:rPr>
        <w:t xml:space="preserve">, </w:t>
      </w:r>
      <w:r>
        <w:rPr>
          <w:rtl w:val="true"/>
        </w:rPr>
        <w:t>נפנה כעת להכרעה לגופה</w:t>
      </w:r>
      <w:r>
        <w:rPr>
          <w:rtl w:val="true"/>
        </w:rPr>
        <w:t xml:space="preserve">. </w:t>
      </w:r>
      <w:r>
        <w:rPr>
          <w:rtl w:val="true"/>
        </w:rPr>
        <w:t>הלכה פסוקה 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התערבותה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גזר הדין שניתן ב</w:t>
      </w:r>
      <w:r>
        <w:rPr>
          <w:rtl w:val="true"/>
        </w:rPr>
        <w:t>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 xml:space="preserve">אם נמצא כי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3.2.1998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];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אמנם כן</w:t>
      </w:r>
      <w:r>
        <w:rPr>
          <w:rtl w:val="true"/>
        </w:rPr>
        <w:t xml:space="preserve">, </w:t>
      </w:r>
      <w:r>
        <w:rPr>
          <w:rtl w:val="true"/>
        </w:rPr>
        <w:t>גזר הדין מחמיר עם המערערים</w:t>
      </w:r>
      <w:r>
        <w:rPr>
          <w:rtl w:val="true"/>
        </w:rPr>
        <w:t xml:space="preserve">, </w:t>
      </w:r>
      <w:r>
        <w:rPr>
          <w:rtl w:val="true"/>
        </w:rPr>
        <w:t>אך הוא איננו חריג ביחס למקרים דומים אחרים</w:t>
      </w:r>
      <w:r>
        <w:rPr>
          <w:rtl w:val="true"/>
        </w:rPr>
        <w:t xml:space="preserve">. </w:t>
      </w:r>
      <w:r>
        <w:rPr>
          <w:rtl w:val="true"/>
        </w:rPr>
        <w:t>גזר הדין ניתן לאחר שקילת כל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ובהתחשב בעמדה שנקבעה בפסיקה</w:t>
      </w:r>
      <w:r>
        <w:rPr>
          <w:rtl w:val="true"/>
        </w:rPr>
        <w:t xml:space="preserve">, </w:t>
      </w:r>
      <w:r>
        <w:rPr>
          <w:rtl w:val="true"/>
        </w:rPr>
        <w:t>שלפיה יש לנקוט ענישה מחמירה כלפי עבירות נשק</w:t>
      </w:r>
      <w:r>
        <w:rPr>
          <w:rtl w:val="true"/>
        </w:rPr>
        <w:t xml:space="preserve">. </w:t>
      </w:r>
      <w:r>
        <w:rPr>
          <w:rtl w:val="true"/>
        </w:rPr>
        <w:t>השעה צריכה לכך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בשיר והאדי משיגים על מתחם הענישה שנקבע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אלא שמן </w:t>
      </w:r>
      <w:r>
        <w:rPr>
          <w:rtl w:val="true"/>
        </w:rPr>
        <w:t>המפורסמות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קסטיאל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23.6.2019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]).</w:t>
      </w:r>
      <w:r>
        <w:rPr>
          <w:rtl w:val="true"/>
        </w:rPr>
        <w:t xml:space="preserve">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בית משפט זה חזר והתריע בדבר התוצאות הקשות וההרסניות הנגרמות כתוצאה מעבירות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תוך הדגשת פוטנציאל הסיכון החמור לפגיעה בשלום הציבור וביטחונו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17.7.2019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בל נשכח את הענישה המחמירה שקבע המחוקק לעבירות הספציפיות מושא האישומים דנן</w:t>
      </w:r>
      <w:r>
        <w:rPr>
          <w:rtl w:val="true"/>
        </w:rPr>
        <w:t xml:space="preserve">: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על החזקת נשק שלא כדין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על הובלת נשק שלא כדין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על סחר בנשק שלא כדין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)). </w:t>
      </w:r>
      <w:r>
        <w:rPr>
          <w:rtl w:val="true"/>
        </w:rPr>
        <w:t>חקיקה מחמירה זו</w:t>
      </w:r>
      <w:r>
        <w:rPr>
          <w:rtl w:val="true"/>
        </w:rPr>
        <w:t xml:space="preserve">, </w:t>
      </w:r>
      <w:r>
        <w:rPr>
          <w:rtl w:val="true"/>
        </w:rPr>
        <w:t>שכיחות התופעה שבה עסקינן</w:t>
      </w:r>
      <w:r>
        <w:rPr>
          <w:rtl w:val="true"/>
        </w:rPr>
        <w:t xml:space="preserve">, </w:t>
      </w:r>
      <w:r>
        <w:rPr>
          <w:rtl w:val="true"/>
        </w:rPr>
        <w:t>ותוצאותיה ההרסניות</w:t>
      </w:r>
      <w:r>
        <w:rPr>
          <w:rtl w:val="true"/>
        </w:rPr>
        <w:t xml:space="preserve">, </w:t>
      </w:r>
      <w:r>
        <w:rPr>
          <w:rtl w:val="true"/>
        </w:rPr>
        <w:t>מחייבות את הֵרתמות המערכת המשפטית כולה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באמצעות הקפדה על ענישה קשה ומרתיעה</w:t>
      </w:r>
      <w:r>
        <w:rPr>
          <w:rtl w:val="true"/>
        </w:rPr>
        <w:t xml:space="preserve">. </w:t>
      </w:r>
      <w:r>
        <w:rPr>
          <w:rtl w:val="true"/>
        </w:rPr>
        <w:t xml:space="preserve">אזכיר את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15.11.2019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בתופעות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הפשיעה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לסוגיה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במקומותינו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המשמשת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לגידולן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הירתמות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ומרתיעה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לסוגיהן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אזכיר גם דברים נוספים שכתב בית משפט זה</w:t>
      </w:r>
      <w:r>
        <w:rPr>
          <w:rtl w:val="true"/>
        </w:rPr>
        <w:t xml:space="preserve">, </w:t>
      </w:r>
      <w:r>
        <w:rPr>
          <w:rtl w:val="true"/>
        </w:rPr>
        <w:t>ויפים לענייננו</w:t>
      </w:r>
      <w:r>
        <w:rPr>
          <w:rtl w:val="true"/>
        </w:rPr>
        <w:t xml:space="preserve">, </w:t>
      </w:r>
      <w:r>
        <w:rPr>
          <w:rtl w:val="true"/>
        </w:rPr>
        <w:t>כי יש לראות בחומרה יתרה עסקאות נשק המתבצעות עם גורמים 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בצל הסכנה הנשקפת</w:t>
      </w:r>
      <w:r>
        <w:rPr>
          <w:rtl w:val="true"/>
        </w:rPr>
        <w:t xml:space="preserve">, </w:t>
      </w:r>
      <w:r>
        <w:rPr>
          <w:rtl w:val="true"/>
        </w:rPr>
        <w:t xml:space="preserve">כי כלי נשק אלו ישמשו לביצוע פעולות טרור נגד ישראל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16.11.2005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מתאני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 של סחר בנשק קיים מנעד רחב של עונשים</w:t>
      </w:r>
      <w:r>
        <w:rPr>
          <w:rtl w:val="true"/>
        </w:rPr>
        <w:t xml:space="preserve">, </w:t>
      </w:r>
      <w:r>
        <w:rPr>
          <w:rtl w:val="true"/>
        </w:rPr>
        <w:t>אשר נגזרים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ומנסיבותיו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ניתן למצוא מקרים חמורים יותר</w:t>
      </w:r>
      <w:r>
        <w:rPr>
          <w:rtl w:val="true"/>
        </w:rPr>
        <w:t xml:space="preserve">, </w:t>
      </w:r>
      <w:r>
        <w:rPr>
          <w:rtl w:val="true"/>
        </w:rPr>
        <w:t xml:space="preserve">דוגמת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9.7.2019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הנזכר בהודעת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שם נגזרו על הנאשם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 מאסר בפועל בגין ביצוע עבירות שונות של סחר בנשק</w:t>
      </w:r>
      <w:r>
        <w:rPr>
          <w:rtl w:val="true"/>
        </w:rPr>
        <w:t xml:space="preserve">; </w:t>
      </w:r>
      <w:r>
        <w:rPr>
          <w:rtl w:val="true"/>
        </w:rPr>
        <w:t xml:space="preserve">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מתאני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בגין ביצוע עבירות של סחר בנשק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ניתן למצוא מקרים חמורים פחות</w:t>
      </w:r>
      <w:r>
        <w:rPr>
          <w:rtl w:val="true"/>
        </w:rPr>
        <w:t xml:space="preserve">, </w:t>
      </w:r>
      <w:r>
        <w:rPr>
          <w:rtl w:val="true"/>
        </w:rPr>
        <w:t>אשר נזכרים גם הם בהודעת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למשל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23.6.2015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על הנאשם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 מאסר בגין ביצוע עבירות שונות של סחר בנשק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8.8.2012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שם נגזרו על הנאשם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כל מקרה ונסיבותיו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נתן דעתו על כל אותם מקרים בפסיקה </w:t>
      </w:r>
      <w:r>
        <w:rPr>
          <w:rtl w:val="true"/>
        </w:rPr>
        <w:t>–</w:t>
      </w:r>
      <w:r>
        <w:rPr>
          <w:rtl w:val="true"/>
        </w:rPr>
        <w:t xml:space="preserve"> חמורים יותר וחמורים פחות</w:t>
      </w:r>
      <w:r>
        <w:rPr>
          <w:rtl w:val="true"/>
        </w:rPr>
        <w:t xml:space="preserve">, </w:t>
      </w:r>
      <w:r>
        <w:rPr>
          <w:rtl w:val="true"/>
        </w:rPr>
        <w:t>והבהיר</w:t>
      </w:r>
      <w:r>
        <w:rPr>
          <w:rtl w:val="true"/>
        </w:rPr>
        <w:t xml:space="preserve">, </w:t>
      </w:r>
      <w:r>
        <w:rPr>
          <w:rtl w:val="true"/>
        </w:rPr>
        <w:t>בגזר דין מנומק ומפורט</w:t>
      </w:r>
      <w:r>
        <w:rPr>
          <w:rtl w:val="true"/>
        </w:rPr>
        <w:t xml:space="preserve">, </w:t>
      </w:r>
      <w:r>
        <w:rPr>
          <w:rtl w:val="true"/>
        </w:rPr>
        <w:t>כיצד הגיע למתחם הענישה שקבע בעניינם של בשיר והאדי</w:t>
      </w:r>
      <w:r>
        <w:rPr>
          <w:rtl w:val="true"/>
        </w:rPr>
        <w:t xml:space="preserve">. </w:t>
      </w:r>
      <w:r>
        <w:rPr>
          <w:rtl w:val="true"/>
        </w:rPr>
        <w:t>לא מצאתי כי נפל פגם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ודאי לא כזה העולה כדי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אשר עשויים להצדיק את התערבותנו</w:t>
      </w:r>
      <w:r>
        <w:rPr>
          <w:rtl w:val="true"/>
        </w:rPr>
        <w:t xml:space="preserve">. </w:t>
      </w:r>
      <w:r>
        <w:rPr>
          <w:rtl w:val="true"/>
        </w:rPr>
        <w:t xml:space="preserve">אזכיר בהקשר זה את דברי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8.2.2012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שם מדובר היה בעבירות של סחר בנשק</w:t>
      </w:r>
      <w:r>
        <w:rPr>
          <w:rtl w:val="true"/>
        </w:rPr>
        <w:t xml:space="preserve">, </w:t>
      </w:r>
      <w:r>
        <w:rPr>
          <w:rtl w:val="true"/>
        </w:rPr>
        <w:t>בדומה לענייננו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כלומר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בבואנו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לטענותיהם של בשיר והאדי</w:t>
      </w:r>
      <w:r>
        <w:rPr>
          <w:rtl w:val="true"/>
        </w:rPr>
        <w:t xml:space="preserve">, </w:t>
      </w:r>
      <w:r>
        <w:rPr>
          <w:rtl w:val="true"/>
        </w:rPr>
        <w:t>כלפי העונש הספציפי שנגזר עליהם בתוככי מתחם הענישה</w:t>
      </w:r>
      <w:r>
        <w:rPr>
          <w:rtl w:val="true"/>
        </w:rPr>
        <w:t xml:space="preserve">, </w:t>
      </w:r>
      <w:r>
        <w:rPr>
          <w:rtl w:val="true"/>
        </w:rPr>
        <w:t>סבורני כי גם בהקשר זה לא נפלה טעות ולא נמצא טעם לפגם</w:t>
      </w:r>
      <w:r>
        <w:rPr>
          <w:rtl w:val="true"/>
        </w:rPr>
        <w:t xml:space="preserve">, </w:t>
      </w:r>
      <w:r>
        <w:rPr>
          <w:rtl w:val="true"/>
        </w:rPr>
        <w:t>אשר יש בהם כדי להצדיק את התערבותנו</w:t>
      </w:r>
      <w:r>
        <w:rPr>
          <w:rtl w:val="true"/>
        </w:rPr>
        <w:t xml:space="preserve">. </w:t>
      </w:r>
      <w:r>
        <w:rPr>
          <w:rtl w:val="true"/>
        </w:rPr>
        <w:t>בשיר והאדי מלינים על כך שבית המשפט המחוזי נתן משקל לאמור בתסקירי שירות המבחן</w:t>
      </w:r>
      <w:r>
        <w:rPr>
          <w:rtl w:val="true"/>
        </w:rPr>
        <w:t xml:space="preserve">, </w:t>
      </w:r>
      <w:r>
        <w:rPr>
          <w:rtl w:val="true"/>
        </w:rPr>
        <w:t>במסגרת גזירת העונש</w:t>
      </w:r>
      <w:r>
        <w:rPr>
          <w:rtl w:val="true"/>
        </w:rPr>
        <w:t xml:space="preserve">, </w:t>
      </w:r>
      <w:r>
        <w:rPr>
          <w:rtl w:val="true"/>
        </w:rPr>
        <w:t>על אף היותם תבניתיים ובלתי מספיקים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התסקיר הוא אחד מן הכלים העומדים לרשותו של בית המשפט</w:t>
      </w:r>
      <w:r>
        <w:rPr>
          <w:rtl w:val="true"/>
        </w:rPr>
        <w:t xml:space="preserve">, </w:t>
      </w:r>
      <w:r>
        <w:rPr>
          <w:rtl w:val="true"/>
        </w:rPr>
        <w:t>לצורך בחינת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וסיכוייו להשתקם</w:t>
      </w:r>
      <w:r>
        <w:rPr>
          <w:rtl w:val="true"/>
        </w:rPr>
        <w:t xml:space="preserve">. </w:t>
      </w:r>
      <w:r>
        <w:rPr>
          <w:rtl w:val="true"/>
        </w:rPr>
        <w:t>מדובר בכלי מקובל וידוע</w:t>
      </w:r>
      <w:r>
        <w:rPr>
          <w:rtl w:val="true"/>
        </w:rPr>
        <w:t xml:space="preserve">, </w:t>
      </w:r>
      <w:r>
        <w:rPr>
          <w:rtl w:val="true"/>
        </w:rPr>
        <w:t xml:space="preserve">שהשימוש בו נעשה מכוח 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עיון בתסקירים מעלה</w:t>
      </w:r>
      <w:r>
        <w:rPr>
          <w:rtl w:val="true"/>
        </w:rPr>
        <w:t xml:space="preserve">, </w:t>
      </w:r>
      <w:r>
        <w:rPr>
          <w:rtl w:val="true"/>
        </w:rPr>
        <w:t>כי ניתנה בהם התייחסות הולמת לנסיבותיהם של בשיר והאדי</w:t>
      </w:r>
      <w:r>
        <w:rPr>
          <w:rtl w:val="true"/>
        </w:rPr>
        <w:t xml:space="preserve">, </w:t>
      </w:r>
      <w:r>
        <w:rPr>
          <w:rtl w:val="true"/>
        </w:rPr>
        <w:t>ולא ניתן לומר לגביהם כי נעשו כ</w:t>
      </w:r>
      <w:r>
        <w:rPr>
          <w:rtl w:val="true"/>
        </w:rPr>
        <w:t>'</w:t>
      </w:r>
      <w:r>
        <w:rPr>
          <w:rtl w:val="true"/>
        </w:rPr>
        <w:t>מצוות אנשים מלומדה</w:t>
      </w:r>
      <w:r>
        <w:rPr>
          <w:rtl w:val="true"/>
        </w:rPr>
        <w:t xml:space="preserve">', </w:t>
      </w:r>
      <w:r>
        <w:rPr>
          <w:rtl w:val="true"/>
        </w:rPr>
        <w:t>או כלאחר יד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עיון בגזר הדין מעלה</w:t>
      </w:r>
      <w:r>
        <w:rPr>
          <w:rtl w:val="true"/>
        </w:rPr>
        <w:t xml:space="preserve">, </w:t>
      </w:r>
      <w:r>
        <w:rPr>
          <w:rtl w:val="true"/>
        </w:rPr>
        <w:t>כי תסקיר שירות המבחן לגבי כל אחד משני המערערים</w:t>
      </w:r>
      <w:r>
        <w:rPr>
          <w:rtl w:val="true"/>
        </w:rPr>
        <w:t xml:space="preserve">, </w:t>
      </w:r>
      <w:r>
        <w:rPr>
          <w:rtl w:val="true"/>
        </w:rPr>
        <w:t>היה אחד מִני מספר שיקולים שנבחנו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 ניתן אף לומר כי הוענק לאמור בתסקירים משקל מכריע בעת גזירת העונש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בית המשפט המחוזי בהחלט רשאי היה להתחשב גם בתסקיר</w:t>
      </w:r>
      <w:r>
        <w:rPr>
          <w:rtl w:val="true"/>
        </w:rPr>
        <w:t xml:space="preserve">, </w:t>
      </w:r>
      <w:r>
        <w:rPr>
          <w:rtl w:val="true"/>
        </w:rPr>
        <w:t>בקרב מכלול השיקולים שעמדו לפניו</w:t>
      </w:r>
      <w:r>
        <w:rPr>
          <w:rtl w:val="true"/>
        </w:rPr>
        <w:t xml:space="preserve">, </w:t>
      </w:r>
      <w:r>
        <w:rPr>
          <w:rtl w:val="true"/>
        </w:rPr>
        <w:t xml:space="preserve">ואיני מוצא כי נפל כל פגם בהקשר זה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17-11</w:t>
      </w:r>
      <w:r>
        <w:rPr>
          <w:rtl w:val="true"/>
        </w:rPr>
        <w:t xml:space="preserve"> (</w:t>
      </w:r>
      <w:r>
        <w:rPr/>
        <w:t>3.9.2012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טענה נוספת בפיהם של בשיר והאדי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נתן להודאותיהם של השניים משקל נמוך עד מאוד</w:t>
      </w:r>
      <w:r>
        <w:rPr>
          <w:rtl w:val="true"/>
        </w:rPr>
        <w:t xml:space="preserve">, </w:t>
      </w:r>
      <w:r>
        <w:rPr>
          <w:rtl w:val="true"/>
        </w:rPr>
        <w:t>מבלי שהתייחס לכך שמדובר במי שהודו במיוחס להם כבר בשלב החקירה המשטרתית</w:t>
      </w:r>
      <w:r>
        <w:rPr>
          <w:rtl w:val="true"/>
        </w:rPr>
        <w:t xml:space="preserve">, </w:t>
      </w:r>
      <w:r>
        <w:rPr>
          <w:rtl w:val="true"/>
        </w:rPr>
        <w:t>כמו גם לעובדה כי הם משמשים עדי תביעה בפרשה</w:t>
      </w:r>
      <w:r>
        <w:rPr>
          <w:rtl w:val="true"/>
        </w:rPr>
        <w:t xml:space="preserve">. </w:t>
      </w:r>
      <w:r>
        <w:rPr>
          <w:rtl w:val="true"/>
        </w:rPr>
        <w:t>עוד הוסיף האדי</w:t>
      </w:r>
      <w:r>
        <w:rPr>
          <w:rtl w:val="true"/>
        </w:rPr>
        <w:t xml:space="preserve">, </w:t>
      </w:r>
      <w:r>
        <w:rPr>
          <w:rtl w:val="true"/>
        </w:rPr>
        <w:t>כי הדברים מקבלים משנה תוקף בעניינו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בשים לב לעובדה כי בחר להסגיר למשטרה כלי נשק שהיה ברשותו</w:t>
      </w:r>
      <w:r>
        <w:rPr>
          <w:rtl w:val="true"/>
        </w:rPr>
        <w:t xml:space="preserve">. </w:t>
      </w:r>
      <w:r>
        <w:rPr>
          <w:rtl w:val="true"/>
        </w:rPr>
        <w:t xml:space="preserve">גם בעניין זה </w:t>
      </w:r>
      <w:r>
        <w:rPr>
          <w:rtl w:val="true"/>
        </w:rPr>
        <w:t>–</w:t>
      </w:r>
      <w:r>
        <w:rPr>
          <w:rtl w:val="true"/>
        </w:rPr>
        <w:t xml:space="preserve"> דין הטענות להידחות</w:t>
      </w:r>
      <w:r>
        <w:rPr>
          <w:rtl w:val="true"/>
        </w:rPr>
        <w:t xml:space="preserve">. </w:t>
      </w:r>
      <w:r>
        <w:rPr>
          <w:rtl w:val="true"/>
        </w:rPr>
        <w:t>בית המשפט המחוזי התייחס בגזר הדין לכלל הנסיבות המקלות שהובאו לפניו</w:t>
      </w:r>
      <w:r>
        <w:rPr>
          <w:rtl w:val="true"/>
        </w:rPr>
        <w:t xml:space="preserve">, </w:t>
      </w:r>
      <w:r>
        <w:rPr>
          <w:rtl w:val="true"/>
        </w:rPr>
        <w:t>ובתוך כך גם להודאה ושיתוף הפעולה של השניים</w:t>
      </w:r>
      <w:r>
        <w:rPr>
          <w:rtl w:val="true"/>
        </w:rPr>
        <w:t xml:space="preserve">, </w:t>
      </w:r>
      <w:r>
        <w:rPr>
          <w:rtl w:val="true"/>
        </w:rPr>
        <w:t>כל אחד כפי שיעורו</w:t>
      </w:r>
      <w:r>
        <w:rPr>
          <w:rtl w:val="true"/>
        </w:rPr>
        <w:t xml:space="preserve">, </w:t>
      </w:r>
      <w:r>
        <w:rPr>
          <w:rtl w:val="true"/>
        </w:rPr>
        <w:t>ולאחר מכן איזן ביניהן לבין הנסיבות המחמירות שעמדו לפניו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: </w:t>
      </w:r>
      <w:r>
        <w:rPr>
          <w:rtl w:val="true"/>
        </w:rPr>
        <w:t>עברם הפלילי המכביד של השניים</w:t>
      </w:r>
      <w:r>
        <w:rPr>
          <w:rtl w:val="true"/>
        </w:rPr>
        <w:t xml:space="preserve">, </w:t>
      </w:r>
      <w:r>
        <w:rPr>
          <w:rtl w:val="true"/>
        </w:rPr>
        <w:t>תסקירי שירות המבחן</w:t>
      </w:r>
      <w:r>
        <w:rPr>
          <w:rtl w:val="true"/>
        </w:rPr>
        <w:t xml:space="preserve">, </w:t>
      </w:r>
      <w:r>
        <w:rPr>
          <w:rtl w:val="true"/>
        </w:rPr>
        <w:t>הצורך בהרתעה</w:t>
      </w:r>
      <w:r>
        <w:rPr>
          <w:rtl w:val="true"/>
        </w:rPr>
        <w:t xml:space="preserve">, </w:t>
      </w:r>
      <w:r>
        <w:rPr>
          <w:rtl w:val="true"/>
        </w:rPr>
        <w:t>ויתר השיקולים</w:t>
      </w:r>
      <w:r>
        <w:rPr>
          <w:rtl w:val="true"/>
        </w:rPr>
        <w:t xml:space="preserve">. </w:t>
      </w:r>
      <w:r>
        <w:rPr>
          <w:rtl w:val="true"/>
        </w:rPr>
        <w:t>לא מצאתי אפוא</w:t>
      </w:r>
      <w:r>
        <w:rPr>
          <w:rtl w:val="true"/>
        </w:rPr>
        <w:t xml:space="preserve">, </w:t>
      </w:r>
      <w:r>
        <w:rPr>
          <w:rtl w:val="true"/>
        </w:rPr>
        <w:t>כי נפלה שגגה במלאכת איזון זו</w:t>
      </w:r>
      <w:r>
        <w:rPr>
          <w:rtl w:val="true"/>
        </w:rPr>
        <w:t xml:space="preserve">, </w:t>
      </w:r>
      <w:r>
        <w:rPr>
          <w:rtl w:val="true"/>
        </w:rPr>
        <w:t>המצריכה את התערבותנו</w:t>
      </w:r>
      <w:r>
        <w:rPr>
          <w:rtl w:val="true"/>
        </w:rPr>
        <w:t xml:space="preserve">. </w:t>
      </w:r>
      <w:r>
        <w:rPr>
          <w:rtl w:val="true"/>
        </w:rPr>
        <w:t>כמעט מדי יום ביומו אנו דנים בערעורים על גזרי דין בפלילים</w:t>
      </w:r>
      <w:r>
        <w:rPr>
          <w:rtl w:val="true"/>
        </w:rPr>
        <w:t xml:space="preserve">; </w:t>
      </w:r>
      <w:r>
        <w:rPr>
          <w:rtl w:val="true"/>
        </w:rPr>
        <w:t>יש ואנו סבורים</w:t>
      </w:r>
      <w:r>
        <w:rPr>
          <w:rtl w:val="true"/>
        </w:rPr>
        <w:t xml:space="preserve">, </w:t>
      </w:r>
      <w:r>
        <w:rPr>
          <w:rtl w:val="true"/>
        </w:rPr>
        <w:t>כי אילו היינו יושבים לדין בערכאה הדיונית</w:t>
      </w:r>
      <w:r>
        <w:rPr>
          <w:rtl w:val="true"/>
        </w:rPr>
        <w:t xml:space="preserve">, </w:t>
      </w:r>
      <w:r>
        <w:rPr>
          <w:rtl w:val="true"/>
        </w:rPr>
        <w:t>היינו מטילים עונש שונה קמעא מזה שנגזר</w:t>
      </w:r>
      <w:r>
        <w:rPr>
          <w:rtl w:val="true"/>
        </w:rPr>
        <w:t xml:space="preserve">, </w:t>
      </w:r>
      <w:r>
        <w:rPr>
          <w:rtl w:val="true"/>
        </w:rPr>
        <w:t>לכאן או לכאן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מלאכת הענישה</w:t>
      </w:r>
      <w:r>
        <w:rPr>
          <w:rtl w:val="true"/>
        </w:rPr>
        <w:t xml:space="preserve">, </w:t>
      </w:r>
      <w:r>
        <w:rPr>
          <w:rtl w:val="true"/>
        </w:rPr>
        <w:t>איננה מדע מדויק</w:t>
      </w:r>
      <w:r>
        <w:rPr>
          <w:rtl w:val="true"/>
        </w:rPr>
        <w:t xml:space="preserve">. </w:t>
      </w:r>
      <w:r>
        <w:rPr>
          <w:rtl w:val="true"/>
        </w:rPr>
        <w:t>אין מדובר בפעולה מתמטית</w:t>
      </w:r>
      <w:r>
        <w:rPr>
          <w:rtl w:val="true"/>
        </w:rPr>
        <w:t xml:space="preserve">, </w:t>
      </w:r>
      <w:r>
        <w:rPr>
          <w:rtl w:val="true"/>
        </w:rPr>
        <w:t>המספקת תוצאה אחת בלבד</w:t>
      </w:r>
      <w:r>
        <w:rPr>
          <w:rtl w:val="true"/>
        </w:rPr>
        <w:t xml:space="preserve">, </w:t>
      </w:r>
      <w:r>
        <w:rPr>
          <w:rtl w:val="true"/>
        </w:rPr>
        <w:t>אפשרית ונכונה</w:t>
      </w:r>
      <w:r>
        <w:rPr>
          <w:rtl w:val="true"/>
        </w:rPr>
        <w:t xml:space="preserve">; </w:t>
      </w:r>
      <w:r>
        <w:rPr>
          <w:rtl w:val="true"/>
        </w:rPr>
        <w:t>מלאכה זו היא פרי מחשבה אנושית</w:t>
      </w:r>
      <w:r>
        <w:rPr>
          <w:rtl w:val="true"/>
        </w:rPr>
        <w:t xml:space="preserve">, </w:t>
      </w:r>
      <w:r>
        <w:rPr>
          <w:rtl w:val="true"/>
        </w:rPr>
        <w:t>הטומנת בחובה איזונים בין הנסיבות השונות והפרטים המגוונים המונחים לפני השופט</w:t>
      </w:r>
      <w:r>
        <w:rPr>
          <w:rtl w:val="true"/>
        </w:rPr>
        <w:t xml:space="preserve">. </w:t>
      </w:r>
      <w:r>
        <w:rPr>
          <w:rtl w:val="true"/>
        </w:rPr>
        <w:t>בהינתן ה</w:t>
      </w:r>
      <w:r>
        <w:rPr>
          <w:rtl w:val="true"/>
        </w:rPr>
        <w:t>הלכה הנוהגת</w:t>
      </w:r>
      <w:r>
        <w:rPr>
          <w:rtl w:val="true"/>
        </w:rPr>
        <w:t xml:space="preserve">, </w:t>
      </w:r>
      <w:r>
        <w:rPr>
          <w:rtl w:val="true"/>
        </w:rPr>
        <w:t>שעליה עמדתי לעיל</w:t>
      </w:r>
      <w:r>
        <w:rPr>
          <w:rtl w:val="true"/>
        </w:rPr>
        <w:t xml:space="preserve">, </w:t>
      </w:r>
      <w:r>
        <w:rPr>
          <w:rtl w:val="true"/>
        </w:rPr>
        <w:t>בדבר אי</w:t>
      </w:r>
      <w:r>
        <w:rPr>
          <w:rtl w:val="true"/>
        </w:rPr>
        <w:t>-</w:t>
      </w:r>
      <w:r>
        <w:rPr>
          <w:rtl w:val="true"/>
        </w:rPr>
        <w:t>התערבות ערכאת הערעור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במצבים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ומשלא מצאתי כי נפלה שגיאה </w:t>
      </w:r>
      <w:r>
        <w:rPr>
          <w:rFonts w:ascii="Century" w:hAnsi="Century" w:cs="Century"/>
          <w:sz w:val="22"/>
          <w:sz w:val="22"/>
          <w:rtl w:val="true"/>
        </w:rPr>
        <w:t>מהותית</w:t>
      </w:r>
      <w:r>
        <w:rPr>
          <w:rtl w:val="true"/>
        </w:rPr>
        <w:t xml:space="preserve"> בקביעת הערכאה הדיונית</w:t>
      </w:r>
      <w:r>
        <w:rPr>
          <w:rtl w:val="true"/>
        </w:rPr>
        <w:t xml:space="preserve">, </w:t>
      </w:r>
      <w:r>
        <w:rPr>
          <w:rtl w:val="true"/>
        </w:rPr>
        <w:t>דינה של הטענה בהקשה ז</w:t>
      </w:r>
      <w:r>
        <w:rPr>
          <w:rtl w:val="true"/>
        </w:rPr>
        <w:t>ה – להידחות אף ה</w:t>
      </w:r>
      <w:r>
        <w:rPr>
          <w:rtl w:val="true"/>
        </w:rPr>
        <w:t>י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טרם סיום </w:t>
      </w:r>
      <w:r>
        <w:rPr>
          <w:rtl w:val="true"/>
        </w:rPr>
        <w:t>–</w:t>
      </w:r>
      <w:r>
        <w:rPr>
          <w:rtl w:val="true"/>
        </w:rPr>
        <w:t xml:space="preserve"> התייחסות קצרה לטענות נוספות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של בשיר טען לפנינו</w:t>
      </w:r>
      <w:r>
        <w:rPr>
          <w:rtl w:val="true"/>
        </w:rPr>
        <w:t xml:space="preserve">, </w:t>
      </w:r>
      <w:r>
        <w:rPr>
          <w:rtl w:val="true"/>
        </w:rPr>
        <w:t>כי יש בתסקיר שהוגש אגב הליכי הערעור דנן</w:t>
      </w:r>
      <w:r>
        <w:rPr>
          <w:rtl w:val="true"/>
        </w:rPr>
        <w:t xml:space="preserve">, </w:t>
      </w:r>
      <w:r>
        <w:rPr>
          <w:rtl w:val="true"/>
        </w:rPr>
        <w:t>כדי להעיד שפניו של בשיר לשלום</w:t>
      </w:r>
      <w:r>
        <w:rPr>
          <w:rtl w:val="true"/>
        </w:rPr>
        <w:t xml:space="preserve">,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 xml:space="preserve">ולזניחת הדרך העבריינית </w:t>
      </w:r>
      <w:r>
        <w:rPr>
          <w:rtl w:val="true"/>
        </w:rPr>
        <w:t>–</w:t>
      </w:r>
      <w:r>
        <w:rPr>
          <w:rtl w:val="true"/>
        </w:rPr>
        <w:t xml:space="preserve"> וכי יש להתחשב בנתון זה</w:t>
      </w:r>
      <w:r>
        <w:rPr>
          <w:rtl w:val="true"/>
        </w:rPr>
        <w:t xml:space="preserve">, </w:t>
      </w:r>
      <w:r>
        <w:rPr>
          <w:rtl w:val="true"/>
        </w:rPr>
        <w:t>ולהקל בעונשו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בעת שהחמיר בעונשו</w:t>
      </w:r>
      <w:r>
        <w:rPr>
          <w:rtl w:val="true"/>
        </w:rPr>
        <w:t xml:space="preserve">, </w:t>
      </w:r>
      <w:r>
        <w:rPr>
          <w:rtl w:val="true"/>
        </w:rPr>
        <w:t>ביחס ליתר הנאשמים המעורבים בפרשה</w:t>
      </w:r>
      <w:r>
        <w:rPr>
          <w:rtl w:val="true"/>
        </w:rPr>
        <w:t xml:space="preserve">, </w:t>
      </w:r>
      <w:r>
        <w:rPr>
          <w:rtl w:val="true"/>
        </w:rPr>
        <w:t>וכי החמרה זו מנוגדת לעקרון אחידות הענישה</w:t>
      </w:r>
      <w:r>
        <w:rPr>
          <w:rtl w:val="true"/>
        </w:rPr>
        <w:t xml:space="preserve">. </w:t>
      </w:r>
      <w:r>
        <w:rPr>
          <w:rtl w:val="true"/>
        </w:rPr>
        <w:t>אמת נכון הדבר</w:t>
      </w:r>
      <w:r>
        <w:rPr>
          <w:rtl w:val="true"/>
        </w:rPr>
        <w:t xml:space="preserve">, </w:t>
      </w:r>
      <w:r>
        <w:rPr>
          <w:rtl w:val="true"/>
        </w:rPr>
        <w:t>יש לברך על התפנית בהתנהגותו של בשיר</w:t>
      </w:r>
      <w:r>
        <w:rPr>
          <w:rtl w:val="true"/>
        </w:rPr>
        <w:t xml:space="preserve">, </w:t>
      </w:r>
      <w:r>
        <w:rPr>
          <w:rtl w:val="true"/>
        </w:rPr>
        <w:t>ואין לנו אלא לקוות כי תהליך ההפנמה והשינוי לטובה ימשֵך</w:t>
      </w:r>
      <w:r>
        <w:rPr>
          <w:rtl w:val="true"/>
        </w:rPr>
        <w:t xml:space="preserve">. </w:t>
      </w:r>
      <w:r>
        <w:rPr>
          <w:rtl w:val="true"/>
        </w:rPr>
        <w:t>יש לקוות כי גם האדי יעבור תהליך דומה</w:t>
      </w:r>
      <w:r>
        <w:rPr>
          <w:rtl w:val="true"/>
        </w:rPr>
        <w:t xml:space="preserve">, </w:t>
      </w:r>
      <w:r>
        <w:rPr>
          <w:rtl w:val="true"/>
        </w:rPr>
        <w:t>שיסייע לו לסוּר מרע אל דרך המלך</w:t>
      </w:r>
      <w:r>
        <w:rPr>
          <w:rtl w:val="true"/>
        </w:rPr>
        <w:t xml:space="preserve">;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די בנתון זה</w:t>
      </w:r>
      <w:r>
        <w:rPr>
          <w:rtl w:val="true"/>
        </w:rPr>
        <w:t xml:space="preserve">, </w:t>
      </w:r>
      <w:r>
        <w:rPr>
          <w:rtl w:val="true"/>
        </w:rPr>
        <w:t>כדי להביא לקבלת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לכל היותר תוכל התנהגותו החיובית </w:t>
      </w:r>
      <w:r>
        <w:rPr>
          <w:rtl w:val="true"/>
        </w:rPr>
        <w:t>–</w:t>
      </w:r>
      <w:r>
        <w:rPr>
          <w:rtl w:val="true"/>
        </w:rPr>
        <w:t xml:space="preserve"> ככל שתימשך </w:t>
      </w:r>
      <w:r>
        <w:rPr>
          <w:rtl w:val="true"/>
        </w:rPr>
        <w:t>–</w:t>
      </w:r>
      <w:r>
        <w:rPr>
          <w:rtl w:val="true"/>
        </w:rPr>
        <w:t xml:space="preserve"> להיזקף לזכותו בבוא העת</w:t>
      </w:r>
      <w:r>
        <w:rPr>
          <w:rtl w:val="true"/>
        </w:rPr>
        <w:t xml:space="preserve">, </w:t>
      </w:r>
      <w:r>
        <w:rPr>
          <w:rtl w:val="true"/>
        </w:rPr>
        <w:t>לכשיתאפשר לו להגיש בקשה מתאימה לוועדת השחרורים</w:t>
      </w:r>
      <w:r>
        <w:rPr>
          <w:rtl w:val="true"/>
        </w:rPr>
        <w:t xml:space="preserve">, </w:t>
      </w:r>
      <w:r>
        <w:rPr>
          <w:rtl w:val="true"/>
        </w:rPr>
        <w:t>לקיצור עונשו</w:t>
      </w:r>
      <w:r>
        <w:rPr>
          <w:rtl w:val="true"/>
        </w:rPr>
        <w:t xml:space="preserve">. </w:t>
      </w:r>
      <w:r>
        <w:rPr>
          <w:rtl w:val="true"/>
        </w:rPr>
        <w:t>אשר לטענתו לאי</w:t>
      </w:r>
      <w:r>
        <w:rPr>
          <w:rtl w:val="true"/>
        </w:rPr>
        <w:t>-</w:t>
      </w:r>
      <w:r>
        <w:rPr>
          <w:rtl w:val="true"/>
        </w:rPr>
        <w:t>אחידות בענישה</w:t>
      </w:r>
      <w:r>
        <w:rPr>
          <w:rtl w:val="true"/>
        </w:rPr>
        <w:t xml:space="preserve">, </w:t>
      </w:r>
      <w:r>
        <w:rPr>
          <w:rtl w:val="true"/>
        </w:rPr>
        <w:t>סבורני כי גם בעניין זה לא נפלה טעות בגזר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בשיר היה גורם מרכזי ב</w:t>
      </w:r>
      <w:r>
        <w:rPr>
          <w:rtl w:val="true"/>
        </w:rPr>
        <w:t>'</w:t>
      </w:r>
      <w:r>
        <w:rPr>
          <w:rtl w:val="true"/>
        </w:rPr>
        <w:t>מפעל הסחר</w:t>
      </w:r>
      <w:r>
        <w:rPr>
          <w:rtl w:val="true"/>
        </w:rPr>
        <w:t xml:space="preserve">', </w:t>
      </w:r>
      <w:r>
        <w:rPr>
          <w:rtl w:val="true"/>
        </w:rPr>
        <w:t>עסקאות הנשק שאותן הוביל</w:t>
      </w:r>
      <w:r>
        <w:rPr>
          <w:rtl w:val="true"/>
        </w:rPr>
        <w:t xml:space="preserve">, </w:t>
      </w:r>
      <w:r>
        <w:rPr>
          <w:rtl w:val="true"/>
        </w:rPr>
        <w:t>אשר כללו כלי נשק מסוכנים לרוב</w:t>
      </w:r>
      <w:r>
        <w:rPr>
          <w:rtl w:val="true"/>
        </w:rPr>
        <w:t>, '</w:t>
      </w:r>
      <w:r>
        <w:rPr>
          <w:rtl w:val="true"/>
        </w:rPr>
        <w:t>קרלו</w:t>
      </w:r>
      <w:r>
        <w:rPr>
          <w:rtl w:val="true"/>
        </w:rPr>
        <w:t xml:space="preserve">'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כמו גם כמויות נכבדות של תחמושת</w:t>
      </w:r>
      <w:r>
        <w:rPr>
          <w:rtl w:val="true"/>
        </w:rPr>
        <w:t xml:space="preserve">, </w:t>
      </w:r>
      <w:r>
        <w:rPr>
          <w:rtl w:val="true"/>
        </w:rPr>
        <w:t xml:space="preserve">כשעל כל אלה נוסף עברו הפלילי המכביד </w:t>
      </w:r>
      <w:r>
        <w:rPr>
          <w:rtl w:val="true"/>
        </w:rPr>
        <w:t>–</w:t>
      </w:r>
      <w:r>
        <w:rPr>
          <w:rtl w:val="true"/>
        </w:rPr>
        <w:t xml:space="preserve"> הצדיקו החמרה מסוימת בעונשו</w:t>
      </w:r>
      <w:r>
        <w:rPr>
          <w:rtl w:val="true"/>
        </w:rPr>
        <w:t xml:space="preserve">. </w:t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דין הטענות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 </w:t>
      </w:r>
      <w:r>
        <w:rPr>
          <w:rtl w:val="true"/>
        </w:rPr>
        <w:t>ומנומק</w:t>
      </w:r>
      <w:r>
        <w:rPr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;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 </w:t>
      </w:r>
      <w:r>
        <w:rPr>
          <w:rtl w:val="true"/>
        </w:rPr>
        <w:t>הובאו</w:t>
      </w:r>
      <w:r>
        <w:rPr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;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שהושתו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למכלול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להתערבות</w:t>
      </w:r>
      <w:r>
        <w:rPr>
          <w:rtl w:val="true"/>
        </w:rPr>
        <w:t>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לחברַי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 המערערים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480"/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24.10.2021</w:t>
      </w:r>
      <w:r>
        <w:rPr>
          <w:rtl w:val="true"/>
        </w:rPr>
        <w:t xml:space="preserve">). </w:t>
      </w:r>
      <w:bookmarkEnd w:id="17"/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20027330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</w:t>
      </w:r>
      <w:r>
        <w:rPr>
          <w:rFonts w:cs="Times New Roman"/>
          <w:sz w:val="16"/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ס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סולברג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54678313-2733/20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2733/20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בשיר אבו זיאד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ascii="FrankRuehl" w:hAnsi="FrankRuehl" w:cs="FrankRueh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outlineLvl w:val="0"/>
    </w:pPr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360" w:before="40" w:after="0"/>
      <w:outlineLvl w:val="1"/>
    </w:pPr>
    <w:rPr>
      <w:rFonts w:ascii="Calibri Light" w:hAnsi="Calibri Light" w:eastAsia="Times New Roman" w:cs="Times New Roman"/>
      <w:color w:val="2E74B5"/>
      <w:spacing w:val="10"/>
      <w:sz w:val="26"/>
      <w:szCs w:val="2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character" w:styleId="CharChar5">
    <w:name w:val=" Char Char5"/>
    <w:qFormat/>
    <w:rPr>
      <w:rFonts w:ascii="Calibri Light" w:hAnsi="Calibri Light" w:eastAsia="Times New Roman" w:cs="Times New Roman"/>
      <w:color w:val="2E74B5"/>
      <w:spacing w:val="10"/>
      <w:sz w:val="26"/>
      <w:szCs w:val="26"/>
    </w:rPr>
  </w:style>
  <w:style w:type="character" w:styleId="CharChar4">
    <w:name w:val=" Char Char4"/>
    <w:qFormat/>
    <w:rPr>
      <w:rFonts w:cs="David;Malgun Gothic Semilight"/>
      <w:szCs w:val="24"/>
    </w:rPr>
  </w:style>
  <w:style w:type="character" w:styleId="CharChar3">
    <w:name w:val=" Char Char3"/>
    <w:qFormat/>
    <w:rPr>
      <w:rFonts w:cs="David;Malgun Gothic Semilight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ListContinue">
    <w:name w:val="List Continue"/>
    <w:basedOn w:val="Normal"/>
    <w:qFormat/>
    <w:pPr>
      <w:spacing w:lineRule="auto" w:line="360" w:before="0" w:after="120"/>
      <w:ind w:hanging="0" w:start="283" w:end="0"/>
      <w:contextualSpacing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5243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7" TargetMode="External"/><Relationship Id="rId5" Type="http://schemas.openxmlformats.org/officeDocument/2006/relationships/hyperlink" Target="http://www.nevo.co.il/law/70301/38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25252434" TargetMode="External"/><Relationship Id="rId10" Type="http://schemas.openxmlformats.org/officeDocument/2006/relationships/hyperlink" Target="http://www.nevo.co.il/case/25252642" TargetMode="External"/><Relationship Id="rId11" Type="http://schemas.openxmlformats.org/officeDocument/2006/relationships/hyperlink" Target="http://www.nevo.co.il/case/5755866" TargetMode="External"/><Relationship Id="rId12" Type="http://schemas.openxmlformats.org/officeDocument/2006/relationships/hyperlink" Target="http://www.nevo.co.il/case/5875466" TargetMode="External"/><Relationship Id="rId13" Type="http://schemas.openxmlformats.org/officeDocument/2006/relationships/hyperlink" Target="http://www.nevo.co.il/case/24975735" TargetMode="External"/><Relationship Id="rId14" Type="http://schemas.openxmlformats.org/officeDocument/2006/relationships/hyperlink" Target="http://www.nevo.co.il/case/25430243" TargetMode="External"/><Relationship Id="rId15" Type="http://schemas.openxmlformats.org/officeDocument/2006/relationships/hyperlink" Target="http://www.nevo.co.il/law/70301/144.a.;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6118595" TargetMode="External"/><Relationship Id="rId20" Type="http://schemas.openxmlformats.org/officeDocument/2006/relationships/hyperlink" Target="http://www.nevo.co.il/case/23535856" TargetMode="External"/><Relationship Id="rId21" Type="http://schemas.openxmlformats.org/officeDocument/2006/relationships/hyperlink" Target="http://www.nevo.co.il/case/17954235" TargetMode="External"/><Relationship Id="rId22" Type="http://schemas.openxmlformats.org/officeDocument/2006/relationships/hyperlink" Target="http://www.nevo.co.il/case/5598421" TargetMode="External"/><Relationship Id="rId23" Type="http://schemas.openxmlformats.org/officeDocument/2006/relationships/hyperlink" Target="http://www.nevo.co.il/case/5703734" TargetMode="External"/><Relationship Id="rId24" Type="http://schemas.openxmlformats.org/officeDocument/2006/relationships/hyperlink" Target="http://www.nevo.co.il/law/70301/37" TargetMode="External"/><Relationship Id="rId25" Type="http://schemas.openxmlformats.org/officeDocument/2006/relationships/hyperlink" Target="http://www.nevo.co.il/law/70301/3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244964" TargetMode="External"/><Relationship Id="rId28" Type="http://schemas.openxmlformats.org/officeDocument/2006/relationships/hyperlink" Target="https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2021-10-25T10:16:00Z</dcterms:created>
  <dc:creator>h4</dc:creator>
  <dc:description/>
  <cp:keywords/>
  <dc:language>en-IL</dc:language>
  <cp:lastModifiedBy>hofit</cp:lastModifiedBy>
  <cp:lastPrinted>2021-10-24T16:15:00Z</cp:lastPrinted>
  <dcterms:modified xsi:type="dcterms:W3CDTF">2021-10-25T10:16:00Z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בשיר אבו זיאד;האדי אבו זאייד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25252434:2;5755866;5875466;24975735;25430243;25824863;6118595;23535856;17954235;5598421;5703734;6244964</vt:lpwstr>
  </property>
  <property fmtid="{D5CDD505-2E9C-101B-9397-08002B2CF9AE}" pid="9" name="CITY">
    <vt:lpwstr/>
  </property>
  <property fmtid="{D5CDD505-2E9C-101B-9397-08002B2CF9AE}" pid="10" name="DATE">
    <vt:lpwstr>20211024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וילנר</vt:lpwstr>
  </property>
  <property fmtid="{D5CDD505-2E9C-101B-9397-08002B2CF9AE}" pid="14" name="LAWLISTTMP1">
    <vt:lpwstr>70301/144.a;144.b;144.b2;037;038</vt:lpwstr>
  </property>
  <property fmtid="{D5CDD505-2E9C-101B-9397-08002B2CF9AE}" pid="15" name="LAWYER">
    <vt:lpwstr>קרן רוט;יוסי זילברברג;עידו פורת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מתחם הענישה</vt:lpwstr>
  </property>
  <property fmtid="{D5CDD505-2E9C-101B-9397-08002B2CF9AE}" pid="52" name="NOSE34">
    <vt:lpwstr>מתחם הענישה</vt:lpwstr>
  </property>
  <property fmtid="{D5CDD505-2E9C-101B-9397-08002B2CF9AE}" pid="53" name="NOSE35">
    <vt:lpwstr>תסקיר שירות מבחן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13800;8994;15752;14985;13182</vt:lpwstr>
  </property>
  <property fmtid="{D5CDD505-2E9C-101B-9397-08002B2CF9AE}" pid="59" name="PADIDATE">
    <vt:lpwstr>20211025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2733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410120211024</vt:lpwstr>
  </property>
  <property fmtid="{D5CDD505-2E9C-101B-9397-08002B2CF9AE}" pid="69" name="TYPE_N_DATE">
    <vt:lpwstr>41020211024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