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2745/18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באסל</w:t>
            </w:r>
            <w:r>
              <w:rPr>
                <w:rFonts w:cs="Times New Roman"/>
                <w:rtl w:val="true"/>
              </w:rPr>
              <w:t xml:space="preserve"> </w:t>
            </w:r>
            <w:r>
              <w:rPr>
                <w:rtl w:val="true"/>
              </w:rPr>
              <w:t>אבו</w:t>
            </w:r>
            <w:r>
              <w:rPr>
                <w:rFonts w:cs="Times New Roman"/>
                <w:rtl w:val="true"/>
              </w:rPr>
              <w:t xml:space="preserve"> </w:t>
            </w:r>
            <w:r>
              <w:rPr>
                <w:rtl w:val="true"/>
              </w:rPr>
              <w:t>שארב</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ביתן</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20048-06-16</w:t>
              </w:r>
            </w:hyperlink>
            <w:r>
              <w:rPr>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25.02.2018</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א</w:t>
            </w:r>
            <w:r>
              <w:rPr>
                <w:rFonts w:cs="Times New Roman"/>
                <w:sz w:val="24"/>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23.07.2018</w:t>
            </w:r>
            <w:r>
              <w:rPr>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יוסי</w:t>
            </w:r>
            <w:r>
              <w:rPr>
                <w:rFonts w:cs="Times New Roman"/>
                <w:rtl w:val="true"/>
              </w:rPr>
              <w:t xml:space="preserve"> </w:t>
            </w:r>
            <w:r>
              <w:rPr>
                <w:rtl w:val="true"/>
              </w:rPr>
              <w:t>זילברברג</w:t>
            </w:r>
            <w:r>
              <w:rPr>
                <w:sz w:val="26"/>
                <w:szCs w:val="26"/>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עמרי</w:t>
            </w:r>
            <w:r>
              <w:rPr>
                <w:rFonts w:cs="Times New Roman"/>
                <w:sz w:val="28"/>
                <w:sz w:val="28"/>
                <w:rtl w:val="true"/>
              </w:rPr>
              <w:t xml:space="preserve"> </w:t>
            </w:r>
            <w:r>
              <w:rPr>
                <w:sz w:val="28"/>
                <w:sz w:val="28"/>
                <w:rtl w:val="true"/>
              </w:rPr>
              <w:t>שטרן</w:t>
            </w:r>
            <w:r>
              <w:rPr>
                <w:sz w:val="26"/>
                <w:szCs w:val="26"/>
                <w:rtl w:val="true"/>
              </w:rPr>
              <w:tab/>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חיים</w:t>
            </w:r>
            <w:r>
              <w:rPr>
                <w:rFonts w:cs="Times New Roman"/>
                <w:rtl w:val="true"/>
              </w:rPr>
              <w:t xml:space="preserve"> </w:t>
            </w:r>
            <w:r>
              <w:rPr>
                <w:rtl w:val="true"/>
              </w:rPr>
              <w:t>שוויצר</w:t>
            </w:r>
          </w:p>
          <w:p>
            <w:pPr>
              <w:pStyle w:val="BodyRuller1"/>
              <w:ind w:end="0"/>
              <w:jc w:val="start"/>
              <w:rPr/>
            </w:pPr>
            <w:r>
              <w:rPr>
                <w:rtl w:val="true"/>
              </w:rPr>
            </w:r>
          </w:p>
        </w:tc>
      </w:tr>
      <w:tr>
        <w:trPr/>
        <w:tc>
          <w:tcPr>
            <w:tcW w:w="3257"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448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bookmarkStart w:id="7" w:name="ABSTRACT_START"/>
      <w:bookmarkStart w:id="8" w:name="LawTable_End"/>
      <w:bookmarkEnd w:id="7"/>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pPr>
      <w:r>
        <w:rPr>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גזר את עונשו של המערער </w:t>
      </w:r>
      <w:r>
        <w:rPr>
          <w:rFonts w:ascii="Times New Roman" w:hAnsi="Times New Roman" w:cs="Times New Roman"/>
          <w:spacing w:val="0"/>
          <w:szCs w:val="26"/>
          <w:rtl w:val="true"/>
        </w:rPr>
        <w:t>– בעקבות הרשעתו במסגרת הסדר טיעון בע</w:t>
      </w:r>
      <w:r>
        <w:rPr>
          <w:rFonts w:ascii="Times New Roman" w:hAnsi="Times New Roman" w:cs="Times New Roman"/>
          <w:spacing w:val="0"/>
          <w:szCs w:val="26"/>
          <w:rtl w:val="true"/>
        </w:rPr>
        <w:t>ב</w:t>
      </w:r>
      <w:r>
        <w:rPr>
          <w:rFonts w:ascii="Times New Roman" w:hAnsi="Times New Roman" w:cs="Times New Roman"/>
          <w:spacing w:val="0"/>
          <w:szCs w:val="26"/>
          <w:rtl w:val="true"/>
        </w:rPr>
        <w:t>ירת הצתה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בסף התחתון של מתחם הענישה שקבע וברף העליון של טווח הענישה המוסכם בהסדר הטיעון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השיקולים העומדים ביסוד קביעת מתחם הענישה בידי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מכלול הנסיבות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בחינת המעשה והעושה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והסדר הטיעון שאליו הגיעו הצדדים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 נמצא להתערב בגזה</w:t>
      </w:r>
      <w:r>
        <w:rPr>
          <w:rFonts w:cs="Times New Roman" w:ascii="Times New Roman" w:hAnsi="Times New Roman"/>
          <w:spacing w:val="0"/>
          <w:szCs w:val="26"/>
          <w:rtl w:val="true"/>
        </w:rPr>
        <w:t>"</w:t>
      </w:r>
      <w:r>
        <w:rPr>
          <w:rFonts w:ascii="Times New Roman" w:hAnsi="Times New Roman" w:cs="Times New Roman"/>
          <w:spacing w:val="0"/>
          <w:szCs w:val="26"/>
          <w:rtl w:val="true"/>
        </w:rPr>
        <w:t>ד</w:t>
      </w: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הסדר טיעון – טווח ענישה מוסכם</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מתחם הענישה</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הצתה</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התערבות ערכאת הערעור</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pPr>
      <w:r>
        <w:rPr>
          <w:rFonts w:ascii="Times New Roman" w:hAnsi="Times New Roman" w:cs="Times New Roman"/>
          <w:spacing w:val="0"/>
          <w:szCs w:val="26"/>
          <w:rtl w:val="true"/>
        </w:rPr>
        <w:t>ערעור על גז</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בגדרו הושתו על המערער – בעקבות הרשעתו במסגרת הדר טיעון בעבירת הצתה שעניינה הצתת בית עסק המצוי בסביבת בתי מגורים על רקע סכסוך משפחות –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w:t>
      </w:r>
      <w:r>
        <w:rPr>
          <w:rFonts w:ascii="Times New Roman" w:hAnsi="Times New Roman" w:cs="Times New Roman"/>
          <w:spacing w:val="0"/>
          <w:szCs w:val="26"/>
          <w:rtl w:val="true"/>
        </w:rPr>
        <w:t xml:space="preserve"> מאסר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בניכוי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ימי</w:t>
      </w:r>
      <w:r>
        <w:rPr>
          <w:rFonts w:ascii="Times New Roman" w:hAnsi="Times New Roman" w:cs="Times New Roman"/>
          <w:spacing w:val="0"/>
          <w:szCs w:val="26"/>
          <w:rtl w:val="true"/>
        </w:rPr>
        <w:t xml:space="preserve"> מעצרו</w:t>
      </w:r>
      <w:r>
        <w:rPr>
          <w:rFonts w:cs="Times New Roman" w:ascii="Times New Roman" w:hAnsi="Times New Roman"/>
          <w:spacing w:val="0"/>
          <w:szCs w:val="26"/>
          <w:rtl w:val="true"/>
        </w:rPr>
        <w:t xml:space="preserve">);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 תנאי</w:t>
      </w:r>
      <w:r>
        <w:rPr>
          <w:rFonts w:ascii="Times New Roman" w:hAnsi="Times New Roman" w:cs="Times New Roman"/>
          <w:spacing w:val="0"/>
          <w:szCs w:val="26"/>
          <w:rtl w:val="true"/>
        </w:rPr>
        <w:t xml:space="preserve"> וקנס בסך של </w:t>
      </w:r>
      <w:r>
        <w:rPr>
          <w:rFonts w:cs="Times New Roman" w:ascii="Times New Roman" w:hAnsi="Times New Roman"/>
          <w:spacing w:val="0"/>
          <w:szCs w:val="26"/>
        </w:rPr>
        <w:t>5,000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או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ימי מאסר תחתיו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מצוי בטווח העליון של רף הענישה המוסכם בהסדר הטיעון</w:t>
      </w: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המשנה לנשיאה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מלצר בהסכמת השופטים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הנדל 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מהטעמים הבאים</w:t>
      </w: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rFonts w:ascii="Times New Roman" w:hAnsi="Times New Roman" w:cs="Times New Roman"/>
          <w:spacing w:val="0"/>
          <w:szCs w:val="26"/>
        </w:rPr>
      </w:pPr>
      <w:r>
        <w:rPr>
          <w:rFonts w:ascii="Times New Roman" w:hAnsi="Times New Roman" w:cs="Times New Roman"/>
          <w:spacing w:val="0"/>
          <w:szCs w:val="26"/>
          <w:rtl w:val="true"/>
        </w:rPr>
        <w:t>הלכה היא כי התערבות בעונש שגזרה הערכאה המבררת תיעשה במקרים חריגים בלבד – בהם נפלה טעות מהותית בגזר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העונש שנגזר חורג ממדיניות הענישה הנוהגת במקרים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כאשר ישנן נסיבות מיוחדות המצדיקות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לסטות מהלכה זו בענייננו</w:t>
      </w: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לא ראה עצמו מחויב בהכרח להסכמה אליה הגיעו הצדדים בהסדר הטיעון לעניין העונש וקבע כי המתחם נע במכלול בין שנתיים לחמש 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להתערב בקביעה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כידוע </w:t>
      </w:r>
      <w:r>
        <w:rPr>
          <w:rFonts w:cs="Times New Roman" w:ascii="Times New Roman" w:hAnsi="Times New Roman"/>
          <w:spacing w:val="0"/>
          <w:szCs w:val="26"/>
          <w:rtl w:val="true"/>
        </w:rPr>
        <w:t>(</w:t>
      </w:r>
      <w:r>
        <w:rPr>
          <w:rFonts w:ascii="Times New Roman" w:hAnsi="Times New Roman" w:cs="Times New Roman"/>
          <w:spacing w:val="0"/>
          <w:szCs w:val="26"/>
          <w:rtl w:val="true"/>
        </w:rPr>
        <w:t>וכמפורט בפסה</w:t>
      </w:r>
      <w:r>
        <w:rPr>
          <w:rFonts w:cs="Times New Roman" w:ascii="Times New Roman" w:hAnsi="Times New Roman"/>
          <w:spacing w:val="0"/>
          <w:szCs w:val="26"/>
          <w:rtl w:val="true"/>
        </w:rPr>
        <w:t>"</w:t>
      </w:r>
      <w:r>
        <w:rPr>
          <w:rFonts w:ascii="Times New Roman" w:hAnsi="Times New Roman" w:cs="Times New Roman"/>
          <w:spacing w:val="0"/>
          <w:szCs w:val="26"/>
          <w:rtl w:val="true"/>
        </w:rPr>
        <w:t>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השיקולים העומדים ביסוד קביעת מתחם הענישה בידי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בעניינו של נאשם וגזירת העונש בתוכו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שונים מאלו העומדים בבסיס ההתקשרות בין צדדים לכתב אישום במסגרת הסדר טיעון</w:t>
      </w:r>
      <w:r>
        <w:rPr>
          <w:rFonts w:cs="Times New Roman" w:ascii="Times New Roman" w:hAnsi="Times New Roman"/>
          <w:spacing w:val="0"/>
          <w:szCs w:val="26"/>
          <w:rtl w:val="true"/>
        </w:rPr>
        <w:t xml:space="preserve">. </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pPr>
      <w:r>
        <w:rPr>
          <w:rFonts w:ascii="Times New Roman" w:hAnsi="Times New Roman" w:cs="Times New Roman"/>
          <w:spacing w:val="0"/>
          <w:szCs w:val="26"/>
          <w:rtl w:val="true"/>
        </w:rPr>
        <w:t>הבדלים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בהצטרפם אל ערכים חשובים אחרים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דוגמת עצמאות שיקול הדעת המוקנה לביהמ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מורים כי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איננו כבול בהכרח להסכמות אליהן הגיעו הצדדים במסגרת הסדר הטיעון לעניין טווח הענישה וגזירת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מבחינה עקרונית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נפלה כל טעות מצד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כאשר ראה לציין מתחם ענישה שונה מרף העונש המקסימאלי שהוסכם על הצדדים במסגרת טווחי הענישה אליהם הגיעו</w:t>
      </w:r>
      <w:r>
        <w:rPr>
          <w:rFonts w:cs="Times New Roman" w:ascii="Times New Roman" w:hAnsi="Times New Roman"/>
          <w:spacing w:val="0"/>
          <w:szCs w:val="26"/>
          <w:rtl w:val="true"/>
        </w:rPr>
        <w:t>.</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pPr>
      <w:r>
        <w:rPr>
          <w:rFonts w:ascii="Times New Roman" w:hAnsi="Times New Roman" w:cs="Times New Roman"/>
          <w:spacing w:val="0"/>
          <w:szCs w:val="26"/>
          <w:rtl w:val="true"/>
        </w:rPr>
        <w:t>בחינה פרטנית של הדברים מגלה כי 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מתחם הענישה אותו העמיד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משקף את חומרת מעשיו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הערכים המוגנים שנפגעו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ומדיניות הענישה הנוהגת</w:t>
      </w:r>
      <w:r>
        <w:rPr>
          <w:rFonts w:cs="Times New Roman" w:ascii="Times New Roman" w:hAnsi="Times New Roman"/>
          <w:spacing w:val="0"/>
          <w:szCs w:val="26"/>
          <w:rtl w:val="true"/>
        </w:rPr>
        <w:t xml:space="preserve">. </w:t>
      </w:r>
    </w:p>
    <w:p>
      <w:pPr>
        <w:pStyle w:val="Ruller43"/>
        <w:pBdr>
          <w:top w:val="single" w:sz="4" w:space="1" w:color="000000"/>
          <w:bottom w:val="single" w:sz="4" w:space="1" w:color="000000"/>
        </w:pBdr>
        <w:tabs>
          <w:tab w:val="clear" w:pos="1191"/>
          <w:tab w:val="left" w:pos="800" w:leader="none"/>
        </w:tabs>
        <w:spacing w:lineRule="exact" w:line="320" w:before="0" w:after="120"/>
        <w:ind w:start="0" w:end="0"/>
        <w:jc w:val="both"/>
        <w:rPr/>
      </w:pPr>
      <w:r>
        <w:rPr>
          <w:rFonts w:ascii="Times New Roman" w:hAnsi="Times New Roman" w:cs="Times New Roman"/>
          <w:spacing w:val="0"/>
          <w:szCs w:val="26"/>
          <w:rtl w:val="true"/>
        </w:rPr>
        <w:t>כן לא נמצא כי נסיבותיו האישיות של המערער מצדיקות התערבות לקולא בעונש שהושת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שהיה בקצה טווח הענישה עליו הוסכם בין הצדדים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שהמערער נטל </w:t>
      </w:r>
      <w:r>
        <w:rPr>
          <w:rFonts w:cs="Times New Roman" w:ascii="Times New Roman" w:hAnsi="Times New Roman"/>
          <w:spacing w:val="0"/>
          <w:szCs w:val="26"/>
          <w:rtl w:val="true"/>
        </w:rPr>
        <w:t>"</w:t>
      </w:r>
      <w:r>
        <w:rPr>
          <w:rFonts w:ascii="Times New Roman" w:hAnsi="Times New Roman" w:cs="Times New Roman"/>
          <w:spacing w:val="0"/>
          <w:szCs w:val="26"/>
          <w:rtl w:val="true"/>
        </w:rPr>
        <w:t>סיכון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זה על עצמו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 אלו נלקחו בחשבון בעת מתן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במסגרת זו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הנכבד אף התחשב בגילו הצעיר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בעברו הפלילי הנקי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בהודאתו בעובדות כתב האישום המתוקן וכן בתסקיר שירות המבחן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שאילולא כן יתכן והיה חורג מהסדר הטיעון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rtl w:val="true"/>
        </w:rPr>
        <w:t>:</w:t>
      </w:r>
    </w:p>
    <w:p>
      <w:pPr>
        <w:pStyle w:val="Ruller42"/>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3"/>
        <w:numPr>
          <w:ilvl w:val="0"/>
          <w:numId w:val="1"/>
        </w:numPr>
        <w:ind w:hanging="0" w:start="90" w:end="0"/>
        <w:jc w:val="both"/>
        <w:rPr/>
      </w:pPr>
      <w:r>
        <w:rPr>
          <w:rtl w:val="true"/>
        </w:rPr>
        <w:t xml:space="preserve">בפנינו ערעור על גזר דינו של בית המשפט המחוזי </w:t>
      </w:r>
      <w:r>
        <w:rPr>
          <w:rtl w:val="true"/>
        </w:rPr>
        <w:t>בבאר שבע</w:t>
      </w:r>
      <w:r>
        <w:rPr>
          <w:rtl w:val="true"/>
        </w:rPr>
        <w:t xml:space="preserve"> </w:t>
      </w:r>
      <w:r>
        <w:rPr>
          <w:rtl w:val="true"/>
        </w:rPr>
        <w:t>(</w:t>
      </w:r>
      <w:r>
        <w:rPr>
          <w:rtl w:val="true"/>
        </w:rPr>
        <w:t>השופט</w:t>
      </w:r>
      <w:r>
        <w:rPr>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ביתן</w:t>
      </w:r>
      <w:r>
        <w:rPr>
          <w:rtl w:val="true"/>
        </w:rPr>
        <w:t xml:space="preserve">, </w:t>
      </w:r>
      <w:r>
        <w:rPr>
          <w:rtl w:val="true"/>
        </w:rPr>
        <w:t>סג</w:t>
      </w:r>
      <w:r>
        <w:rPr>
          <w:rtl w:val="true"/>
        </w:rPr>
        <w:t>"</w:t>
      </w:r>
      <w:r>
        <w:rPr>
          <w:rtl w:val="true"/>
        </w:rPr>
        <w:t>נ</w:t>
      </w:r>
      <w:r>
        <w:rPr>
          <w:rtl w:val="true"/>
        </w:rPr>
        <w:t xml:space="preserve">) </w:t>
      </w:r>
      <w:r>
        <w:rPr>
          <w:rtl w:val="true"/>
        </w:rPr>
        <w:t>ב</w:t>
      </w:r>
      <w:r>
        <w:rPr>
          <w:rtl w:val="true"/>
        </w:rPr>
        <w:t>-</w:t>
      </w:r>
      <w:r>
        <w:rPr>
          <w:rtl w:val="true"/>
        </w:rPr>
        <w:t>תפ</w:t>
      </w:r>
      <w:r>
        <w:rPr>
          <w:rtl w:val="true"/>
        </w:rPr>
        <w:t>"</w:t>
      </w:r>
      <w:r>
        <w:rPr>
          <w:rtl w:val="true"/>
        </w:rPr>
        <w:t xml:space="preserve">ח </w:t>
      </w:r>
      <w:r>
        <w:rPr/>
        <w:t>20048</w:t>
      </w:r>
      <w:r>
        <w:rPr/>
        <w:t>-0</w:t>
      </w:r>
      <w:r>
        <w:rPr/>
        <w:t>6</w:t>
      </w:r>
      <w:r>
        <w:rPr/>
        <w:t>-1</w:t>
      </w:r>
      <w:r>
        <w:rPr/>
        <w:t>6</w:t>
      </w:r>
      <w:r>
        <w:rPr>
          <w:rtl w:val="true"/>
        </w:rPr>
        <w:t xml:space="preserve">, </w:t>
      </w:r>
      <w:r>
        <w:rPr>
          <w:rtl w:val="true"/>
        </w:rPr>
        <w:t>בגדרו</w:t>
      </w:r>
      <w:r>
        <w:rPr>
          <w:rtl w:val="true"/>
        </w:rPr>
        <w:t xml:space="preserve"> הושתו על המערער העונשים הבאים</w:t>
      </w:r>
      <w:r>
        <w:rPr>
          <w:rtl w:val="true"/>
        </w:rPr>
        <w:t xml:space="preserve">: </w:t>
      </w:r>
      <w:r>
        <w:rPr/>
        <w:t>24</w:t>
      </w:r>
      <w:r>
        <w:rPr>
          <w:rtl w:val="true"/>
        </w:rPr>
        <w:t xml:space="preserve"> </w:t>
      </w:r>
      <w:r>
        <w:rPr>
          <w:rtl w:val="true"/>
        </w:rPr>
        <w:t>חודשי</w:t>
      </w:r>
      <w:r>
        <w:rPr>
          <w:rtl w:val="true"/>
        </w:rPr>
        <w:t xml:space="preserve"> מאסר בפועל </w:t>
      </w:r>
      <w:r>
        <w:rPr>
          <w:rtl w:val="true"/>
        </w:rPr>
        <w:t>(</w:t>
      </w:r>
      <w:r>
        <w:rPr>
          <w:rtl w:val="true"/>
        </w:rPr>
        <w:t>בניכוי</w:t>
      </w:r>
      <w:r>
        <w:rPr>
          <w:rtl w:val="true"/>
        </w:rPr>
        <w:t xml:space="preserve"> </w:t>
      </w:r>
      <w:r>
        <w:rPr>
          <w:rtl w:val="true"/>
        </w:rPr>
        <w:t>ימי</w:t>
      </w:r>
      <w:r>
        <w:rPr>
          <w:rtl w:val="true"/>
        </w:rPr>
        <w:t xml:space="preserve"> מעצרו</w:t>
      </w:r>
      <w:r>
        <w:rPr>
          <w:rtl w:val="true"/>
        </w:rPr>
        <w:t xml:space="preserve">); </w:t>
      </w:r>
      <w:r>
        <w:rPr/>
        <w:t>12</w:t>
      </w:r>
      <w:r>
        <w:rPr>
          <w:rtl w:val="true"/>
        </w:rPr>
        <w:t xml:space="preserve"> </w:t>
      </w:r>
      <w:r>
        <w:rPr>
          <w:rtl w:val="true"/>
        </w:rPr>
        <w:t>חודשי מאסר על תנאי</w:t>
      </w:r>
      <w:r>
        <w:rPr>
          <w:rtl w:val="true"/>
        </w:rPr>
        <w:t xml:space="preserve">, </w:t>
      </w:r>
      <w:r>
        <w:rPr>
          <w:rtl w:val="true"/>
        </w:rPr>
        <w:t>לבל יעבור המערער</w:t>
      </w:r>
      <w:r>
        <w:rPr>
          <w:rtl w:val="true"/>
        </w:rPr>
        <w:t xml:space="preserve">, </w:t>
      </w:r>
      <w:r>
        <w:rPr>
          <w:rtl w:val="true"/>
        </w:rPr>
        <w:t>במשך שלוש שנים מיום שחרורו עבי</w:t>
      </w:r>
      <w:r>
        <w:rPr>
          <w:rtl w:val="true"/>
        </w:rPr>
        <w:t>רת הצתה</w:t>
      </w:r>
      <w:r>
        <w:rPr>
          <w:rtl w:val="true"/>
        </w:rPr>
        <w:t>,</w:t>
      </w:r>
      <w:r>
        <w:rPr>
          <w:rtl w:val="true"/>
        </w:rPr>
        <w:t xml:space="preserve"> </w:t>
      </w:r>
      <w:r>
        <w:rPr>
          <w:rtl w:val="true"/>
        </w:rPr>
        <w:t xml:space="preserve">וכן קנס בסך של </w:t>
      </w:r>
      <w:r>
        <w:rPr/>
        <w:t>5,000</w:t>
      </w:r>
      <w:r>
        <w:rPr>
          <w:rtl w:val="true"/>
        </w:rPr>
        <w:t xml:space="preserve"> </w:t>
      </w:r>
      <w:r>
        <w:rPr>
          <w:rtl w:val="true"/>
        </w:rPr>
        <w:t>ש</w:t>
      </w:r>
      <w:r>
        <w:rPr>
          <w:rtl w:val="true"/>
        </w:rPr>
        <w:t>"</w:t>
      </w:r>
      <w:r>
        <w:rPr>
          <w:rtl w:val="true"/>
        </w:rPr>
        <w:t>ח</w:t>
      </w:r>
      <w:r>
        <w:rPr>
          <w:rtl w:val="true"/>
        </w:rPr>
        <w:t xml:space="preserve">, </w:t>
      </w:r>
      <w:r>
        <w:rPr>
          <w:rtl w:val="true"/>
        </w:rPr>
        <w:t xml:space="preserve">או </w:t>
      </w:r>
      <w:r>
        <w:rPr/>
        <w:t>15</w:t>
      </w:r>
      <w:r>
        <w:rPr>
          <w:rtl w:val="true"/>
        </w:rPr>
        <w:t xml:space="preserve"> </w:t>
      </w:r>
      <w:r>
        <w:rPr>
          <w:rtl w:val="true"/>
        </w:rPr>
        <w:t>ימי מאסר תחתיו</w:t>
      </w:r>
      <w:r>
        <w:rPr>
          <w:rtl w:val="true"/>
        </w:rPr>
        <w:t>.</w:t>
      </w:r>
    </w:p>
    <w:p>
      <w:pPr>
        <w:pStyle w:val="Ruller42"/>
        <w:ind w:end="0"/>
        <w:jc w:val="both"/>
        <w:rPr/>
      </w:pPr>
      <w:r>
        <w:rPr>
          <w:rtl w:val="true"/>
        </w:rPr>
      </w:r>
    </w:p>
    <w:p>
      <w:pPr>
        <w:pStyle w:val="Ruller42"/>
        <w:ind w:end="0"/>
        <w:jc w:val="both"/>
        <w:rPr/>
      </w:pPr>
      <w:r>
        <w:rPr>
          <w:rtl w:val="true"/>
        </w:rPr>
        <w:tab/>
      </w:r>
      <w:r>
        <w:rPr>
          <w:rtl w:val="true"/>
        </w:rPr>
        <w:t>להלן</w:t>
      </w:r>
      <w:r>
        <w:rPr>
          <w:rFonts w:eastAsia="Arial TUR;Arial" w:cs="Arial TUR;Arial"/>
          <w:rtl w:val="true"/>
        </w:rPr>
        <w:t xml:space="preserve"> </w:t>
      </w:r>
      <w:r>
        <w:rPr>
          <w:rtl w:val="true"/>
        </w:rPr>
        <w:t>נפרט</w:t>
      </w:r>
      <w:r>
        <w:rPr>
          <w:rFonts w:eastAsia="Arial TUR;Arial" w:cs="Arial TUR;Arial"/>
          <w:rtl w:val="true"/>
        </w:rPr>
        <w:t xml:space="preserve"> </w:t>
      </w:r>
      <w:r>
        <w:rPr>
          <w:rtl w:val="true"/>
        </w:rPr>
        <w:t>בקצרה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הרקע</w:t>
      </w:r>
      <w:r>
        <w:rPr>
          <w:rFonts w:eastAsia="Arial TUR;Arial" w:cs="Arial TUR;Arial"/>
          <w:rtl w:val="true"/>
        </w:rPr>
        <w:t xml:space="preserve"> </w:t>
      </w:r>
      <w:r>
        <w:rPr>
          <w:rtl w:val="true"/>
        </w:rPr>
        <w:t>ו</w:t>
      </w:r>
      <w:r>
        <w:rPr>
          <w:rtl w:val="true"/>
        </w:rPr>
        <w:t>הנתונים</w:t>
      </w:r>
      <w:r>
        <w:rPr>
          <w:rFonts w:eastAsia="Arial TUR;Arial" w:cs="Arial TUR;Arial"/>
          <w:rtl w:val="true"/>
        </w:rPr>
        <w:t xml:space="preserve"> </w:t>
      </w:r>
      <w:r>
        <w:rPr>
          <w:rtl w:val="true"/>
        </w:rPr>
        <w:t>הדרושים</w:t>
      </w:r>
      <w:r>
        <w:rPr>
          <w:rFonts w:eastAsia="Arial TUR;Arial" w:cs="Arial TUR;Arial"/>
          <w:rtl w:val="true"/>
        </w:rPr>
        <w:t xml:space="preserve"> </w:t>
      </w:r>
      <w:r>
        <w:rPr>
          <w:rtl w:val="true"/>
        </w:rPr>
        <w:t>להכרעה</w:t>
      </w:r>
      <w:r>
        <w:rPr>
          <w:rFonts w:eastAsia="Arial TUR;Arial" w:cs="Arial TUR;Arial"/>
          <w:rtl w:val="true"/>
        </w:rPr>
        <w:t xml:space="preserve"> </w:t>
      </w:r>
      <w:r>
        <w:rPr>
          <w:rtl w:val="true"/>
        </w:rPr>
        <w:t>במכלול</w:t>
      </w:r>
      <w:r>
        <w:rPr>
          <w:rtl w:val="true"/>
        </w:rPr>
        <w:t>.</w:t>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רקע</w:t>
      </w:r>
    </w:p>
    <w:p>
      <w:pPr>
        <w:pStyle w:val="Ruller42"/>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3"/>
        <w:numPr>
          <w:ilvl w:val="0"/>
          <w:numId w:val="1"/>
        </w:numPr>
        <w:ind w:hanging="0" w:start="90" w:end="0"/>
        <w:jc w:val="both"/>
        <w:rPr>
          <w:rFonts w:ascii="Century" w:hAnsi="Century" w:cs="Century"/>
        </w:rPr>
      </w:pPr>
      <w:r>
        <w:rPr>
          <w:rFonts w:ascii="Century" w:hAnsi="Century" w:cs="Century"/>
          <w:rtl w:val="true"/>
        </w:rPr>
        <w:t>המערער</w:t>
      </w:r>
      <w:r>
        <w:rPr>
          <w:rFonts w:cs="Century" w:ascii="Century" w:hAnsi="Century"/>
          <w:rtl w:val="true"/>
        </w:rPr>
        <w:t xml:space="preserve">, </w:t>
      </w:r>
      <w:r>
        <w:rPr>
          <w:rFonts w:ascii="Century" w:hAnsi="Century" w:cs="Century"/>
          <w:rtl w:val="true"/>
        </w:rPr>
        <w:t xml:space="preserve">יליד </w:t>
      </w:r>
      <w:r>
        <w:rPr>
          <w:rFonts w:cs="Century" w:ascii="Century" w:hAnsi="Century"/>
        </w:rPr>
        <w:t>1996</w:t>
      </w:r>
      <w:r>
        <w:rPr>
          <w:rFonts w:cs="Century" w:ascii="Century" w:hAnsi="Century"/>
          <w:rtl w:val="true"/>
        </w:rPr>
        <w:t xml:space="preserve">, </w:t>
      </w:r>
      <w:r>
        <w:rPr>
          <w:rFonts w:ascii="Century" w:hAnsi="Century" w:cs="Century"/>
          <w:rtl w:val="true"/>
        </w:rPr>
        <w:t>הורשע על יסוד הודאתו בעובדות כתב אישום מתוקן</w:t>
      </w:r>
      <w:r>
        <w:rPr>
          <w:rFonts w:cs="Century" w:ascii="Century" w:hAnsi="Century"/>
          <w:rtl w:val="true"/>
        </w:rPr>
        <w:t xml:space="preserve">, </w:t>
      </w:r>
      <w:r>
        <w:rPr>
          <w:rtl w:val="true"/>
        </w:rPr>
        <w:t>שייחס לו ביצוע עבירת הצתה</w:t>
      </w:r>
      <w:r>
        <w:rPr>
          <w:rtl w:val="true"/>
        </w:rPr>
        <w:t xml:space="preserve">, </w:t>
      </w:r>
      <w:r>
        <w:rPr>
          <w:rtl w:val="true"/>
        </w:rPr>
        <w:t xml:space="preserve">הקבועה </w:t>
      </w:r>
      <w:hyperlink r:id="rId5">
        <w:r>
          <w:rPr>
            <w:rStyle w:val="Hyperlink"/>
            <w:color w:val="0000FF"/>
            <w:u w:val="single"/>
            <w:rtl w:val="true"/>
          </w:rPr>
          <w:t>בסעיף</w:t>
        </w:r>
        <w:r>
          <w:rPr>
            <w:rStyle w:val="Hyperlink"/>
            <w:color w:val="0000FF"/>
            <w:u w:val="single"/>
            <w:rtl w:val="true"/>
          </w:rPr>
          <w:t xml:space="preserve"> </w:t>
        </w:r>
        <w:r>
          <w:rPr>
            <w:rStyle w:val="Hyperlink"/>
            <w:color w:val="0000FF"/>
            <w:u w:val="single"/>
          </w:rPr>
          <w:t>448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 ל</w:t>
      </w:r>
      <w:hyperlink r:id="rId6">
        <w:r>
          <w:rPr>
            <w:rStyle w:val="Hyperlink"/>
            <w:rFonts w:ascii="Times New Roman" w:hAnsi="Times New Roman" w:cs="Miriam"/>
            <w:color w:val="0000FF"/>
            <w:spacing w:val="0"/>
            <w:sz w:val="28"/>
            <w:sz w:val="28"/>
            <w:szCs w:val="24"/>
            <w:u w:val="single"/>
            <w:rtl w:val="true"/>
          </w:rPr>
          <w:t>חוק</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העונשין</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התשל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ז</w:t>
      </w:r>
      <w:r>
        <w:rPr>
          <w:rFonts w:cs="Miriam" w:ascii="Times New Roman" w:hAnsi="Times New Roman"/>
          <w:spacing w:val="0"/>
          <w:sz w:val="28"/>
          <w:szCs w:val="24"/>
          <w:rtl w:val="true"/>
        </w:rPr>
        <w:t>-</w:t>
      </w:r>
      <w:r>
        <w:rPr>
          <w:rFonts w:cs="Miriam" w:ascii="Times New Roman" w:hAnsi="Times New Roman"/>
          <w:spacing w:val="0"/>
          <w:sz w:val="28"/>
          <w:szCs w:val="24"/>
        </w:rPr>
        <w:t>1977</w:t>
      </w:r>
      <w:r>
        <w:rPr>
          <w:rFonts w:cs="Miriam" w:ascii="Times New Roman" w:hAnsi="Times New Roman"/>
          <w:spacing w:val="0"/>
          <w:sz w:val="28"/>
          <w:szCs w:val="24"/>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חוק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העונשין</w:t>
      </w:r>
      <w:r>
        <w:rPr>
          <w:rtl w:val="true"/>
        </w:rPr>
        <w:t xml:space="preserve">). </w:t>
      </w:r>
      <w:r>
        <w:rPr>
          <w:rtl w:val="true"/>
        </w:rPr>
        <w:t xml:space="preserve">ההודאה והתיקון לכתב האישום נעשו </w:t>
      </w:r>
      <w:r>
        <w:rPr>
          <w:rFonts w:ascii="Century" w:hAnsi="Century" w:cs="Century"/>
          <w:rtl w:val="true"/>
        </w:rPr>
        <w:t>על</w:t>
      </w:r>
      <w:r>
        <w:rPr>
          <w:rFonts w:cs="Century" w:ascii="Century" w:hAnsi="Century"/>
          <w:rtl w:val="true"/>
        </w:rPr>
        <w:t>-</w:t>
      </w:r>
      <w:r>
        <w:rPr>
          <w:rFonts w:ascii="Century" w:hAnsi="Century" w:cs="Century"/>
          <w:rtl w:val="true"/>
        </w:rPr>
        <w:t>פי הסדר טיעון אליו הגיעו הצדדים</w:t>
      </w:r>
      <w:r>
        <w:rPr>
          <w:rFonts w:cs="Century" w:ascii="Century" w:hAnsi="Century"/>
          <w:rtl w:val="true"/>
        </w:rPr>
        <w:t>.</w:t>
      </w:r>
    </w:p>
    <w:p>
      <w:pPr>
        <w:pStyle w:val="Ruller43"/>
        <w:ind w:start="0" w:end="0"/>
        <w:jc w:val="both"/>
        <w:rPr>
          <w:rFonts w:ascii="Century" w:hAnsi="Century" w:cs="Century"/>
        </w:rPr>
      </w:pPr>
      <w:r>
        <w:rPr>
          <w:rFonts w:cs="Century" w:ascii="Century" w:hAnsi="Century"/>
          <w:rtl w:val="true"/>
        </w:rPr>
      </w:r>
    </w:p>
    <w:p>
      <w:pPr>
        <w:pStyle w:val="Ruller43"/>
        <w:numPr>
          <w:ilvl w:val="0"/>
          <w:numId w:val="1"/>
        </w:numPr>
        <w:ind w:hanging="0" w:start="90" w:end="0"/>
        <w:jc w:val="both"/>
        <w:rPr>
          <w:rFonts w:ascii="Century" w:hAnsi="Century" w:cs="Century"/>
        </w:rPr>
      </w:pPr>
      <w:r>
        <w:rPr>
          <w:rFonts w:ascii="Century" w:hAnsi="Century" w:cs="Century"/>
          <w:rtl w:val="true"/>
        </w:rPr>
        <w:t>על</w:t>
      </w:r>
      <w:r>
        <w:rPr>
          <w:rFonts w:cs="Century" w:ascii="Century" w:hAnsi="Century"/>
          <w:rtl w:val="true"/>
        </w:rPr>
        <w:t>-</w:t>
      </w:r>
      <w:r>
        <w:rPr>
          <w:rFonts w:ascii="Century" w:hAnsi="Century" w:cs="Century"/>
          <w:rtl w:val="true"/>
        </w:rPr>
        <w:t>פי עובדות כתב האישום המתוקן</w:t>
      </w:r>
      <w:r>
        <w:rPr>
          <w:rFonts w:cs="Century" w:ascii="Century" w:hAnsi="Century"/>
          <w:rtl w:val="true"/>
        </w:rPr>
        <w:t xml:space="preserve">, </w:t>
      </w:r>
      <w:r>
        <w:rPr>
          <w:rFonts w:ascii="Century" w:hAnsi="Century" w:cs="Century"/>
          <w:rtl w:val="true"/>
        </w:rPr>
        <w:t>עובר לאירועים שבמוקד הערעור</w:t>
      </w:r>
      <w:r>
        <w:rPr>
          <w:rFonts w:cs="Century" w:ascii="Century" w:hAnsi="Century"/>
          <w:rtl w:val="true"/>
        </w:rPr>
        <w:t xml:space="preserve">, </w:t>
      </w:r>
      <w:r>
        <w:rPr>
          <w:rFonts w:ascii="Century" w:hAnsi="Century" w:cs="Century"/>
          <w:rtl w:val="true"/>
        </w:rPr>
        <w:t xml:space="preserve">התגלע סכסוך בין משפחת המערער לבין משפחת חמאיסה המתגוררת ברהט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המשפחה</w:t>
      </w:r>
      <w:r>
        <w:rPr>
          <w:rFonts w:cs="Century" w:ascii="Century" w:hAnsi="Century"/>
          <w:rtl w:val="true"/>
        </w:rPr>
        <w:t xml:space="preserve">). </w:t>
      </w:r>
      <w:r>
        <w:rPr>
          <w:rFonts w:ascii="Century" w:hAnsi="Century" w:cs="Century"/>
          <w:rtl w:val="true"/>
        </w:rPr>
        <w:t>על רקע הסכסוך האמור</w:t>
      </w:r>
      <w:r>
        <w:rPr>
          <w:rFonts w:cs="Century" w:ascii="Century" w:hAnsi="Century"/>
          <w:rtl w:val="true"/>
        </w:rPr>
        <w:t xml:space="preserve">, </w:t>
      </w:r>
      <w:r>
        <w:rPr>
          <w:rFonts w:ascii="Century" w:hAnsi="Century" w:cs="Century"/>
          <w:rtl w:val="true"/>
        </w:rPr>
        <w:t xml:space="preserve">המערער הגיע בתאריך </w:t>
      </w:r>
      <w:r>
        <w:rPr>
          <w:rFonts w:cs="Century" w:ascii="Century" w:hAnsi="Century"/>
        </w:rPr>
        <w:t>05.06.2016</w:t>
      </w:r>
      <w:r>
        <w:rPr>
          <w:rFonts w:cs="Century" w:ascii="Century" w:hAnsi="Century"/>
          <w:rtl w:val="true"/>
        </w:rPr>
        <w:t xml:space="preserve">, </w:t>
      </w:r>
      <w:r>
        <w:rPr>
          <w:rFonts w:ascii="Century" w:hAnsi="Century" w:cs="Century"/>
          <w:rtl w:val="true"/>
        </w:rPr>
        <w:t xml:space="preserve">סמוך לשעה </w:t>
      </w:r>
      <w:r>
        <w:rPr>
          <w:rFonts w:cs="Century" w:ascii="Century" w:hAnsi="Century"/>
        </w:rPr>
        <w:t>04:00</w:t>
      </w:r>
      <w:r>
        <w:rPr>
          <w:rFonts w:cs="Century" w:ascii="Century" w:hAnsi="Century"/>
          <w:rtl w:val="true"/>
        </w:rPr>
        <w:t xml:space="preserve"> </w:t>
      </w:r>
      <w:r>
        <w:rPr>
          <w:rFonts w:ascii="Century" w:hAnsi="Century" w:cs="Century"/>
          <w:rtl w:val="true"/>
        </w:rPr>
        <w:t>לפנות בוקר</w:t>
      </w:r>
      <w:r>
        <w:rPr>
          <w:rFonts w:cs="Century" w:ascii="Century" w:hAnsi="Century"/>
          <w:rtl w:val="true"/>
        </w:rPr>
        <w:t xml:space="preserve">, </w:t>
      </w:r>
      <w:r>
        <w:rPr>
          <w:rFonts w:ascii="Century" w:hAnsi="Century" w:cs="Century"/>
          <w:rtl w:val="true"/>
        </w:rPr>
        <w:t xml:space="preserve">אל האזור בו מצוי בית </w:t>
      </w:r>
      <w:r>
        <w:rPr>
          <w:rFonts w:ascii="Times New Roman" w:hAnsi="Times New Roman" w:cs="Miriam"/>
          <w:spacing w:val="0"/>
          <w:sz w:val="28"/>
          <w:sz w:val="28"/>
          <w:szCs w:val="24"/>
          <w:rtl w:val="true"/>
        </w:rPr>
        <w:t>המשפחה</w:t>
      </w:r>
      <w:r>
        <w:rPr>
          <w:rFonts w:cs="Century" w:ascii="Century" w:hAnsi="Century"/>
          <w:rtl w:val="true"/>
        </w:rPr>
        <w:t xml:space="preserve">, </w:t>
      </w:r>
      <w:r>
        <w:rPr>
          <w:rFonts w:ascii="Century" w:hAnsi="Century" w:cs="Century"/>
          <w:rtl w:val="true"/>
        </w:rPr>
        <w:t>כשברשותו בקבוק המכיל חומר דליק</w:t>
      </w:r>
      <w:r>
        <w:rPr>
          <w:rFonts w:cs="Century" w:ascii="Century" w:hAnsi="Century"/>
          <w:rtl w:val="true"/>
        </w:rPr>
        <w:t>.</w:t>
      </w:r>
    </w:p>
    <w:p>
      <w:pPr>
        <w:pStyle w:val="Ruller43"/>
        <w:ind w:start="0" w:end="0"/>
        <w:jc w:val="both"/>
        <w:rPr>
          <w:rFonts w:ascii="Century" w:hAnsi="Century" w:cs="Century"/>
        </w:rPr>
      </w:pPr>
      <w:r>
        <w:rPr>
          <w:rFonts w:cs="Century" w:ascii="Century" w:hAnsi="Century"/>
          <w:rtl w:val="true"/>
        </w:rPr>
      </w:r>
    </w:p>
    <w:p>
      <w:pPr>
        <w:pStyle w:val="Ruller43"/>
        <w:numPr>
          <w:ilvl w:val="0"/>
          <w:numId w:val="1"/>
        </w:numPr>
        <w:ind w:hanging="0" w:start="90" w:end="0"/>
        <w:jc w:val="both"/>
        <w:rPr>
          <w:rFonts w:ascii="Times New Roman" w:hAnsi="Times New Roman" w:cs="Times New Roman"/>
        </w:rPr>
      </w:pPr>
      <w:r>
        <w:rPr>
          <w:rtl w:val="true"/>
        </w:rPr>
        <w:t>המערער ניגש אל פנצ</w:t>
      </w:r>
      <w:r>
        <w:rPr>
          <w:rtl w:val="true"/>
        </w:rPr>
        <w:t>'</w:t>
      </w:r>
      <w:r>
        <w:rPr>
          <w:rtl w:val="true"/>
        </w:rPr>
        <w:t xml:space="preserve">רייה שהייתה בסמוך לבית </w:t>
      </w:r>
      <w:r>
        <w:rPr>
          <w:rFonts w:ascii="Times New Roman" w:hAnsi="Times New Roman" w:cs="Miriam"/>
          <w:spacing w:val="0"/>
          <w:sz w:val="28"/>
          <w:sz w:val="28"/>
          <w:szCs w:val="24"/>
          <w:rtl w:val="true"/>
        </w:rPr>
        <w:t>המשפחה</w:t>
      </w:r>
      <w:r>
        <w:rPr>
          <w:rtl w:val="true"/>
        </w:rPr>
        <w:t xml:space="preserve">, </w:t>
      </w:r>
      <w:r>
        <w:rPr>
          <w:rtl w:val="true"/>
        </w:rPr>
        <w:t>ושפך את החומר הדליק ברחבי הפנצ</w:t>
      </w:r>
      <w:r>
        <w:rPr>
          <w:rtl w:val="true"/>
        </w:rPr>
        <w:t>'</w:t>
      </w:r>
      <w:r>
        <w:rPr>
          <w:rtl w:val="true"/>
        </w:rPr>
        <w:t>רייה</w:t>
      </w:r>
      <w:r>
        <w:rPr>
          <w:rtl w:val="true"/>
        </w:rPr>
        <w:t xml:space="preserve">, </w:t>
      </w:r>
      <w:r>
        <w:rPr>
          <w:rtl w:val="true"/>
        </w:rPr>
        <w:t>לרבות על צמיגים שהיו במקום</w:t>
      </w:r>
      <w:r>
        <w:rPr>
          <w:rtl w:val="true"/>
        </w:rPr>
        <w:t xml:space="preserve">. </w:t>
      </w:r>
      <w:r>
        <w:rPr>
          <w:rtl w:val="true"/>
        </w:rPr>
        <w:t>בעוד המערער שופך את חומר הבערה התעורר ו</w:t>
      </w:r>
      <w:r>
        <w:rPr>
          <w:rtl w:val="true"/>
        </w:rPr>
        <w:t xml:space="preserve">', </w:t>
      </w:r>
      <w:r>
        <w:rPr>
          <w:rtl w:val="true"/>
        </w:rPr>
        <w:t>אחד מעובד הפנצ</w:t>
      </w:r>
      <w:r>
        <w:rPr>
          <w:rtl w:val="true"/>
        </w:rPr>
        <w:t>'</w:t>
      </w:r>
      <w:r>
        <w:rPr>
          <w:rtl w:val="true"/>
        </w:rPr>
        <w:t>רייה</w:t>
      </w:r>
      <w:r>
        <w:rPr>
          <w:rtl w:val="true"/>
        </w:rPr>
        <w:t xml:space="preserve">, </w:t>
      </w:r>
      <w:r>
        <w:rPr>
          <w:rtl w:val="true"/>
        </w:rPr>
        <w:t>ויצא לכיוונו</w:t>
      </w:r>
      <w:r>
        <w:rPr>
          <w:rtl w:val="true"/>
        </w:rPr>
        <w:t xml:space="preserve">, </w:t>
      </w:r>
      <w:r>
        <w:rPr>
          <w:rtl w:val="true"/>
        </w:rPr>
        <w:t>אולם המערער הספיק להצית את המקום</w:t>
      </w:r>
      <w:r>
        <w:rPr>
          <w:rtl w:val="true"/>
        </w:rPr>
        <w:t xml:space="preserve">, </w:t>
      </w:r>
      <w:r>
        <w:rPr>
          <w:rtl w:val="true"/>
        </w:rPr>
        <w:t>ונמלט</w:t>
      </w:r>
      <w:r>
        <w:rPr>
          <w:rtl w:val="true"/>
        </w:rPr>
        <w:t>.</w:t>
      </w:r>
      <w:r>
        <w:rPr>
          <w:rFonts w:cs="Times New Roman" w:ascii="Times New Roman" w:hAnsi="Times New Roman"/>
          <w:rtl w:val="true"/>
        </w:rPr>
        <w:t xml:space="preserve"> </w:t>
      </w:r>
      <w:r>
        <w:rPr>
          <w:rFonts w:ascii="Times New Roman" w:hAnsi="Times New Roman" w:cs="Times New Roman"/>
          <w:rtl w:val="true"/>
        </w:rPr>
        <w:t>האש אחזה בצמיגים</w:t>
      </w:r>
      <w:r>
        <w:rPr>
          <w:rFonts w:cs="Times New Roman" w:ascii="Times New Roman" w:hAnsi="Times New Roman"/>
          <w:rtl w:val="true"/>
        </w:rPr>
        <w:t xml:space="preserve">, </w:t>
      </w:r>
      <w:r>
        <w:rPr>
          <w:rFonts w:ascii="Times New Roman" w:hAnsi="Times New Roman" w:cs="Times New Roman"/>
          <w:rtl w:val="true"/>
        </w:rPr>
        <w:t>בציוד ובמְכולת המשרד של הפנצ</w:t>
      </w:r>
      <w:r>
        <w:rPr>
          <w:rFonts w:cs="Times New Roman" w:ascii="Times New Roman" w:hAnsi="Times New Roman"/>
          <w:rtl w:val="true"/>
        </w:rPr>
        <w:t>'</w:t>
      </w:r>
      <w:r>
        <w:rPr>
          <w:rFonts w:ascii="Times New Roman" w:hAnsi="Times New Roman" w:cs="Times New Roman"/>
          <w:rtl w:val="true"/>
        </w:rPr>
        <w:t xml:space="preserve">רייה </w:t>
      </w:r>
      <w:r>
        <w:rPr>
          <w:rFonts w:ascii="Times New Roman" w:hAnsi="Times New Roman" w:cs="Times New Roman"/>
          <w:rtl w:val="true"/>
        </w:rPr>
        <w:t>–</w:t>
      </w:r>
      <w:r>
        <w:rPr>
          <w:rFonts w:ascii="Times New Roman" w:hAnsi="Times New Roman" w:cs="Times New Roman"/>
          <w:rtl w:val="true"/>
        </w:rPr>
        <w:t xml:space="preserve"> וכילתה את הציוד והצמיגים</w:t>
      </w:r>
      <w:r>
        <w:rPr>
          <w:rFonts w:cs="Times New Roman" w:ascii="Times New Roman" w:hAnsi="Times New Roman"/>
          <w:rtl w:val="true"/>
        </w:rPr>
        <w:t xml:space="preserve">. </w:t>
      </w:r>
      <w:r>
        <w:rPr>
          <w:rFonts w:ascii="Times New Roman" w:hAnsi="Times New Roman" w:cs="Times New Roman"/>
          <w:rtl w:val="true"/>
        </w:rPr>
        <w:t>בגין מעשים אלו הואשם המערער בעבירת ההצתה</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1"/>
        </w:numPr>
        <w:ind w:hanging="0" w:start="90" w:end="0"/>
        <w:jc w:val="both"/>
        <w:rPr>
          <w:rFonts w:ascii="Times New Roman" w:hAnsi="Times New Roman" w:cs="Times New Roman"/>
        </w:rPr>
      </w:pPr>
      <w:r>
        <w:rPr>
          <w:rFonts w:ascii="Times New Roman" w:hAnsi="Times New Roman" w:cs="Times New Roman"/>
          <w:rtl w:val="true"/>
        </w:rPr>
        <w:t>המערער הודה</w:t>
      </w:r>
      <w:r>
        <w:rPr>
          <w:rFonts w:cs="Times New Roman" w:ascii="Times New Roman" w:hAnsi="Times New Roman"/>
          <w:rtl w:val="true"/>
        </w:rPr>
        <w:t xml:space="preserve">, </w:t>
      </w: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בעובדות כתב האישום</w:t>
      </w:r>
      <w:r>
        <w:rPr>
          <w:rFonts w:cs="Times New Roman" w:ascii="Times New Roman" w:hAnsi="Times New Roman"/>
          <w:rtl w:val="true"/>
        </w:rPr>
        <w:t xml:space="preserve">, </w:t>
      </w:r>
      <w:r>
        <w:rPr>
          <w:rFonts w:ascii="Times New Roman" w:hAnsi="Times New Roman" w:cs="Times New Roman"/>
          <w:rtl w:val="true"/>
        </w:rPr>
        <w:t xml:space="preserve">והורשע בתאריך </w:t>
      </w:r>
      <w:r>
        <w:rPr>
          <w:rFonts w:cs="Times New Roman" w:ascii="Times New Roman" w:hAnsi="Times New Roman"/>
        </w:rPr>
        <w:t>17.09.2017</w:t>
      </w:r>
      <w:r>
        <w:rPr>
          <w:rFonts w:cs="Times New Roman" w:ascii="Times New Roman" w:hAnsi="Times New Roman"/>
          <w:rtl w:val="true"/>
        </w:rPr>
        <w:t xml:space="preserve">. </w:t>
      </w:r>
      <w:r>
        <w:rPr>
          <w:rFonts w:ascii="Times New Roman" w:hAnsi="Times New Roman" w:cs="Times New Roman"/>
          <w:rtl w:val="true"/>
        </w:rPr>
        <w:t>הצדדים הגיעו</w:t>
      </w:r>
      <w:r>
        <w:rPr>
          <w:rFonts w:cs="Times New Roman" w:ascii="Times New Roman" w:hAnsi="Times New Roman"/>
          <w:rtl w:val="true"/>
        </w:rPr>
        <w:t xml:space="preserve">, </w:t>
      </w:r>
      <w:r>
        <w:rPr>
          <w:rFonts w:ascii="Times New Roman" w:hAnsi="Times New Roman" w:cs="Times New Roman"/>
          <w:rtl w:val="true"/>
        </w:rPr>
        <w:t>במסגרת הסדר הטיעון</w:t>
      </w:r>
      <w:r>
        <w:rPr>
          <w:rFonts w:cs="Times New Roman" w:ascii="Times New Roman" w:hAnsi="Times New Roman"/>
          <w:rtl w:val="true"/>
        </w:rPr>
        <w:t xml:space="preserve">, </w:t>
      </w:r>
      <w:r>
        <w:rPr>
          <w:rFonts w:ascii="Times New Roman" w:hAnsi="Times New Roman" w:cs="Times New Roman"/>
          <w:rtl w:val="true"/>
        </w:rPr>
        <w:t>אף להסכמה לגבי טווחי הענישה</w:t>
      </w:r>
      <w:r>
        <w:rPr>
          <w:rFonts w:cs="Times New Roman" w:ascii="Times New Roman" w:hAnsi="Times New Roman"/>
          <w:rtl w:val="true"/>
        </w:rPr>
        <w:t xml:space="preserve">, </w:t>
      </w:r>
      <w:r>
        <w:rPr>
          <w:rFonts w:ascii="Times New Roman" w:hAnsi="Times New Roman" w:cs="Times New Roman"/>
          <w:rtl w:val="true"/>
        </w:rPr>
        <w:t>כאשר הוסכם כי המשיבה תגביל עצמה בטיעוניה לעונש שיושת על המערער ל</w:t>
      </w:r>
      <w:r>
        <w:rPr>
          <w:rFonts w:cs="Times New Roman" w:ascii="Times New Roman" w:hAnsi="Times New Roman"/>
          <w:rtl w:val="true"/>
        </w:rPr>
        <w:t>-</w:t>
      </w:r>
      <w:r>
        <w:rPr>
          <w:rFonts w:cs="Times New Roman" w:ascii="Times New Roman" w:hAnsi="Times New Roman"/>
        </w:rPr>
        <w:t>24</w:t>
      </w:r>
      <w:r>
        <w:rPr>
          <w:rFonts w:cs="Times New Roman" w:ascii="Times New Roman" w:hAnsi="Times New Roman"/>
          <w:rtl w:val="true"/>
        </w:rPr>
        <w:t xml:space="preserve"> </w:t>
      </w:r>
      <w:r>
        <w:rPr>
          <w:rFonts w:ascii="Times New Roman" w:hAnsi="Times New Roman" w:cs="Times New Roman"/>
          <w:rtl w:val="true"/>
        </w:rPr>
        <w:t>חודשי מאסר בפועל</w:t>
      </w:r>
      <w:r>
        <w:rPr>
          <w:rFonts w:cs="Times New Roman" w:ascii="Times New Roman" w:hAnsi="Times New Roman"/>
          <w:rtl w:val="true"/>
        </w:rPr>
        <w:t xml:space="preserve">, </w:t>
      </w:r>
      <w:r>
        <w:rPr>
          <w:rFonts w:ascii="Times New Roman" w:hAnsi="Times New Roman" w:cs="Times New Roman"/>
          <w:rtl w:val="true"/>
        </w:rPr>
        <w:t>ואילו המערער יטען לרכיב המאסר כראות עיניו</w:t>
      </w:r>
      <w:r>
        <w:rPr>
          <w:rFonts w:cs="Times New Roman" w:ascii="Times New Roman" w:hAnsi="Times New Roman"/>
          <w:rtl w:val="true"/>
        </w:rPr>
        <w:t>.</w:t>
      </w:r>
    </w:p>
    <w:p>
      <w:pPr>
        <w:pStyle w:val="Ruller43"/>
        <w:tabs>
          <w:tab w:val="clear" w:pos="1191"/>
          <w:tab w:val="left" w:pos="800" w:leader="none"/>
        </w:tabs>
        <w:ind w:start="90" w:end="0"/>
        <w:jc w:val="both"/>
        <w:rPr>
          <w:rFonts w:ascii="Times New Roman" w:hAnsi="Times New Roman" w:cs="Times New Roman"/>
        </w:rPr>
      </w:pPr>
      <w:r>
        <w:rPr>
          <w:rFonts w:cs="Times New Roman" w:ascii="Times New Roman" w:hAnsi="Times New Roman"/>
          <w:rtl w:val="true"/>
        </w:rPr>
      </w:r>
    </w:p>
    <w:p>
      <w:pPr>
        <w:pStyle w:val="Ruller43"/>
        <w:numPr>
          <w:ilvl w:val="0"/>
          <w:numId w:val="1"/>
        </w:numPr>
        <w:ind w:hanging="0" w:start="90" w:end="0"/>
        <w:jc w:val="both"/>
        <w:rPr>
          <w:rFonts w:ascii="Times New Roman" w:hAnsi="Times New Roman" w:cs="Times New Roman"/>
        </w:rPr>
      </w:pPr>
      <w:r>
        <w:rPr>
          <w:rFonts w:ascii="Times New Roman" w:hAnsi="Times New Roman" w:cs="Times New Roman"/>
          <w:rtl w:val="true"/>
        </w:rPr>
        <w:t xml:space="preserve">בתאריך </w:t>
      </w:r>
      <w:r>
        <w:rPr>
          <w:rFonts w:cs="Times New Roman" w:ascii="Times New Roman" w:hAnsi="Times New Roman"/>
        </w:rPr>
        <w:t>25.02.2018</w:t>
      </w:r>
      <w:r>
        <w:rPr>
          <w:rFonts w:cs="Times New Roman" w:ascii="Times New Roman" w:hAnsi="Times New Roman"/>
          <w:rtl w:val="true"/>
        </w:rPr>
        <w:t xml:space="preserve">, </w:t>
      </w:r>
      <w:r>
        <w:rPr>
          <w:rFonts w:ascii="Times New Roman" w:hAnsi="Times New Roman" w:cs="Times New Roman"/>
          <w:rtl w:val="true"/>
        </w:rPr>
        <w:t>לאחר קבלת תסקיר שירות המבחן בעניינו של המערער ודיון בו נשמעו טיעוני באי</w:t>
      </w:r>
      <w:r>
        <w:rPr>
          <w:rFonts w:cs="Times New Roman" w:ascii="Times New Roman" w:hAnsi="Times New Roman"/>
          <w:rtl w:val="true"/>
        </w:rPr>
        <w:t>-</w:t>
      </w:r>
      <w:r>
        <w:rPr>
          <w:rFonts w:ascii="Times New Roman" w:hAnsi="Times New Roman" w:cs="Times New Roman"/>
          <w:rtl w:val="true"/>
        </w:rPr>
        <w:t xml:space="preserve">כוח הצדדים לעונש </w:t>
      </w:r>
      <w:r>
        <w:rPr>
          <w:rFonts w:ascii="Times New Roman" w:hAnsi="Times New Roman" w:cs="Times New Roman"/>
          <w:rtl w:val="true"/>
        </w:rPr>
        <w:t>–</w:t>
      </w:r>
      <w:r>
        <w:rPr>
          <w:rFonts w:ascii="Times New Roman" w:hAnsi="Times New Roman" w:cs="Times New Roman"/>
          <w:rtl w:val="true"/>
        </w:rPr>
        <w:t xml:space="preserve"> בית המשפט המחוזי גזר את דינו של המערער</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בגזר הדין</w:t>
      </w:r>
      <w:r>
        <w:rPr>
          <w:rFonts w:cs="Times New Roman" w:ascii="Times New Roman" w:hAnsi="Times New Roman"/>
          <w:rtl w:val="true"/>
        </w:rPr>
        <w:t xml:space="preserve">, </w:t>
      </w:r>
      <w:r>
        <w:rPr>
          <w:rFonts w:ascii="Times New Roman" w:hAnsi="Times New Roman" w:cs="Times New Roman"/>
          <w:rtl w:val="true"/>
        </w:rPr>
        <w:t>בית המשפט המחוזי הנכבד שקל את מדיניות הענישה הנהוגה בפסיקה בעבירות הצתה בנסיבות דומות</w:t>
      </w:r>
      <w:r>
        <w:rPr>
          <w:rFonts w:cs="Times New Roman" w:ascii="Times New Roman" w:hAnsi="Times New Roman"/>
          <w:rtl w:val="true"/>
        </w:rPr>
        <w:t xml:space="preserve">, </w:t>
      </w:r>
      <w:r>
        <w:rPr>
          <w:rFonts w:ascii="Times New Roman" w:hAnsi="Times New Roman" w:cs="Times New Roman"/>
          <w:rtl w:val="true"/>
        </w:rPr>
        <w:t>וכן את הערכים החברתיים של שמירת החיים</w:t>
      </w:r>
      <w:r>
        <w:rPr>
          <w:rFonts w:cs="Times New Roman" w:ascii="Times New Roman" w:hAnsi="Times New Roman"/>
          <w:rtl w:val="true"/>
        </w:rPr>
        <w:t xml:space="preserve">, </w:t>
      </w:r>
      <w:r>
        <w:rPr>
          <w:rFonts w:ascii="Times New Roman" w:hAnsi="Times New Roman" w:cs="Times New Roman"/>
          <w:rtl w:val="true"/>
        </w:rPr>
        <w:t>הגוף והרכוש</w:t>
      </w:r>
      <w:r>
        <w:rPr>
          <w:rFonts w:cs="Times New Roman" w:ascii="Times New Roman" w:hAnsi="Times New Roman"/>
          <w:rtl w:val="true"/>
        </w:rPr>
        <w:t xml:space="preserve">, </w:t>
      </w:r>
      <w:r>
        <w:rPr>
          <w:rFonts w:ascii="Times New Roman" w:hAnsi="Times New Roman" w:cs="Times New Roman"/>
          <w:rtl w:val="true"/>
        </w:rPr>
        <w:t>אשר נפגעו בעקבות מעשה העבירה</w:t>
      </w:r>
      <w:r>
        <w:rPr>
          <w:rFonts w:cs="Times New Roman" w:ascii="Times New Roman" w:hAnsi="Times New Roman"/>
          <w:rtl w:val="true"/>
        </w:rPr>
        <w:t xml:space="preserve">. </w:t>
      </w:r>
      <w:r>
        <w:rPr>
          <w:rFonts w:ascii="Times New Roman" w:hAnsi="Times New Roman" w:cs="Times New Roman"/>
          <w:rtl w:val="true"/>
        </w:rPr>
        <w:t xml:space="preserve">בית המשפט המחוזי הנכבד אף עמד על הנסיבות החמורות שאפפו את ביצוע העבירה והתבטאו בכך שהמערער לא נמנע מלהצית בית עסק המצוי בסביבת בתי מגורים ובנסיבות בהן ההיקף והעוצמה הצפויים של הדליקה היו משמעותיים </w:t>
      </w:r>
      <w:r>
        <w:rPr>
          <w:rFonts w:ascii="Times New Roman" w:hAnsi="Times New Roman" w:cs="Times New Roman"/>
          <w:rtl w:val="true"/>
        </w:rPr>
        <w:t>–</w:t>
      </w:r>
      <w:r>
        <w:rPr>
          <w:rFonts w:ascii="Times New Roman" w:hAnsi="Times New Roman" w:cs="Times New Roman"/>
          <w:rtl w:val="true"/>
        </w:rPr>
        <w:t xml:space="preserve"> דבר שהגביר גם את הסיכויים לפגיעה בגוף ובנפש בעקבות התפשטות הדליקה</w:t>
      </w:r>
      <w:r>
        <w:rPr>
          <w:rFonts w:cs="Times New Roman" w:ascii="Times New Roman" w:hAnsi="Times New Roman"/>
          <w:rtl w:val="true"/>
        </w:rPr>
        <w:t xml:space="preserve">, </w:t>
      </w:r>
      <w:r>
        <w:rPr>
          <w:rFonts w:ascii="Times New Roman" w:hAnsi="Times New Roman" w:cs="Times New Roman"/>
          <w:rtl w:val="true"/>
        </w:rPr>
        <w:t>או בפגיעה ב</w:t>
      </w:r>
      <w:r>
        <w:rPr>
          <w:rFonts w:cs="Times New Roman" w:ascii="Times New Roman" w:hAnsi="Times New Roman"/>
          <w:rtl w:val="true"/>
        </w:rPr>
        <w:t>-</w:t>
      </w:r>
      <w:r>
        <w:rPr>
          <w:rFonts w:ascii="Times New Roman" w:hAnsi="Times New Roman" w:cs="Times New Roman"/>
          <w:rtl w:val="true"/>
        </w:rPr>
        <w:t>ו</w:t>
      </w:r>
      <w:r>
        <w:rPr>
          <w:rFonts w:cs="Times New Roman" w:ascii="Times New Roman" w:hAnsi="Times New Roman"/>
          <w:rtl w:val="true"/>
        </w:rPr>
        <w:t xml:space="preserve">', </w:t>
      </w:r>
      <w:r>
        <w:rPr>
          <w:rFonts w:ascii="Times New Roman" w:hAnsi="Times New Roman" w:cs="Times New Roman"/>
          <w:rtl w:val="true"/>
        </w:rPr>
        <w:t>אשר שהה</w:t>
      </w:r>
      <w:r>
        <w:rPr>
          <w:rFonts w:cs="Times New Roman" w:ascii="Times New Roman" w:hAnsi="Times New Roman"/>
          <w:rtl w:val="true"/>
        </w:rPr>
        <w:t xml:space="preserve">, </w:t>
      </w: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בסמוך</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לנוכח מכלול השיקולים הנ</w:t>
      </w:r>
      <w:r>
        <w:rPr>
          <w:rFonts w:cs="Times New Roman" w:ascii="Times New Roman" w:hAnsi="Times New Roman"/>
          <w:rtl w:val="true"/>
        </w:rPr>
        <w:t>"</w:t>
      </w:r>
      <w:r>
        <w:rPr>
          <w:rFonts w:ascii="Times New Roman" w:hAnsi="Times New Roman" w:cs="Times New Roman"/>
          <w:rtl w:val="true"/>
        </w:rPr>
        <w:t>ל</w:t>
      </w:r>
      <w:r>
        <w:rPr>
          <w:rFonts w:cs="Times New Roman" w:ascii="Times New Roman" w:hAnsi="Times New Roman"/>
          <w:rtl w:val="true"/>
        </w:rPr>
        <w:t xml:space="preserve">, </w:t>
      </w:r>
      <w:r>
        <w:rPr>
          <w:rFonts w:ascii="Times New Roman" w:hAnsi="Times New Roman" w:cs="Times New Roman"/>
          <w:rtl w:val="true"/>
        </w:rPr>
        <w:t xml:space="preserve">בית המשפט המחוזי הנכבד קבע כי מתחם הענישה למעשה העבירה שביצע המערער </w:t>
      </w:r>
      <w:r>
        <w:rPr>
          <w:rFonts w:ascii="Times New Roman" w:hAnsi="Times New Roman" w:cs="Times New Roman"/>
          <w:rtl w:val="true"/>
        </w:rPr>
        <w:t>–</w:t>
      </w:r>
      <w:r>
        <w:rPr>
          <w:rFonts w:ascii="Times New Roman" w:hAnsi="Times New Roman" w:cs="Times New Roman"/>
          <w:rtl w:val="true"/>
        </w:rPr>
        <w:t xml:space="preserve"> נע בין שנתיים לחמש שנות מאסר בפועל</w:t>
      </w:r>
      <w:r>
        <w:rPr>
          <w:rFonts w:cs="Times New Roman" w:ascii="Times New Roman" w:hAnsi="Times New Roman"/>
          <w:rtl w:val="true"/>
        </w:rPr>
        <w:t xml:space="preserve">. </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1"/>
        </w:numPr>
        <w:ind w:hanging="0" w:start="90" w:end="0"/>
        <w:jc w:val="both"/>
        <w:rPr>
          <w:rFonts w:ascii="Times New Roman" w:hAnsi="Times New Roman" w:cs="Times New Roman"/>
        </w:rPr>
      </w:pPr>
      <w:r>
        <w:rPr>
          <w:rFonts w:ascii="Times New Roman" w:hAnsi="Times New Roman" w:cs="Times New Roman"/>
          <w:rtl w:val="true"/>
        </w:rPr>
        <w:t>אשר לגזירת העונש בתוך המתחם</w:t>
      </w:r>
      <w:r>
        <w:rPr>
          <w:rFonts w:cs="Times New Roman" w:ascii="Times New Roman" w:hAnsi="Times New Roman"/>
          <w:rtl w:val="true"/>
        </w:rPr>
        <w:t xml:space="preserve">, </w:t>
      </w:r>
      <w:r>
        <w:rPr>
          <w:rFonts w:ascii="Times New Roman" w:hAnsi="Times New Roman" w:cs="Times New Roman"/>
          <w:rtl w:val="true"/>
        </w:rPr>
        <w:t>בית המשפט המחוזי הנכבד הדגיש את חשיבות עקרון הגמול בנסיבות העניין</w:t>
      </w:r>
      <w:r>
        <w:rPr>
          <w:rFonts w:cs="Times New Roman" w:ascii="Times New Roman" w:hAnsi="Times New Roman"/>
          <w:rtl w:val="true"/>
        </w:rPr>
        <w:t xml:space="preserve">, </w:t>
      </w:r>
      <w:r>
        <w:rPr>
          <w:rFonts w:ascii="Times New Roman" w:hAnsi="Times New Roman" w:cs="Times New Roman"/>
          <w:rtl w:val="true"/>
        </w:rPr>
        <w:t>ולצד זאת שקל את נסיבותיו האישיות של המערער</w:t>
      </w:r>
      <w:r>
        <w:rPr>
          <w:rFonts w:cs="Times New Roman" w:ascii="Times New Roman" w:hAnsi="Times New Roman"/>
          <w:rtl w:val="true"/>
        </w:rPr>
        <w:t xml:space="preserve">, </w:t>
      </w:r>
      <w:r>
        <w:rPr>
          <w:rFonts w:ascii="Times New Roman" w:hAnsi="Times New Roman" w:cs="Times New Roman"/>
          <w:rtl w:val="true"/>
        </w:rPr>
        <w:t>לרבות</w:t>
      </w:r>
      <w:r>
        <w:rPr>
          <w:rFonts w:cs="Times New Roman" w:ascii="Times New Roman" w:hAnsi="Times New Roman"/>
          <w:rtl w:val="true"/>
        </w:rPr>
        <w:t xml:space="preserve">: </w:t>
      </w:r>
      <w:r>
        <w:rPr>
          <w:rFonts w:ascii="Times New Roman" w:hAnsi="Times New Roman" w:cs="Times New Roman"/>
          <w:rtl w:val="true"/>
        </w:rPr>
        <w:t>גילו הצעיר</w:t>
      </w:r>
      <w:r>
        <w:rPr>
          <w:rFonts w:cs="Times New Roman" w:ascii="Times New Roman" w:hAnsi="Times New Roman"/>
          <w:rtl w:val="true"/>
        </w:rPr>
        <w:t xml:space="preserve">, </w:t>
      </w:r>
      <w:r>
        <w:rPr>
          <w:rFonts w:ascii="Times New Roman" w:hAnsi="Times New Roman" w:cs="Times New Roman"/>
          <w:rtl w:val="true"/>
        </w:rPr>
        <w:t>הודאתו וחרטתו על מעשיו</w:t>
      </w:r>
      <w:r>
        <w:rPr>
          <w:rFonts w:cs="Times New Roman" w:ascii="Times New Roman" w:hAnsi="Times New Roman"/>
          <w:rtl w:val="true"/>
        </w:rPr>
        <w:t xml:space="preserve">, </w:t>
      </w:r>
      <w:r>
        <w:rPr>
          <w:rFonts w:ascii="Times New Roman" w:hAnsi="Times New Roman" w:cs="Times New Roman"/>
          <w:rtl w:val="true"/>
        </w:rPr>
        <w:t>הפגיעה האפשרית בו ובמשפחתו</w:t>
      </w:r>
      <w:r>
        <w:rPr>
          <w:rFonts w:cs="Times New Roman" w:ascii="Times New Roman" w:hAnsi="Times New Roman"/>
          <w:rtl w:val="true"/>
        </w:rPr>
        <w:t xml:space="preserve">, </w:t>
      </w:r>
      <w:r>
        <w:rPr>
          <w:rFonts w:ascii="Times New Roman" w:hAnsi="Times New Roman" w:cs="Times New Roman"/>
          <w:rtl w:val="true"/>
        </w:rPr>
        <w:t>עברו הפלילי הנקי</w:t>
      </w:r>
      <w:r>
        <w:rPr>
          <w:rFonts w:cs="Times New Roman" w:ascii="Times New Roman" w:hAnsi="Times New Roman"/>
          <w:rtl w:val="true"/>
        </w:rPr>
        <w:t xml:space="preserve">, </w:t>
      </w:r>
      <w:r>
        <w:rPr>
          <w:rFonts w:ascii="Times New Roman" w:hAnsi="Times New Roman" w:cs="Times New Roman"/>
          <w:rtl w:val="true"/>
        </w:rPr>
        <w:t>חלוף הזמן למן ביצוע העבירה</w:t>
      </w:r>
      <w:r>
        <w:rPr>
          <w:rFonts w:cs="Times New Roman" w:ascii="Times New Roman" w:hAnsi="Times New Roman"/>
          <w:rtl w:val="true"/>
        </w:rPr>
        <w:t xml:space="preserve">, </w:t>
      </w:r>
      <w:r>
        <w:rPr>
          <w:rFonts w:ascii="Times New Roman" w:hAnsi="Times New Roman" w:cs="Times New Roman"/>
          <w:rtl w:val="true"/>
        </w:rPr>
        <w:t>וכן המלצת שירות המבחן למבוגרים</w:t>
      </w:r>
      <w:r>
        <w:rPr>
          <w:rFonts w:cs="Times New Roman" w:ascii="Times New Roman" w:hAnsi="Times New Roman"/>
          <w:rtl w:val="true"/>
        </w:rPr>
        <w:t xml:space="preserve">, </w:t>
      </w:r>
      <w:r>
        <w:rPr>
          <w:rFonts w:ascii="Times New Roman" w:hAnsi="Times New Roman" w:cs="Times New Roman"/>
          <w:rtl w:val="true"/>
        </w:rPr>
        <w:t>לפיה יש מקום להטלת עונש שיקומי על המערער</w:t>
      </w:r>
      <w:r>
        <w:rPr>
          <w:rFonts w:cs="Times New Roman" w:ascii="Times New Roman" w:hAnsi="Times New Roman"/>
          <w:rtl w:val="true"/>
        </w:rPr>
        <w:t xml:space="preserve">. </w:t>
      </w:r>
    </w:p>
    <w:p>
      <w:pPr>
        <w:pStyle w:val="Ruller43"/>
        <w:tabs>
          <w:tab w:val="clear" w:pos="1191"/>
          <w:tab w:val="left" w:pos="800" w:leader="none"/>
        </w:tabs>
        <w:ind w:start="90" w:end="0"/>
        <w:jc w:val="both"/>
        <w:rPr>
          <w:rFonts w:ascii="Times New Roman" w:hAnsi="Times New Roman" w:cs="Times New Roman"/>
        </w:rPr>
      </w:pPr>
      <w:r>
        <w:rPr>
          <w:rFonts w:cs="Times New Roman" w:ascii="Times New Roman" w:hAnsi="Times New Roman"/>
          <w:rtl w:val="true"/>
        </w:rPr>
      </w:r>
    </w:p>
    <w:p>
      <w:pPr>
        <w:pStyle w:val="Ruller43"/>
        <w:tabs>
          <w:tab w:val="clear" w:pos="1191"/>
          <w:tab w:val="left" w:pos="800" w:leader="none"/>
        </w:tabs>
        <w:ind w:start="90"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בית המשפט המחוזי הנכבד התייחס לעמדות הצדדים לגבי העונש</w:t>
      </w:r>
      <w:r>
        <w:rPr>
          <w:rFonts w:cs="Times New Roman" w:ascii="Times New Roman" w:hAnsi="Times New Roman"/>
          <w:rtl w:val="true"/>
        </w:rPr>
        <w:t xml:space="preserve">, </w:t>
      </w:r>
      <w:r>
        <w:rPr>
          <w:rFonts w:ascii="Times New Roman" w:hAnsi="Times New Roman" w:cs="Times New Roman"/>
          <w:rtl w:val="true"/>
        </w:rPr>
        <w:t>כפי שסוכמו בהסדר הטיעון ונתן משקל לעובדה שהוסכם כי המשיבה תטען לעונש שאיננו עולה על שנתיים מאסר בפועל</w:t>
      </w:r>
      <w:r>
        <w:rPr>
          <w:rFonts w:cs="Times New Roman" w:ascii="Times New Roman" w:hAnsi="Times New Roman"/>
          <w:rtl w:val="true"/>
        </w:rPr>
        <w:t xml:space="preserve">. </w:t>
      </w:r>
      <w:r>
        <w:rPr>
          <w:rFonts w:ascii="Times New Roman" w:hAnsi="Times New Roman" w:cs="Times New Roman"/>
          <w:rtl w:val="true"/>
        </w:rPr>
        <w:t>לאחר ששקל כל אלה</w:t>
      </w:r>
      <w:r>
        <w:rPr>
          <w:rFonts w:cs="Times New Roman" w:ascii="Times New Roman" w:hAnsi="Times New Roman"/>
          <w:rtl w:val="true"/>
        </w:rPr>
        <w:t xml:space="preserve">, </w:t>
      </w:r>
      <w:r>
        <w:rPr>
          <w:rFonts w:ascii="Times New Roman" w:hAnsi="Times New Roman" w:cs="Times New Roman"/>
          <w:rtl w:val="true"/>
        </w:rPr>
        <w:t xml:space="preserve">השית בית המשפט המחוזי הנכבד על המערער את העונשים המפורטים בפיסקה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שלעיל</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tabs>
          <w:tab w:val="clear" w:pos="1191"/>
          <w:tab w:val="left" w:pos="800" w:leader="none"/>
        </w:tabs>
        <w:ind w:start="90" w:end="0"/>
        <w:jc w:val="both"/>
        <w:rPr/>
      </w:pPr>
      <w:r>
        <w:rPr>
          <w:rFonts w:cs="Times New Roman" w:ascii="Times New Roman" w:hAnsi="Times New Roman"/>
          <w:rtl w:val="true"/>
        </w:rPr>
        <w:tab/>
      </w:r>
      <w:r>
        <w:rPr>
          <w:rFonts w:ascii="Times New Roman" w:hAnsi="Times New Roman" w:cs="Times New Roman"/>
          <w:rtl w:val="true"/>
        </w:rPr>
        <w:t>מכאן הערעור שלפנינו</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תמצית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הצדדים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בערעור</w:t>
      </w:r>
    </w:p>
    <w:p>
      <w:pPr>
        <w:pStyle w:val="Ruller42"/>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3"/>
        <w:numPr>
          <w:ilvl w:val="0"/>
          <w:numId w:val="1"/>
        </w:numPr>
        <w:ind w:hanging="0" w:start="90" w:end="0"/>
        <w:jc w:val="both"/>
        <w:rPr>
          <w:rFonts w:ascii="Times New Roman" w:hAnsi="Times New Roman" w:cs="Times New Roman"/>
        </w:rPr>
      </w:pPr>
      <w:r>
        <w:rPr>
          <w:rFonts w:ascii="Times New Roman" w:hAnsi="Times New Roman" w:cs="Times New Roman"/>
          <w:rtl w:val="true"/>
        </w:rPr>
        <w:t>בא</w:t>
      </w:r>
      <w:r>
        <w:rPr>
          <w:rFonts w:cs="Times New Roman" w:ascii="Times New Roman" w:hAnsi="Times New Roman"/>
          <w:rtl w:val="true"/>
        </w:rPr>
        <w:t>-</w:t>
      </w:r>
      <w:r>
        <w:rPr>
          <w:rFonts w:ascii="Times New Roman" w:hAnsi="Times New Roman" w:cs="Times New Roman"/>
          <w:rtl w:val="true"/>
        </w:rPr>
        <w:t>כוח המערער טוען כי בית המשפט המחוזי הנכבד שגה כאשר העמיד את מתחם הענישה בעניינו בטווח שבין שנתיים עד חמש שנות מאסר</w:t>
      </w:r>
      <w:r>
        <w:rPr>
          <w:rFonts w:cs="Times New Roman" w:ascii="Times New Roman" w:hAnsi="Times New Roman"/>
          <w:rtl w:val="true"/>
        </w:rPr>
        <w:t xml:space="preserve">, </w:t>
      </w:r>
      <w:r>
        <w:rPr>
          <w:rFonts w:ascii="Times New Roman" w:hAnsi="Times New Roman" w:cs="Times New Roman"/>
          <w:rtl w:val="true"/>
        </w:rPr>
        <w:t>נתון שאיננו משקף</w:t>
      </w:r>
      <w:r>
        <w:rPr>
          <w:rFonts w:cs="Times New Roman" w:ascii="Times New Roman" w:hAnsi="Times New Roman"/>
          <w:rtl w:val="true"/>
        </w:rPr>
        <w:t xml:space="preserve">, </w:t>
      </w:r>
      <w:r>
        <w:rPr>
          <w:rFonts w:ascii="Times New Roman" w:hAnsi="Times New Roman" w:cs="Times New Roman"/>
          <w:rtl w:val="true"/>
        </w:rPr>
        <w:t>לעמדתו</w:t>
      </w:r>
      <w:r>
        <w:rPr>
          <w:rFonts w:cs="Times New Roman" w:ascii="Times New Roman" w:hAnsi="Times New Roman"/>
          <w:rtl w:val="true"/>
        </w:rPr>
        <w:t xml:space="preserve">, </w:t>
      </w:r>
      <w:r>
        <w:rPr>
          <w:rFonts w:ascii="Times New Roman" w:hAnsi="Times New Roman" w:cs="Times New Roman"/>
          <w:rtl w:val="true"/>
        </w:rPr>
        <w:t>את מדיניות הענישה הנהוגה</w:t>
      </w:r>
      <w:r>
        <w:rPr>
          <w:rFonts w:cs="Times New Roman" w:ascii="Times New Roman" w:hAnsi="Times New Roman"/>
          <w:rtl w:val="true"/>
        </w:rPr>
        <w:t xml:space="preserve">, </w:t>
      </w:r>
      <w:r>
        <w:rPr>
          <w:rFonts w:ascii="Times New Roman" w:hAnsi="Times New Roman" w:cs="Times New Roman"/>
          <w:rtl w:val="true"/>
        </w:rPr>
        <w:t>ואף נוגד את הסכמת הצדדים</w:t>
      </w:r>
      <w:r>
        <w:rPr>
          <w:rFonts w:cs="Times New Roman" w:ascii="Times New Roman" w:hAnsi="Times New Roman"/>
          <w:rtl w:val="true"/>
        </w:rPr>
        <w:t xml:space="preserve">, </w:t>
      </w:r>
      <w:r>
        <w:rPr>
          <w:rFonts w:ascii="Times New Roman" w:hAnsi="Times New Roman" w:cs="Times New Roman"/>
          <w:rtl w:val="true"/>
        </w:rPr>
        <w:t>לפיה המשיבה הגבילה עצמה בטיעוניה לעונש גג של שנתיים מאסר בפועל בלבד</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tabs>
          <w:tab w:val="clear" w:pos="1191"/>
          <w:tab w:val="left" w:pos="800" w:leader="none"/>
        </w:tabs>
        <w:ind w:start="90"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בא</w:t>
      </w:r>
      <w:r>
        <w:rPr>
          <w:rFonts w:cs="Times New Roman" w:ascii="Times New Roman" w:hAnsi="Times New Roman"/>
          <w:rtl w:val="true"/>
        </w:rPr>
        <w:t>-</w:t>
      </w:r>
      <w:r>
        <w:rPr>
          <w:rFonts w:ascii="Times New Roman" w:hAnsi="Times New Roman" w:cs="Times New Roman"/>
          <w:rtl w:val="true"/>
        </w:rPr>
        <w:t>כוח המערער מוסיף וטוען</w:t>
      </w:r>
      <w:r>
        <w:rPr>
          <w:rFonts w:cs="Times New Roman" w:ascii="Times New Roman" w:hAnsi="Times New Roman"/>
          <w:rtl w:val="true"/>
        </w:rPr>
        <w:t xml:space="preserve">, </w:t>
      </w:r>
      <w:r>
        <w:rPr>
          <w:rFonts w:ascii="Times New Roman" w:hAnsi="Times New Roman" w:cs="Times New Roman"/>
          <w:rtl w:val="true"/>
        </w:rPr>
        <w:t xml:space="preserve">כי </w:t>
      </w:r>
      <w:r>
        <w:rPr>
          <w:sz w:val="28"/>
          <w:sz w:val="28"/>
          <w:rtl w:val="true"/>
        </w:rPr>
        <w:t>העונש שהושת על המערער חורג לחומרה ובאופן קיצוני ממדיניות הענישה הנהוגה</w:t>
      </w:r>
      <w:r>
        <w:rPr>
          <w:sz w:val="28"/>
          <w:rtl w:val="true"/>
        </w:rPr>
        <w:t xml:space="preserve">, </w:t>
      </w:r>
      <w:r>
        <w:rPr>
          <w:sz w:val="28"/>
          <w:sz w:val="28"/>
          <w:rtl w:val="true"/>
        </w:rPr>
        <w:t>בשים לב</w:t>
      </w:r>
      <w:r>
        <w:rPr>
          <w:rtl w:val="true"/>
        </w:rPr>
        <w:t xml:space="preserve"> לכך שבית המשפט המחוזי הנכבד לא נתן</w:t>
      </w:r>
      <w:r>
        <w:rPr>
          <w:rtl w:val="true"/>
        </w:rPr>
        <w:t xml:space="preserve">, </w:t>
      </w:r>
      <w:r>
        <w:rPr>
          <w:rtl w:val="true"/>
        </w:rPr>
        <w:t>לשיטתו</w:t>
      </w:r>
      <w:r>
        <w:rPr>
          <w:rtl w:val="true"/>
        </w:rPr>
        <w:t xml:space="preserve">, </w:t>
      </w:r>
      <w:r>
        <w:rPr>
          <w:rtl w:val="true"/>
        </w:rPr>
        <w:t>את המשקל הראוי</w:t>
      </w:r>
      <w:r>
        <w:rPr>
          <w:rFonts w:ascii="Times New Roman" w:hAnsi="Times New Roman" w:cs="Times New Roman"/>
          <w:rtl w:val="true"/>
        </w:rPr>
        <w:t xml:space="preserve"> לתסקיר שירות המבחן</w:t>
      </w:r>
      <w:r>
        <w:rPr>
          <w:rFonts w:cs="Times New Roman" w:ascii="Times New Roman" w:hAnsi="Times New Roman"/>
          <w:rtl w:val="true"/>
        </w:rPr>
        <w:t xml:space="preserve">, </w:t>
      </w:r>
      <w:r>
        <w:rPr>
          <w:rFonts w:ascii="Times New Roman" w:hAnsi="Times New Roman" w:cs="Times New Roman"/>
          <w:rtl w:val="true"/>
        </w:rPr>
        <w:t>ולנסיבותיו האישיות של המערער</w:t>
      </w:r>
      <w:r>
        <w:rPr>
          <w:rFonts w:cs="Times New Roman" w:ascii="Times New Roman" w:hAnsi="Times New Roman"/>
          <w:rtl w:val="true"/>
        </w:rPr>
        <w:t xml:space="preserve">, </w:t>
      </w:r>
      <w:r>
        <w:rPr>
          <w:rFonts w:ascii="Times New Roman" w:hAnsi="Times New Roman" w:cs="Times New Roman"/>
          <w:rtl w:val="true"/>
        </w:rPr>
        <w:t>ובכלל אלו</w:t>
      </w:r>
      <w:r>
        <w:rPr>
          <w:rFonts w:cs="Times New Roman" w:ascii="Times New Roman" w:hAnsi="Times New Roman"/>
          <w:rtl w:val="true"/>
        </w:rPr>
        <w:t xml:space="preserve">: </w:t>
      </w:r>
      <w:r>
        <w:rPr>
          <w:rFonts w:ascii="Times New Roman" w:hAnsi="Times New Roman" w:cs="Times New Roman"/>
          <w:rtl w:val="true"/>
        </w:rPr>
        <w:t>הודאתו בביצוע העבירה</w:t>
      </w:r>
      <w:r>
        <w:rPr>
          <w:rFonts w:cs="Times New Roman" w:ascii="Times New Roman" w:hAnsi="Times New Roman"/>
          <w:rtl w:val="true"/>
        </w:rPr>
        <w:t xml:space="preserve">, </w:t>
      </w:r>
      <w:r>
        <w:rPr>
          <w:rFonts w:ascii="Times New Roman" w:hAnsi="Times New Roman" w:cs="Times New Roman"/>
          <w:rtl w:val="true"/>
        </w:rPr>
        <w:t>עברו הפלילי הנקי והחותם שעתיד מאסר ממושך להטביע בו ובמשפחתו</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על כן</w:t>
      </w:r>
      <w:r>
        <w:rPr>
          <w:rFonts w:cs="Times New Roman" w:ascii="Times New Roman" w:hAnsi="Times New Roman"/>
          <w:rtl w:val="true"/>
        </w:rPr>
        <w:t xml:space="preserve">, </w:t>
      </w:r>
      <w:r>
        <w:rPr>
          <w:rFonts w:ascii="Times New Roman" w:hAnsi="Times New Roman" w:cs="Times New Roman"/>
          <w:rtl w:val="true"/>
        </w:rPr>
        <w:t>בא</w:t>
      </w:r>
      <w:r>
        <w:rPr>
          <w:rFonts w:cs="Times New Roman" w:ascii="Times New Roman" w:hAnsi="Times New Roman"/>
          <w:rtl w:val="true"/>
        </w:rPr>
        <w:t>-</w:t>
      </w:r>
      <w:r>
        <w:rPr>
          <w:rFonts w:ascii="Times New Roman" w:hAnsi="Times New Roman" w:cs="Times New Roman"/>
          <w:rtl w:val="true"/>
        </w:rPr>
        <w:t>כוח המערער סבור כי מוצדקת הקלה משמעותית בעונש שהושת על המערער</w:t>
      </w:r>
      <w:r>
        <w:rPr>
          <w:rFonts w:cs="Times New Roman" w:ascii="Times New Roman" w:hAnsi="Times New Roman"/>
          <w:rtl w:val="true"/>
        </w:rPr>
        <w:t xml:space="preserve">, </w:t>
      </w:r>
      <w:r>
        <w:rPr>
          <w:rFonts w:ascii="Times New Roman" w:hAnsi="Times New Roman" w:cs="Times New Roman"/>
          <w:rtl w:val="true"/>
        </w:rPr>
        <w:t>כך שיבוטל עונש המאסר</w:t>
      </w:r>
      <w:r>
        <w:rPr>
          <w:rFonts w:cs="Times New Roman" w:ascii="Times New Roman" w:hAnsi="Times New Roman"/>
          <w:rtl w:val="true"/>
        </w:rPr>
        <w:t xml:space="preserve">, </w:t>
      </w:r>
      <w:r>
        <w:rPr>
          <w:rFonts w:ascii="Times New Roman" w:hAnsi="Times New Roman" w:cs="Times New Roman"/>
          <w:rtl w:val="true"/>
        </w:rPr>
        <w:t>ותחתיו יבוא צו מבחן ושירות לתועלת הציבור</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1"/>
        </w:numPr>
        <w:ind w:hanging="0" w:start="90" w:end="0"/>
        <w:jc w:val="both"/>
        <w:rPr>
          <w:rFonts w:ascii="Century" w:hAnsi="Century" w:cs="Century"/>
        </w:rPr>
      </w:pPr>
      <w:r>
        <w:rPr>
          <w:rFonts w:ascii="Times New Roman" w:hAnsi="Times New Roman" w:cs="Times New Roman"/>
          <w:rtl w:val="true"/>
        </w:rPr>
        <w:t xml:space="preserve">בדיון שנערך בפנינו בתאריך </w:t>
      </w:r>
      <w:r>
        <w:rPr>
          <w:rFonts w:cs="Times New Roman" w:ascii="Times New Roman" w:hAnsi="Times New Roman"/>
        </w:rPr>
        <w:t>23.07.2018</w:t>
      </w:r>
      <w:r>
        <w:rPr>
          <w:rFonts w:cs="Times New Roman" w:ascii="Times New Roman" w:hAnsi="Times New Roman"/>
          <w:rtl w:val="true"/>
        </w:rPr>
        <w:t xml:space="preserve">, </w:t>
      </w:r>
      <w:r>
        <w:rPr>
          <w:rFonts w:ascii="Times New Roman" w:hAnsi="Times New Roman" w:cs="Times New Roman"/>
          <w:rtl w:val="true"/>
        </w:rPr>
        <w:t>בא</w:t>
      </w:r>
      <w:r>
        <w:rPr>
          <w:rFonts w:cs="Times New Roman" w:ascii="Times New Roman" w:hAnsi="Times New Roman"/>
          <w:rtl w:val="true"/>
        </w:rPr>
        <w:t>-</w:t>
      </w:r>
      <w:r>
        <w:rPr>
          <w:rFonts w:ascii="Times New Roman" w:hAnsi="Times New Roman" w:cs="Times New Roman"/>
          <w:rtl w:val="true"/>
        </w:rPr>
        <w:t>כוח המשיבה טען כי</w:t>
      </w:r>
      <w:r>
        <w:rPr>
          <w:sz w:val="28"/>
          <w:sz w:val="28"/>
          <w:rtl w:val="true"/>
        </w:rPr>
        <w:t xml:space="preserve"> גזר דינו של בית המשפט המחוזי הנכבד הולם את חומרת העבירות בהן הורשע המערער</w:t>
      </w:r>
      <w:r>
        <w:rPr>
          <w:sz w:val="28"/>
          <w:rtl w:val="true"/>
        </w:rPr>
        <w:t xml:space="preserve">, </w:t>
      </w:r>
      <w:r>
        <w:rPr>
          <w:sz w:val="28"/>
          <w:sz w:val="28"/>
          <w:rtl w:val="true"/>
        </w:rPr>
        <w:t>והוא מבטא איזון ראוי בין מכלול השיקולים הרלבנטיים</w:t>
      </w:r>
      <w:r>
        <w:rPr>
          <w:sz w:val="28"/>
          <w:rtl w:val="true"/>
        </w:rPr>
        <w:t xml:space="preserve">, </w:t>
      </w:r>
      <w:r>
        <w:rPr>
          <w:sz w:val="28"/>
          <w:sz w:val="28"/>
          <w:rtl w:val="true"/>
        </w:rPr>
        <w:t>בהתחשב בחומרה היתרה הגלומה בעבירה שבביצועה המערער הודה והורשע</w:t>
      </w:r>
      <w:r>
        <w:rPr>
          <w:sz w:val="28"/>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1"/>
        </w:numPr>
        <w:ind w:hanging="0" w:start="90" w:end="0"/>
        <w:jc w:val="both"/>
        <w:rPr/>
      </w:pPr>
      <w:r>
        <w:rPr>
          <w:rtl w:val="true"/>
        </w:rPr>
        <w:t xml:space="preserve">תסקיר משלים מטעם שירות המבחן למבוגרים הוגש לעיוננו בתאריך </w:t>
      </w:r>
      <w:r>
        <w:rPr/>
        <w:t>17.07.2018</w:t>
      </w:r>
      <w:r>
        <w:rPr>
          <w:rtl w:val="true"/>
        </w:rPr>
        <w:t xml:space="preserve">, </w:t>
      </w:r>
      <w:r>
        <w:rPr>
          <w:rtl w:val="true"/>
        </w:rPr>
        <w:t>ובגדרו צוין כי המערער</w:t>
      </w:r>
      <w:r>
        <w:rPr>
          <w:rtl w:val="true"/>
        </w:rPr>
        <w:t xml:space="preserve">, </w:t>
      </w:r>
      <w:r>
        <w:rPr>
          <w:rtl w:val="true"/>
        </w:rPr>
        <w:t xml:space="preserve">אשר החל בריצוי מאסרו בתאריך </w:t>
      </w:r>
      <w:r>
        <w:rPr/>
        <w:t>29.04.2018</w:t>
      </w:r>
      <w:r>
        <w:rPr>
          <w:rtl w:val="true"/>
        </w:rPr>
        <w:t xml:space="preserve">, </w:t>
      </w:r>
      <w:r>
        <w:rPr>
          <w:rtl w:val="true"/>
        </w:rPr>
        <w:t>מביע צער וחרטה על ביצוע העבירה והוא משתלב בפעילויות הטיפוליות בבית הסוהר</w:t>
      </w:r>
      <w:r>
        <w:rPr>
          <w:rtl w:val="true"/>
        </w:rPr>
        <w:t>.</w:t>
      </w:r>
    </w:p>
    <w:p>
      <w:pPr>
        <w:pStyle w:val="Ruller42"/>
        <w:ind w:end="0"/>
        <w:jc w:val="both"/>
        <w:rPr/>
      </w:pPr>
      <w:r>
        <w:rPr>
          <w:rtl w:val="true"/>
        </w:rPr>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והכרעה</w:t>
      </w:r>
    </w:p>
    <w:p>
      <w:pPr>
        <w:pStyle w:val="Ruller42"/>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3"/>
        <w:numPr>
          <w:ilvl w:val="0"/>
          <w:numId w:val="1"/>
        </w:numPr>
        <w:ind w:hanging="0" w:start="90" w:end="0"/>
        <w:jc w:val="both"/>
        <w:rPr>
          <w:rFonts w:ascii="Arial TUR;Arial" w:hAnsi="Arial TUR;Arial" w:cs="Arial TUR;Arial"/>
          <w:sz w:val="22"/>
        </w:rPr>
      </w:pPr>
      <w:r>
        <w:rPr>
          <w:rFonts w:ascii="Century" w:hAnsi="Century" w:cs="Century"/>
          <w:rtl w:val="true"/>
        </w:rPr>
        <w:t>לאחר שעיינו בהודעת הערעור ונימוקיה</w:t>
      </w:r>
      <w:r>
        <w:rPr>
          <w:rFonts w:cs="Century" w:ascii="Century" w:hAnsi="Century"/>
          <w:rtl w:val="true"/>
        </w:rPr>
        <w:t>,</w:t>
      </w:r>
      <w:r>
        <w:rPr>
          <w:rFonts w:cs="Arial TUR;Arial" w:ascii="Arial TUR;Arial" w:hAnsi="Arial TUR;Arial"/>
          <w:sz w:val="22"/>
          <w:rtl w:val="true"/>
        </w:rPr>
        <w:t xml:space="preserve"> </w:t>
      </w:r>
      <w:r>
        <w:rPr>
          <w:rFonts w:ascii="Arial TUR;Arial" w:hAnsi="Arial TUR;Arial" w:cs="Arial TUR;Arial"/>
          <w:sz w:val="22"/>
          <w:sz w:val="22"/>
          <w:rtl w:val="true"/>
        </w:rPr>
        <w:t>ולאחר ששמענו את טיעוני באי</w:t>
      </w:r>
      <w:r>
        <w:rPr>
          <w:rFonts w:cs="Arial TUR;Arial" w:ascii="Arial TUR;Arial" w:hAnsi="Arial TUR;Arial"/>
          <w:sz w:val="22"/>
          <w:rtl w:val="true"/>
        </w:rPr>
        <w:t>-</w:t>
      </w:r>
      <w:r>
        <w:rPr>
          <w:rFonts w:ascii="Arial TUR;Arial" w:hAnsi="Arial TUR;Arial" w:cs="Arial TUR;Arial"/>
          <w:sz w:val="22"/>
          <w:sz w:val="22"/>
          <w:rtl w:val="true"/>
        </w:rPr>
        <w:t>כוח הצדדים</w:t>
      </w:r>
      <w:r>
        <w:rPr>
          <w:rFonts w:cs="Arial TUR;Arial" w:ascii="Arial TUR;Arial" w:hAnsi="Arial TUR;Arial"/>
          <w:sz w:val="22"/>
          <w:rtl w:val="true"/>
        </w:rPr>
        <w:t xml:space="preserve">, </w:t>
      </w:r>
      <w:r>
        <w:rPr>
          <w:rFonts w:ascii="Arial TUR;Arial" w:hAnsi="Arial TUR;Arial" w:cs="Arial TUR;Arial"/>
          <w:sz w:val="22"/>
          <w:sz w:val="22"/>
          <w:rtl w:val="true"/>
        </w:rPr>
        <w:t xml:space="preserve">הגענו לכלל מסקנה כי </w:t>
      </w:r>
      <w:r>
        <w:rPr>
          <w:rFonts w:cs="Miriam"/>
          <w:sz w:val="28"/>
          <w:sz w:val="28"/>
          <w:szCs w:val="24"/>
          <w:rtl w:val="true"/>
        </w:rPr>
        <w:t>דין</w:t>
      </w:r>
      <w:r>
        <w:rPr>
          <w:rFonts w:eastAsia="Garamond"/>
          <w:sz w:val="28"/>
          <w:sz w:val="28"/>
          <w:szCs w:val="24"/>
          <w:rtl w:val="true"/>
        </w:rPr>
        <w:t xml:space="preserve"> </w:t>
      </w:r>
      <w:r>
        <w:rPr>
          <w:rFonts w:cs="Miriam"/>
          <w:sz w:val="28"/>
          <w:sz w:val="28"/>
          <w:szCs w:val="24"/>
          <w:rtl w:val="true"/>
        </w:rPr>
        <w:t>הערעור</w:t>
      </w:r>
      <w:r>
        <w:rPr>
          <w:rFonts w:eastAsia="Garamond"/>
          <w:sz w:val="28"/>
          <w:sz w:val="28"/>
          <w:szCs w:val="24"/>
          <w:rtl w:val="true"/>
        </w:rPr>
        <w:t xml:space="preserve"> </w:t>
      </w:r>
      <w:r>
        <w:rPr>
          <w:rFonts w:cs="Miriam"/>
          <w:sz w:val="28"/>
          <w:sz w:val="28"/>
          <w:szCs w:val="24"/>
          <w:rtl w:val="true"/>
        </w:rPr>
        <w:t>להידחות</w:t>
      </w:r>
      <w:r>
        <w:rPr>
          <w:rFonts w:cs="Arial TUR;Arial" w:ascii="Arial TUR;Arial" w:hAnsi="Arial TUR;Arial"/>
          <w:sz w:val="22"/>
          <w:rtl w:val="true"/>
        </w:rPr>
        <w:t xml:space="preserve">. </w:t>
      </w:r>
      <w:r>
        <w:rPr>
          <w:rFonts w:ascii="Arial TUR;Arial" w:hAnsi="Arial TUR;Arial" w:cs="Arial TUR;Arial"/>
          <w:sz w:val="22"/>
          <w:sz w:val="22"/>
          <w:rtl w:val="true"/>
        </w:rPr>
        <w:t>הטעמים לכך יובאו בקצרה להלן</w:t>
      </w:r>
      <w:r>
        <w:rPr>
          <w:rFonts w:cs="Arial TUR;Arial" w:ascii="Arial TUR;Arial" w:hAnsi="Arial TUR;Arial"/>
          <w:sz w:val="22"/>
          <w:rtl w:val="true"/>
        </w:rPr>
        <w:t>.</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43"/>
        <w:numPr>
          <w:ilvl w:val="0"/>
          <w:numId w:val="1"/>
        </w:numPr>
        <w:ind w:hanging="0" w:start="90" w:end="0"/>
        <w:jc w:val="both"/>
        <w:rPr>
          <w:rFonts w:ascii="Arial TUR;Arial" w:hAnsi="Arial TUR;Arial" w:cs="Arial TUR;Arial"/>
          <w:sz w:val="22"/>
        </w:rPr>
      </w:pPr>
      <w:r>
        <w:rPr>
          <w:rFonts w:ascii="Times New Roman" w:hAnsi="Times New Roman" w:cs="Times New Roman"/>
          <w:sz w:val="22"/>
          <w:sz w:val="22"/>
          <w:rtl w:val="true"/>
        </w:rPr>
        <w:t>הלכה היא מלפני בית משפט</w:t>
      </w:r>
      <w:r>
        <w:rPr>
          <w:rFonts w:ascii="Arial TUR;Arial" w:hAnsi="Arial TUR;Arial" w:cs="Arial TUR;Arial"/>
          <w:sz w:val="22"/>
          <w:sz w:val="22"/>
          <w:rtl w:val="true"/>
        </w:rPr>
        <w:t xml:space="preserve"> זה כי התערבות בעונש שגזרה הערכאה המבררת תיעשה במקרים חריגים בלבד – בהם נפלה טעות מהותית בגזר הדין</w:t>
      </w:r>
      <w:r>
        <w:rPr>
          <w:rFonts w:cs="Arial TUR;Arial" w:ascii="Arial TUR;Arial" w:hAnsi="Arial TUR;Arial"/>
          <w:sz w:val="22"/>
          <w:rtl w:val="true"/>
        </w:rPr>
        <w:t xml:space="preserve">, </w:t>
      </w:r>
      <w:r>
        <w:rPr>
          <w:rFonts w:ascii="Arial TUR;Arial" w:hAnsi="Arial TUR;Arial" w:cs="Arial TUR;Arial"/>
          <w:sz w:val="22"/>
          <w:sz w:val="22"/>
          <w:rtl w:val="true"/>
        </w:rPr>
        <w:t>כאשר העונש שנגזר חורג ממדיניות הענישה הנוהגת במקרים דומים</w:t>
      </w:r>
      <w:r>
        <w:rPr>
          <w:rFonts w:cs="Arial TUR;Arial" w:ascii="Arial TUR;Arial" w:hAnsi="Arial TUR;Arial"/>
          <w:sz w:val="22"/>
          <w:rtl w:val="true"/>
        </w:rPr>
        <w:t xml:space="preserve">, </w:t>
      </w:r>
      <w:r>
        <w:rPr>
          <w:rFonts w:ascii="Arial TUR;Arial" w:hAnsi="Arial TUR;Arial" w:cs="Arial TUR;Arial"/>
          <w:sz w:val="22"/>
          <w:sz w:val="22"/>
          <w:rtl w:val="true"/>
        </w:rPr>
        <w:t xml:space="preserve">או כאשר ישנן נסיבות מיוחדות המצדיקות זאת </w:t>
      </w:r>
      <w:r>
        <w:rPr>
          <w:rFonts w:cs="Arial TUR;Arial" w:ascii="Arial TUR;Arial" w:hAnsi="Arial TUR;Arial"/>
          <w:sz w:val="22"/>
          <w:rtl w:val="true"/>
        </w:rPr>
        <w:t>(</w:t>
      </w:r>
      <w:r>
        <w:rPr>
          <w:rFonts w:ascii="Arial TUR;Arial" w:hAnsi="Arial TUR;Arial" w:cs="Arial TUR;Arial"/>
          <w:sz w:val="22"/>
          <w:sz w:val="22"/>
          <w:rtl w:val="true"/>
        </w:rPr>
        <w:t>ראו</w:t>
      </w:r>
      <w:r>
        <w:rPr>
          <w:rFonts w:cs="Arial TUR;Arial" w:ascii="Arial TUR;Arial" w:hAnsi="Arial TUR;Arial"/>
          <w:sz w:val="22"/>
          <w:rtl w:val="true"/>
        </w:rPr>
        <w:t xml:space="preserve">: </w:t>
      </w:r>
      <w:hyperlink r:id="rId7">
        <w:r>
          <w:rPr>
            <w:rStyle w:val="Hyperlink"/>
            <w:rFonts w:cs="Times New Roman" w:ascii="Times New Roman" w:hAnsi="Times New Roman"/>
            <w:color w:val="0000FF"/>
            <w:sz w:val="22"/>
            <w:u w:val="single"/>
          </w:rPr>
          <w:t>1821/17</w:t>
        </w:r>
      </w:hyperlink>
      <w:r>
        <w:rPr>
          <w:rFonts w:cs="Times New Roman" w:ascii="Times New Roman" w:hAnsi="Times New Roman"/>
          <w:sz w:val="22"/>
          <w:rtl w:val="true"/>
        </w:rPr>
        <w:t xml:space="preserve"> </w:t>
      </w:r>
      <w:r>
        <w:rPr>
          <w:rFonts w:cs="Miriam"/>
          <w:sz w:val="28"/>
          <w:sz w:val="28"/>
          <w:szCs w:val="24"/>
          <w:rtl w:val="true"/>
        </w:rPr>
        <w:t>פלוני</w:t>
      </w:r>
      <w:r>
        <w:rPr>
          <w:rFonts w:eastAsia="Garamond"/>
          <w:sz w:val="28"/>
          <w:sz w:val="28"/>
          <w:szCs w:val="24"/>
          <w:rtl w:val="true"/>
        </w:rPr>
        <w:t xml:space="preserve"> </w:t>
      </w:r>
      <w:r>
        <w:rPr>
          <w:rFonts w:cs="Miriam"/>
          <w:sz w:val="28"/>
          <w:sz w:val="28"/>
          <w:szCs w:val="24"/>
          <w:rtl w:val="true"/>
        </w:rPr>
        <w:t>נ</w:t>
      </w:r>
      <w:r>
        <w:rPr>
          <w:rFonts w:cs="Miriam"/>
          <w:sz w:val="28"/>
          <w:szCs w:val="24"/>
          <w:rtl w:val="true"/>
        </w:rPr>
        <w:t xml:space="preserve">' </w:t>
      </w:r>
      <w:r>
        <w:rPr>
          <w:rFonts w:cs="Miriam"/>
          <w:sz w:val="28"/>
          <w:sz w:val="28"/>
          <w:szCs w:val="24"/>
          <w:rtl w:val="true"/>
        </w:rPr>
        <w:t>מדינת</w:t>
      </w:r>
      <w:r>
        <w:rPr>
          <w:rFonts w:eastAsia="Garamond"/>
          <w:sz w:val="28"/>
          <w:sz w:val="28"/>
          <w:szCs w:val="24"/>
          <w:rtl w:val="true"/>
        </w:rPr>
        <w:t xml:space="preserve"> </w:t>
      </w:r>
      <w:r>
        <w:rPr>
          <w:rFonts w:cs="Miriam"/>
          <w:sz w:val="28"/>
          <w:sz w:val="28"/>
          <w:szCs w:val="24"/>
          <w:rtl w:val="true"/>
        </w:rPr>
        <w:t>ישראל</w:t>
      </w:r>
      <w:r>
        <w:rPr>
          <w:rFonts w:ascii="Arial TUR;Arial" w:hAnsi="Arial TUR;Arial" w:cs="Arial TUR;Arial"/>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29.04.2018</w:t>
      </w:r>
      <w:r>
        <w:rPr>
          <w:rFonts w:cs="Arial TUR;Arial" w:ascii="Arial TUR;Arial" w:hAnsi="Arial TUR;Arial"/>
          <w:sz w:val="22"/>
          <w:rtl w:val="true"/>
        </w:rPr>
        <w:t xml:space="preserve">); </w:t>
      </w:r>
      <w:hyperlink r:id="rId8">
        <w:r>
          <w:rPr>
            <w:rStyle w:val="Hyperlink"/>
            <w:rFonts w:ascii="Times New Roman" w:hAnsi="Times New Roman" w:cs="Times New Roman"/>
            <w:color w:val="0000FF"/>
            <w:sz w:val="22"/>
            <w:sz w:val="22"/>
            <w:u w:val="single"/>
            <w:rtl w:val="true"/>
          </w:rPr>
          <w:t>ע</w:t>
        </w:r>
        <w:r>
          <w:rPr>
            <w:rStyle w:val="Hyperlink"/>
            <w:rFonts w:cs="Times New Roman" w:ascii="Times New Roman" w:hAnsi="Times New Roman"/>
            <w:color w:val="0000FF"/>
            <w:sz w:val="22"/>
            <w:u w:val="single"/>
            <w:rtl w:val="true"/>
          </w:rPr>
          <w:t>"</w:t>
        </w:r>
        <w:r>
          <w:rPr>
            <w:rStyle w:val="Hyperlink"/>
            <w:rFonts w:ascii="Times New Roman" w:hAnsi="Times New Roman" w:cs="Times New Roman"/>
            <w:color w:val="0000FF"/>
            <w:sz w:val="22"/>
            <w:sz w:val="22"/>
            <w:u w:val="single"/>
            <w:rtl w:val="true"/>
          </w:rPr>
          <w:t xml:space="preserve">פ </w:t>
        </w:r>
        <w:r>
          <w:rPr>
            <w:rStyle w:val="Hyperlink"/>
            <w:rFonts w:cs="Times New Roman" w:ascii="Times New Roman" w:hAnsi="Times New Roman"/>
            <w:color w:val="0000FF"/>
            <w:sz w:val="22"/>
            <w:u w:val="single"/>
          </w:rPr>
          <w:t>604/16</w:t>
        </w:r>
      </w:hyperlink>
      <w:r>
        <w:rPr>
          <w:rFonts w:cs="Times New Roman" w:ascii="Times New Roman" w:hAnsi="Times New Roman"/>
          <w:sz w:val="22"/>
          <w:rtl w:val="true"/>
        </w:rPr>
        <w:t xml:space="preserve"> </w:t>
      </w:r>
      <w:r>
        <w:rPr>
          <w:rFonts w:cs="Miriam"/>
          <w:sz w:val="28"/>
          <w:sz w:val="28"/>
          <w:szCs w:val="24"/>
          <w:rtl w:val="true"/>
        </w:rPr>
        <w:t>בדארנה</w:t>
      </w:r>
      <w:r>
        <w:rPr>
          <w:rFonts w:eastAsia="Garamond"/>
          <w:sz w:val="28"/>
          <w:sz w:val="28"/>
          <w:szCs w:val="24"/>
          <w:rtl w:val="true"/>
        </w:rPr>
        <w:t xml:space="preserve"> </w:t>
      </w:r>
      <w:r>
        <w:rPr>
          <w:rFonts w:cs="Miriam"/>
          <w:sz w:val="28"/>
          <w:sz w:val="28"/>
          <w:szCs w:val="24"/>
          <w:rtl w:val="true"/>
        </w:rPr>
        <w:t>נ</w:t>
      </w:r>
      <w:r>
        <w:rPr>
          <w:rFonts w:cs="Miriam"/>
          <w:sz w:val="28"/>
          <w:szCs w:val="24"/>
          <w:rtl w:val="true"/>
        </w:rPr>
        <w:t xml:space="preserve">' </w:t>
      </w:r>
      <w:r>
        <w:rPr>
          <w:rFonts w:cs="Miriam"/>
          <w:sz w:val="28"/>
          <w:sz w:val="28"/>
          <w:szCs w:val="24"/>
          <w:rtl w:val="true"/>
        </w:rPr>
        <w:t>מדינת</w:t>
      </w:r>
      <w:r>
        <w:rPr>
          <w:rFonts w:eastAsia="Garamond"/>
          <w:sz w:val="28"/>
          <w:sz w:val="28"/>
          <w:szCs w:val="24"/>
          <w:rtl w:val="true"/>
        </w:rPr>
        <w:t xml:space="preserve"> </w:t>
      </w:r>
      <w:r>
        <w:rPr>
          <w:rFonts w:cs="Miriam"/>
          <w:sz w:val="28"/>
          <w:sz w:val="28"/>
          <w:szCs w:val="24"/>
          <w:rtl w:val="true"/>
        </w:rPr>
        <w:t>ישראל</w:t>
      </w:r>
      <w:r>
        <w:rPr>
          <w:rFonts w:ascii="Arial TUR;Arial" w:hAnsi="Arial TUR;Arial" w:cs="Arial TUR;Arial"/>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10.01.2017</w:t>
      </w:r>
      <w:r>
        <w:rPr>
          <w:rFonts w:cs="Arial TUR;Arial" w:ascii="Arial TUR;Arial" w:hAnsi="Arial TUR;Arial"/>
          <w:sz w:val="22"/>
          <w:rtl w:val="true"/>
        </w:rPr>
        <w:t xml:space="preserve">)). </w:t>
      </w:r>
      <w:r>
        <w:rPr>
          <w:rFonts w:ascii="Arial TUR;Arial" w:hAnsi="Arial TUR;Arial" w:cs="Arial TUR;Arial"/>
          <w:sz w:val="22"/>
          <w:sz w:val="22"/>
          <w:rtl w:val="true"/>
        </w:rPr>
        <w:t>בנסיבות העניין דנן</w:t>
      </w:r>
      <w:r>
        <w:rPr>
          <w:rFonts w:cs="Arial TUR;Arial" w:ascii="Arial TUR;Arial" w:hAnsi="Arial TUR;Arial"/>
          <w:sz w:val="22"/>
          <w:rtl w:val="true"/>
        </w:rPr>
        <w:t xml:space="preserve">, </w:t>
      </w:r>
      <w:r>
        <w:rPr>
          <w:rFonts w:ascii="Arial TUR;Arial" w:hAnsi="Arial TUR;Arial" w:cs="Arial TUR;Arial"/>
          <w:sz w:val="22"/>
          <w:sz w:val="22"/>
          <w:rtl w:val="true"/>
        </w:rPr>
        <w:t>לא ראינו מקום לסטות מהלכה זו</w:t>
      </w:r>
      <w:r>
        <w:rPr>
          <w:rFonts w:cs="Arial TUR;Arial" w:ascii="Arial TUR;Arial" w:hAnsi="Arial TUR;Arial"/>
          <w:sz w:val="22"/>
          <w:rtl w:val="true"/>
        </w:rPr>
        <w:t xml:space="preserve">, </w:t>
      </w:r>
      <w:r>
        <w:rPr>
          <w:rFonts w:ascii="Arial TUR;Arial" w:hAnsi="Arial TUR;Arial" w:cs="Arial TUR;Arial"/>
          <w:sz w:val="22"/>
          <w:sz w:val="22"/>
          <w:rtl w:val="true"/>
        </w:rPr>
        <w:t>שכן ההשגות שהועלו בערעור אינן מגלות עילה טובה להתערבותו של בית משפט זה בעונשים שהושתו על המערער</w:t>
      </w:r>
      <w:r>
        <w:rPr>
          <w:rFonts w:cs="Arial TUR;Arial" w:ascii="Arial TUR;Arial" w:hAnsi="Arial TUR;Arial"/>
          <w:sz w:val="22"/>
          <w:rtl w:val="true"/>
        </w:rPr>
        <w:t>.</w:t>
      </w:r>
    </w:p>
    <w:p>
      <w:pPr>
        <w:pStyle w:val="Ruller42"/>
        <w:ind w:end="0"/>
        <w:jc w:val="both"/>
        <w:rPr>
          <w:rFonts w:ascii="Arial TUR;Arial" w:hAnsi="Arial TUR;Arial" w:cs="Arial TUR;Arial"/>
          <w:sz w:val="22"/>
        </w:rPr>
      </w:pPr>
      <w:r>
        <w:rPr>
          <w:rFonts w:cs="Arial TUR;Arial"/>
          <w:sz w:val="22"/>
          <w:rtl w:val="true"/>
        </w:rPr>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נבהיר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ונפרט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בסמוך</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43"/>
        <w:numPr>
          <w:ilvl w:val="0"/>
          <w:numId w:val="1"/>
        </w:numPr>
        <w:ind w:hanging="0" w:start="90" w:end="0"/>
        <w:jc w:val="both"/>
        <w:rPr>
          <w:rFonts w:ascii="Arial TUR;Arial" w:hAnsi="Arial TUR;Arial" w:cs="Arial TUR;Arial"/>
          <w:sz w:val="22"/>
        </w:rPr>
      </w:pPr>
      <w:r>
        <w:rPr>
          <w:rFonts w:ascii="Arial TUR;Arial" w:hAnsi="Arial TUR;Arial" w:cs="Arial TUR;Arial"/>
          <w:sz w:val="22"/>
          <w:sz w:val="22"/>
          <w:rtl w:val="true"/>
        </w:rPr>
        <w:t>כמתואר לעיל</w:t>
      </w:r>
      <w:r>
        <w:rPr>
          <w:rFonts w:cs="Arial TUR;Arial" w:ascii="Arial TUR;Arial" w:hAnsi="Arial TUR;Arial"/>
          <w:sz w:val="22"/>
          <w:rtl w:val="true"/>
        </w:rPr>
        <w:t xml:space="preserve">, </w:t>
      </w:r>
      <w:r>
        <w:rPr>
          <w:rFonts w:ascii="Arial TUR;Arial" w:hAnsi="Arial TUR;Arial" w:cs="Arial TUR;Arial"/>
          <w:sz w:val="22"/>
          <w:sz w:val="22"/>
          <w:rtl w:val="true"/>
        </w:rPr>
        <w:t>הסדר הטיעון אליו הגיעו הצדדים</w:t>
      </w:r>
      <w:r>
        <w:rPr>
          <w:rFonts w:cs="Arial TUR;Arial" w:ascii="Arial TUR;Arial" w:hAnsi="Arial TUR;Arial"/>
          <w:sz w:val="22"/>
          <w:rtl w:val="true"/>
        </w:rPr>
        <w:t xml:space="preserve">, </w:t>
      </w:r>
      <w:r>
        <w:rPr>
          <w:rFonts w:ascii="Arial TUR;Arial" w:hAnsi="Arial TUR;Arial" w:cs="Arial TUR;Arial"/>
          <w:sz w:val="22"/>
          <w:sz w:val="22"/>
          <w:rtl w:val="true"/>
        </w:rPr>
        <w:t>כלל למעשה גם הסכמה לעניין העונש המירבי לו תטען המשיבה</w:t>
      </w:r>
      <w:r>
        <w:rPr>
          <w:rFonts w:cs="Arial TUR;Arial" w:ascii="Arial TUR;Arial" w:hAnsi="Arial TUR;Arial"/>
          <w:sz w:val="22"/>
          <w:rtl w:val="true"/>
        </w:rPr>
        <w:t xml:space="preserve">, </w:t>
      </w:r>
      <w:r>
        <w:rPr>
          <w:rFonts w:ascii="Arial TUR;Arial" w:hAnsi="Arial TUR;Arial" w:cs="Arial TUR;Arial"/>
          <w:sz w:val="22"/>
          <w:sz w:val="22"/>
          <w:rtl w:val="true"/>
        </w:rPr>
        <w:t>שנתיים מאסר בפועל</w:t>
      </w:r>
      <w:r>
        <w:rPr>
          <w:rFonts w:cs="Arial TUR;Arial" w:ascii="Arial TUR;Arial" w:hAnsi="Arial TUR;Arial"/>
          <w:sz w:val="22"/>
          <w:rtl w:val="true"/>
        </w:rPr>
        <w:t xml:space="preserve">. </w:t>
      </w:r>
      <w:r>
        <w:rPr>
          <w:rFonts w:ascii="Arial TUR;Arial" w:hAnsi="Arial TUR;Arial" w:cs="Arial TUR;Arial"/>
          <w:sz w:val="22"/>
          <w:sz w:val="22"/>
          <w:rtl w:val="true"/>
        </w:rPr>
        <w:t>ואולם</w:t>
      </w:r>
      <w:r>
        <w:rPr>
          <w:rFonts w:cs="Arial TUR;Arial" w:ascii="Arial TUR;Arial" w:hAnsi="Arial TUR;Arial"/>
          <w:sz w:val="22"/>
          <w:rtl w:val="true"/>
        </w:rPr>
        <w:t xml:space="preserve">, </w:t>
      </w:r>
      <w:r>
        <w:rPr>
          <w:rFonts w:ascii="Arial TUR;Arial" w:hAnsi="Arial TUR;Arial" w:cs="Arial TUR;Arial"/>
          <w:sz w:val="22"/>
          <w:sz w:val="22"/>
          <w:rtl w:val="true"/>
        </w:rPr>
        <w:t>בית המשפט המחוזי לא ראה עצמו מחוייב בהכרח להסכמה זו</w:t>
      </w:r>
      <w:r>
        <w:rPr>
          <w:rFonts w:cs="Arial TUR;Arial" w:ascii="Arial TUR;Arial" w:hAnsi="Arial TUR;Arial"/>
          <w:sz w:val="22"/>
          <w:rtl w:val="true"/>
        </w:rPr>
        <w:t xml:space="preserve">, </w:t>
      </w:r>
      <w:r>
        <w:rPr>
          <w:rFonts w:ascii="Arial TUR;Arial" w:hAnsi="Arial TUR;Arial" w:cs="Arial TUR;Arial"/>
          <w:sz w:val="22"/>
          <w:sz w:val="22"/>
          <w:rtl w:val="true"/>
        </w:rPr>
        <w:t>וקבע כי המתחם נע במכלול בין שנתיים לחמש שנות מאסר בפועל</w:t>
      </w:r>
      <w:r>
        <w:rPr>
          <w:rFonts w:cs="Arial TUR;Arial" w:ascii="Arial TUR;Arial" w:hAnsi="Arial TUR;Arial"/>
          <w:sz w:val="22"/>
          <w:rtl w:val="true"/>
        </w:rPr>
        <w:t xml:space="preserve">. </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בקביעתו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הנכבד</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להלן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תובא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ההנמקה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43"/>
        <w:numPr>
          <w:ilvl w:val="0"/>
          <w:numId w:val="1"/>
        </w:numPr>
        <w:ind w:hanging="0" w:start="90" w:end="0"/>
        <w:jc w:val="both"/>
        <w:rPr>
          <w:rFonts w:ascii="Arial TUR;Arial" w:hAnsi="Arial TUR;Arial" w:cs="Arial TUR;Arial"/>
          <w:sz w:val="22"/>
        </w:rPr>
      </w:pPr>
      <w:r>
        <w:rPr>
          <w:rFonts w:ascii="Arial TUR;Arial" w:hAnsi="Arial TUR;Arial" w:cs="Arial TUR;Arial"/>
          <w:sz w:val="22"/>
          <w:sz w:val="22"/>
          <w:rtl w:val="true"/>
        </w:rPr>
        <w:t>כידוע</w:t>
      </w:r>
      <w:r>
        <w:rPr>
          <w:rFonts w:cs="Arial TUR;Arial" w:ascii="Arial TUR;Arial" w:hAnsi="Arial TUR;Arial"/>
          <w:sz w:val="22"/>
          <w:rtl w:val="true"/>
        </w:rPr>
        <w:t xml:space="preserve">, </w:t>
      </w:r>
      <w:r>
        <w:rPr>
          <w:rFonts w:ascii="Arial TUR;Arial" w:hAnsi="Arial TUR;Arial" w:cs="Arial TUR;Arial"/>
          <w:sz w:val="22"/>
          <w:sz w:val="22"/>
          <w:rtl w:val="true"/>
        </w:rPr>
        <w:t>השיקולים העומדים ביסוד קביעת מתחם הענישה בידי בית המשפט בעניינו של נאשם וגזירת העונש בתוכו</w:t>
      </w:r>
      <w:r>
        <w:rPr>
          <w:rFonts w:cs="Arial TUR;Arial" w:ascii="Arial TUR;Arial" w:hAnsi="Arial TUR;Arial"/>
          <w:sz w:val="22"/>
          <w:rtl w:val="true"/>
        </w:rPr>
        <w:t xml:space="preserve">, </w:t>
      </w:r>
      <w:r>
        <w:rPr>
          <w:rFonts w:ascii="Arial TUR;Arial" w:hAnsi="Arial TUR;Arial" w:cs="Arial TUR;Arial"/>
          <w:b/>
          <w:b/>
          <w:bCs/>
          <w:sz w:val="22"/>
          <w:sz w:val="22"/>
          <w:rtl w:val="true"/>
        </w:rPr>
        <w:t>שונים</w:t>
      </w:r>
      <w:r>
        <w:rPr>
          <w:rFonts w:ascii="Arial TUR;Arial" w:hAnsi="Arial TUR;Arial" w:cs="Arial TUR;Arial"/>
          <w:sz w:val="22"/>
          <w:sz w:val="22"/>
          <w:rtl w:val="true"/>
        </w:rPr>
        <w:t xml:space="preserve"> מאלו העומדים בבסיס ההתקשרות בין צדדים לכתב אישום במסגרת הסדר טיעון</w:t>
      </w:r>
      <w:r>
        <w:rPr>
          <w:rFonts w:cs="Arial TUR;Arial" w:ascii="Arial TUR;Arial" w:hAnsi="Arial TUR;Arial"/>
          <w:sz w:val="22"/>
          <w:rtl w:val="true"/>
        </w:rPr>
        <w:t xml:space="preserve">. </w:t>
      </w:r>
      <w:r>
        <w:rPr>
          <w:rFonts w:ascii="Arial TUR;Arial" w:hAnsi="Arial TUR;Arial" w:cs="Arial TUR;Arial"/>
          <w:sz w:val="22"/>
          <w:sz w:val="22"/>
          <w:rtl w:val="true"/>
        </w:rPr>
        <w:t xml:space="preserve">על שוני זה עמדתי בפרשה אחרת </w:t>
      </w:r>
      <w:r>
        <w:rPr>
          <w:rFonts w:cs="Arial TUR;Arial" w:ascii="Arial TUR;Arial" w:hAnsi="Arial TUR;Arial"/>
          <w:sz w:val="22"/>
          <w:rtl w:val="true"/>
        </w:rPr>
        <w:t>(</w:t>
      </w:r>
      <w:hyperlink r:id="rId9">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512/13</w:t>
        </w:r>
      </w:hyperlink>
      <w:r>
        <w:rPr>
          <w:rFonts w:cs="Arial TUR;Arial" w:ascii="Arial TUR;Arial" w:hAnsi="Arial TUR;Arial"/>
          <w:sz w:val="22"/>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Arial TUR;Arial" w:hAnsi="Arial TUR;Arial" w:cs="Arial TUR;Arial"/>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04.12.2013</w:t>
      </w:r>
      <w:r>
        <w:rPr>
          <w:rFonts w:cs="Arial TUR;Arial" w:ascii="Arial TUR;Arial" w:hAnsi="Arial TUR;Arial"/>
          <w:sz w:val="22"/>
          <w:rtl w:val="true"/>
        </w:rPr>
        <w:t xml:space="preserve">); </w:t>
      </w:r>
      <w:r>
        <w:rPr>
          <w:rFonts w:ascii="Arial TUR;Arial" w:hAnsi="Arial TUR;Arial" w:cs="Arial TUR;Arial"/>
          <w:sz w:val="22"/>
          <w:sz w:val="22"/>
          <w:rtl w:val="true"/>
        </w:rPr>
        <w:t>וראו גם</w:t>
      </w:r>
      <w:r>
        <w:rPr>
          <w:rFonts w:cs="Arial TUR;Arial" w:ascii="Arial TUR;Arial" w:hAnsi="Arial TUR;Arial"/>
          <w:sz w:val="22"/>
          <w:rtl w:val="true"/>
        </w:rPr>
        <w:t xml:space="preserve">: </w:t>
      </w:r>
      <w:hyperlink r:id="rId10">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6799/14</w:t>
        </w:r>
      </w:hyperlink>
      <w:r>
        <w:rPr>
          <w:rFonts w:cs="Arial TUR;Arial" w:ascii="Arial TUR;Arial" w:hAnsi="Arial TUR;Arial"/>
          <w:sz w:val="22"/>
          <w:rtl w:val="true"/>
        </w:rPr>
        <w:t xml:space="preserve"> </w:t>
      </w:r>
      <w:r>
        <w:rPr>
          <w:rFonts w:ascii="Times New Roman" w:hAnsi="Times New Roman" w:cs="Miriam"/>
          <w:spacing w:val="0"/>
          <w:sz w:val="28"/>
          <w:sz w:val="28"/>
          <w:szCs w:val="24"/>
          <w:rtl w:val="true"/>
        </w:rPr>
        <w:t>אופיר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Arial TUR;Arial" w:hAnsi="Arial TUR;Arial" w:cs="Arial TUR;Arial"/>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16.</w:t>
      </w:r>
      <w:r>
        <w:rPr>
          <w:rFonts w:cs="Arial TUR;Arial" w:ascii="Arial TUR;Arial" w:hAnsi="Arial TUR;Arial"/>
          <w:sz w:val="22"/>
        </w:rPr>
        <w:t>03</w:t>
      </w:r>
      <w:r>
        <w:rPr>
          <w:rFonts w:cs="Arial TUR;Arial" w:ascii="Arial TUR;Arial" w:hAnsi="Arial TUR;Arial"/>
          <w:sz w:val="22"/>
        </w:rPr>
        <w:t>.2015</w:t>
      </w:r>
      <w:r>
        <w:rPr>
          <w:rFonts w:cs="Arial TUR;Arial" w:ascii="Arial TUR;Arial" w:hAnsi="Arial TUR;Arial"/>
          <w:sz w:val="22"/>
          <w:rtl w:val="true"/>
        </w:rPr>
        <w:t xml:space="preserve">); </w:t>
      </w:r>
      <w:hyperlink r:id="rId11">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3856/13</w:t>
        </w:r>
      </w:hyperlink>
      <w:r>
        <w:rPr>
          <w:rFonts w:cs="Arial TUR;Arial" w:ascii="Arial TUR;Arial" w:hAnsi="Arial TUR;Arial"/>
          <w:sz w:val="22"/>
          <w:rtl w:val="true"/>
        </w:rPr>
        <w:t xml:space="preserve"> </w:t>
      </w:r>
      <w:r>
        <w:rPr>
          <w:rFonts w:ascii="Times New Roman" w:hAnsi="Times New Roman" w:cs="Miriam"/>
          <w:spacing w:val="0"/>
          <w:sz w:val="28"/>
          <w:sz w:val="28"/>
          <w:szCs w:val="24"/>
          <w:rtl w:val="true"/>
        </w:rPr>
        <w:t>גוני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Arial TUR;Arial" w:hAnsi="Arial TUR;Arial" w:cs="Arial TUR;Arial"/>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03</w:t>
      </w:r>
      <w:r>
        <w:rPr>
          <w:rFonts w:cs="Arial TUR;Arial" w:ascii="Arial TUR;Arial" w:hAnsi="Arial TUR;Arial"/>
          <w:sz w:val="22"/>
        </w:rPr>
        <w:t>.</w:t>
      </w:r>
      <w:r>
        <w:rPr>
          <w:rFonts w:cs="Arial TUR;Arial" w:ascii="Arial TUR;Arial" w:hAnsi="Arial TUR;Arial"/>
          <w:sz w:val="22"/>
        </w:rPr>
        <w:t>02</w:t>
      </w:r>
      <w:r>
        <w:rPr>
          <w:rFonts w:cs="Arial TUR;Arial" w:ascii="Arial TUR;Arial" w:hAnsi="Arial TUR;Arial"/>
          <w:sz w:val="22"/>
        </w:rPr>
        <w:t>.2014</w:t>
      </w:r>
      <w:r>
        <w:rPr>
          <w:rFonts w:cs="Arial TUR;Arial" w:ascii="Arial TUR;Arial" w:hAnsi="Arial TUR;Arial"/>
          <w:sz w:val="22"/>
          <w:rtl w:val="true"/>
        </w:rPr>
        <w:t>)</w:t>
      </w:r>
      <w:r>
        <w:rPr>
          <w:rFonts w:cs="Arial TUR;Arial" w:ascii="Arial TUR;Arial" w:hAnsi="Arial TUR;Arial"/>
          <w:sz w:val="22"/>
          <w:rtl w:val="true"/>
        </w:rPr>
        <w:t xml:space="preserve">). </w:t>
      </w:r>
    </w:p>
    <w:p>
      <w:pPr>
        <w:pStyle w:val="Ruller42"/>
        <w:ind w:end="0"/>
        <w:jc w:val="both"/>
        <w:rPr>
          <w:rFonts w:ascii="Arial TUR;Arial" w:hAnsi="Arial TUR;Arial" w:cs="Arial TUR;Arial"/>
          <w:sz w:val="22"/>
        </w:rPr>
      </w:pPr>
      <w:r>
        <w:rPr>
          <w:rFonts w:cs="Arial TUR;Arial"/>
          <w:sz w:val="22"/>
          <w:rtl w:val="true"/>
        </w:rPr>
      </w:r>
    </w:p>
    <w:p>
      <w:pPr>
        <w:pStyle w:val="Normal"/>
        <w:tabs>
          <w:tab w:val="clear" w:pos="720"/>
          <w:tab w:val="left" w:pos="800" w:leader="none"/>
        </w:tabs>
        <w:spacing w:lineRule="auto" w:line="360"/>
        <w:ind w:end="0"/>
        <w:jc w:val="both"/>
        <w:textAlignment w:val="auto"/>
        <w:rPr>
          <w:rFonts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ההיבט</w:t>
      </w:r>
      <w:r>
        <w:rPr>
          <w:rFonts w:ascii="Arial TUR;Arial" w:hAnsi="Arial TUR;Arial" w:eastAsia="Arial TUR;Arial" w:cs="Arial TUR;Arial"/>
          <w:spacing w:val="10"/>
          <w:sz w:val="22"/>
          <w:sz w:val="22"/>
          <w:szCs w:val="28"/>
          <w:rtl w:val="true"/>
        </w:rPr>
        <w:t xml:space="preserve"> </w:t>
      </w:r>
      <w:r>
        <w:rPr>
          <w:rFonts w:cs="Miriam"/>
          <w:sz w:val="28"/>
          <w:sz w:val="28"/>
          <w:rtl w:val="true"/>
        </w:rPr>
        <w:t>המוסדי</w:t>
      </w:r>
      <w:r>
        <w:rPr>
          <w:rFonts w:cs="FrankRueh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טווח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מוסכם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מוסכמת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Arial TUR;Arial" w:hAnsi="Arial TUR;Arial" w:cs="FrankRuehl"/>
          <w:spacing w:val="10"/>
          <w:sz w:val="22"/>
          <w:sz w:val="22"/>
          <w:szCs w:val="28"/>
          <w:rtl w:val="true"/>
        </w:rPr>
        <w:t>מסגרת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טיעון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נקבעים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cs="Miriam"/>
          <w:sz w:val="28"/>
          <w:sz w:val="28"/>
          <w:rtl w:val="true"/>
        </w:rPr>
        <w:t>הצדדים</w:t>
      </w:r>
      <w:r>
        <w:rPr>
          <w:rFonts w:cs="Times New Roman"/>
          <w:sz w:val="28"/>
          <w:sz w:val="28"/>
          <w:rtl w:val="true"/>
        </w:rPr>
        <w:t xml:space="preserve"> </w:t>
      </w:r>
      <w:r>
        <w:rPr>
          <w:rFonts w:cs="Miriam"/>
          <w:sz w:val="28"/>
          <w:sz w:val="28"/>
          <w:rtl w:val="true"/>
        </w:rPr>
        <w:t>לכתב</w:t>
      </w:r>
      <w:r>
        <w:rPr>
          <w:rFonts w:cs="Times New Roman"/>
          <w:sz w:val="28"/>
          <w:sz w:val="28"/>
          <w:rtl w:val="true"/>
        </w:rPr>
        <w:t xml:space="preserve"> </w:t>
      </w:r>
      <w:r>
        <w:rPr>
          <w:rFonts w:cs="Miriam"/>
          <w:sz w:val="28"/>
          <w:sz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לשיקולים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w:t>
      </w:r>
      <w:r>
        <w:rPr>
          <w:rFonts w:ascii="Arial TUR;Arial" w:hAnsi="Arial TUR;Arial" w:cs="FrankRuehl"/>
          <w:spacing w:val="10"/>
          <w:sz w:val="22"/>
          <w:sz w:val="22"/>
          <w:szCs w:val="28"/>
          <w:rtl w:val="true"/>
        </w:rPr>
        <w:t>לאינטרסים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המניעים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אותם</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cs="Miriam"/>
          <w:sz w:val="28"/>
          <w:sz w:val="28"/>
          <w:rtl w:val="true"/>
        </w:rPr>
        <w:t>בית</w:t>
      </w:r>
      <w:r>
        <w:rPr>
          <w:rFonts w:ascii="Arial TUR;Arial" w:hAnsi="Arial TUR;Arial" w:eastAsia="Arial TUR;Arial" w:cs="Arial TUR;Arial"/>
          <w:spacing w:val="10"/>
          <w:sz w:val="22"/>
          <w:sz w:val="22"/>
          <w:szCs w:val="28"/>
          <w:rtl w:val="true"/>
        </w:rPr>
        <w:t xml:space="preserve"> </w:t>
      </w:r>
      <w:r>
        <w:rPr>
          <w:rFonts w:cs="Miriam"/>
          <w:sz w:val="28"/>
          <w:sz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בהתאם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לתיקון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113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w:t>
      </w:r>
      <w:hyperlink r:id="rId12">
        <w:r>
          <w:rPr>
            <w:rStyle w:val="Hyperlink"/>
            <w:rFonts w:cs="Miriam"/>
            <w:color w:val="0000FF"/>
            <w:sz w:val="28"/>
            <w:sz w:val="28"/>
            <w:u w:val="single"/>
            <w:rtl w:val="true"/>
          </w:rPr>
          <w:t>חוק</w:t>
        </w:r>
        <w:r>
          <w:rPr>
            <w:rStyle w:val="Hyperlink"/>
            <w:rFonts w:cs="Times New Roman"/>
            <w:color w:val="0000FF"/>
            <w:sz w:val="28"/>
            <w:sz w:val="28"/>
            <w:u w:val="single"/>
            <w:rtl w:val="true"/>
          </w:rPr>
          <w:t xml:space="preserve"> </w:t>
        </w:r>
        <w:r>
          <w:rPr>
            <w:rStyle w:val="Hyperlink"/>
            <w:rFonts w:cs="Miriam"/>
            <w:color w:val="0000FF"/>
            <w:sz w:val="28"/>
            <w:sz w:val="28"/>
            <w:u w:val="single"/>
            <w:rtl w:val="true"/>
          </w:rPr>
          <w:t>העונשין</w:t>
        </w:r>
      </w:hyperlink>
      <w:r>
        <w:rPr>
          <w:rFonts w:cs="FrankRuehl"/>
          <w:spacing w:val="10"/>
          <w:sz w:val="22"/>
          <w:szCs w:val="28"/>
          <w:rtl w:val="true"/>
        </w:rPr>
        <w:t xml:space="preserve">, </w:t>
      </w:r>
      <w:r>
        <w:rPr>
          <w:rFonts w:cs="FrankRuehl"/>
          <w:spacing w:val="10"/>
          <w:sz w:val="22"/>
          <w:sz w:val="22"/>
          <w:szCs w:val="28"/>
          <w:rtl w:val="true"/>
        </w:rPr>
        <w:t>ומערך</w:t>
      </w:r>
      <w:r>
        <w:rPr>
          <w:rFonts w:cs="Times New Roman"/>
          <w:spacing w:val="10"/>
          <w:sz w:val="22"/>
          <w:sz w:val="22"/>
          <w:szCs w:val="28"/>
          <w:rtl w:val="true"/>
        </w:rPr>
        <w:t xml:space="preserve"> </w:t>
      </w:r>
      <w:r>
        <w:rPr>
          <w:rFonts w:cs="FrankRuehl"/>
          <w:spacing w:val="10"/>
          <w:sz w:val="22"/>
          <w:sz w:val="22"/>
          <w:szCs w:val="28"/>
          <w:rtl w:val="true"/>
        </w:rPr>
        <w:t>השיקולים</w:t>
      </w:r>
      <w:r>
        <w:rPr>
          <w:rFonts w:cs="Times New Roman"/>
          <w:spacing w:val="10"/>
          <w:sz w:val="22"/>
          <w:sz w:val="22"/>
          <w:szCs w:val="28"/>
          <w:rtl w:val="true"/>
        </w:rPr>
        <w:t xml:space="preserve"> </w:t>
      </w:r>
      <w:r>
        <w:rPr>
          <w:rFonts w:cs="FrankRuehl"/>
          <w:spacing w:val="10"/>
          <w:sz w:val="22"/>
          <w:sz w:val="22"/>
          <w:szCs w:val="28"/>
          <w:rtl w:val="true"/>
        </w:rPr>
        <w:t>והערכים</w:t>
      </w:r>
      <w:r>
        <w:rPr>
          <w:rFonts w:cs="Times New Roman"/>
          <w:spacing w:val="10"/>
          <w:sz w:val="22"/>
          <w:sz w:val="22"/>
          <w:szCs w:val="28"/>
          <w:rtl w:val="true"/>
        </w:rPr>
        <w:t xml:space="preserve"> </w:t>
      </w:r>
      <w:r>
        <w:rPr>
          <w:rFonts w:cs="FrankRuehl"/>
          <w:spacing w:val="10"/>
          <w:sz w:val="22"/>
          <w:sz w:val="22"/>
          <w:szCs w:val="28"/>
          <w:rtl w:val="true"/>
        </w:rPr>
        <w:t>המותווה</w:t>
      </w:r>
      <w:r>
        <w:rPr>
          <w:rFonts w:cs="Times New Roman"/>
          <w:spacing w:val="10"/>
          <w:sz w:val="22"/>
          <w:sz w:val="22"/>
          <w:szCs w:val="28"/>
          <w:rtl w:val="true"/>
        </w:rPr>
        <w:t xml:space="preserve"> </w:t>
      </w:r>
      <w:r>
        <w:rPr>
          <w:rFonts w:cs="FrankRuehl"/>
          <w:spacing w:val="10"/>
          <w:sz w:val="22"/>
          <w:sz w:val="22"/>
          <w:szCs w:val="28"/>
          <w:rtl w:val="true"/>
        </w:rPr>
        <w:t>במסגרת</w:t>
      </w:r>
      <w:r>
        <w:rPr>
          <w:rFonts w:cs="Times New Roman"/>
          <w:spacing w:val="10"/>
          <w:sz w:val="22"/>
          <w:sz w:val="22"/>
          <w:szCs w:val="28"/>
          <w:rtl w:val="true"/>
        </w:rPr>
        <w:t xml:space="preserve"> </w:t>
      </w:r>
      <w:r>
        <w:rPr>
          <w:rFonts w:cs="FrankRuehl"/>
          <w:spacing w:val="10"/>
          <w:sz w:val="22"/>
          <w:sz w:val="22"/>
          <w:szCs w:val="28"/>
          <w:rtl w:val="true"/>
        </w:rPr>
        <w:t>זו</w:t>
      </w:r>
      <w:r>
        <w:rPr>
          <w:rFonts w:cs="FrankRuehl"/>
          <w:spacing w:val="10"/>
          <w:sz w:val="22"/>
          <w:szCs w:val="28"/>
          <w:rtl w:val="true"/>
        </w:rPr>
        <w:t>.</w:t>
      </w:r>
    </w:p>
    <w:p>
      <w:pPr>
        <w:pStyle w:val="Normal"/>
        <w:tabs>
          <w:tab w:val="clear" w:pos="720"/>
          <w:tab w:val="left" w:pos="800" w:leader="none"/>
        </w:tabs>
        <w:spacing w:lineRule="auto" w:line="360"/>
        <w:ind w:end="0"/>
        <w:jc w:val="both"/>
        <w:textAlignment w:val="auto"/>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textAlignment w:val="auto"/>
        <w:rPr>
          <w:rFonts w:cs="FrankRuehl"/>
          <w:spacing w:val="10"/>
          <w:sz w:val="22"/>
          <w:szCs w:val="28"/>
        </w:rPr>
      </w:pPr>
      <w:r>
        <w:rPr>
          <w:rFonts w:cs="FrankRuehl"/>
          <w:spacing w:val="10"/>
          <w:sz w:val="22"/>
          <w:szCs w:val="28"/>
          <w:rtl w:val="true"/>
        </w:rPr>
        <w:tab/>
      </w:r>
      <w:r>
        <w:rPr>
          <w:rFonts w:cs="FrankRuehl"/>
          <w:spacing w:val="10"/>
          <w:sz w:val="22"/>
          <w:sz w:val="22"/>
          <w:szCs w:val="28"/>
          <w:rtl w:val="true"/>
        </w:rPr>
        <w:t>מן</w:t>
      </w:r>
      <w:r>
        <w:rPr>
          <w:rFonts w:cs="Times New Roman"/>
          <w:spacing w:val="10"/>
          <w:sz w:val="22"/>
          <w:sz w:val="22"/>
          <w:szCs w:val="28"/>
          <w:rtl w:val="true"/>
        </w:rPr>
        <w:t xml:space="preserve"> </w:t>
      </w:r>
      <w:r>
        <w:rPr>
          <w:rFonts w:cs="FrankRuehl"/>
          <w:spacing w:val="10"/>
          <w:sz w:val="22"/>
          <w:sz w:val="22"/>
          <w:szCs w:val="28"/>
          <w:rtl w:val="true"/>
        </w:rPr>
        <w:t>ההיבט</w:t>
      </w:r>
      <w:r>
        <w:rPr>
          <w:rFonts w:cs="Times New Roman"/>
          <w:spacing w:val="10"/>
          <w:sz w:val="22"/>
          <w:sz w:val="22"/>
          <w:szCs w:val="28"/>
          <w:rtl w:val="true"/>
        </w:rPr>
        <w:t xml:space="preserve"> </w:t>
      </w:r>
      <w:r>
        <w:rPr>
          <w:rFonts w:cs="Miriam"/>
          <w:sz w:val="28"/>
          <w:sz w:val="28"/>
          <w:rtl w:val="true"/>
        </w:rPr>
        <w:t>המהותי</w:t>
      </w:r>
      <w:r>
        <w:rPr>
          <w:rFonts w:cs="FrankRuehl"/>
          <w:spacing w:val="10"/>
          <w:sz w:val="22"/>
          <w:szCs w:val="28"/>
          <w:rtl w:val="true"/>
        </w:rPr>
        <w:t xml:space="preserve">, </w:t>
      </w:r>
      <w:r>
        <w:rPr>
          <w:rFonts w:cs="FrankRuehl"/>
          <w:spacing w:val="10"/>
          <w:sz w:val="22"/>
          <w:sz w:val="22"/>
          <w:szCs w:val="28"/>
          <w:rtl w:val="true"/>
        </w:rPr>
        <w:t>ההסכמות</w:t>
      </w:r>
      <w:r>
        <w:rPr>
          <w:rFonts w:cs="Times New Roman"/>
          <w:spacing w:val="10"/>
          <w:sz w:val="22"/>
          <w:sz w:val="22"/>
          <w:szCs w:val="28"/>
          <w:rtl w:val="true"/>
        </w:rPr>
        <w:t xml:space="preserve"> </w:t>
      </w:r>
      <w:r>
        <w:rPr>
          <w:rFonts w:cs="FrankRuehl"/>
          <w:spacing w:val="10"/>
          <w:sz w:val="22"/>
          <w:sz w:val="22"/>
          <w:szCs w:val="28"/>
          <w:rtl w:val="true"/>
        </w:rPr>
        <w:t>הכלולות</w:t>
      </w:r>
      <w:r>
        <w:rPr>
          <w:rFonts w:cs="Times New Roman"/>
          <w:spacing w:val="10"/>
          <w:sz w:val="22"/>
          <w:sz w:val="22"/>
          <w:szCs w:val="28"/>
          <w:rtl w:val="true"/>
        </w:rPr>
        <w:t xml:space="preserve"> </w:t>
      </w:r>
      <w:r>
        <w:rPr>
          <w:rFonts w:cs="FrankRuehl"/>
          <w:spacing w:val="10"/>
          <w:sz w:val="22"/>
          <w:sz w:val="22"/>
          <w:szCs w:val="28"/>
          <w:rtl w:val="true"/>
        </w:rPr>
        <w:t>בהסדר</w:t>
      </w:r>
      <w:r>
        <w:rPr>
          <w:rFonts w:cs="Times New Roman"/>
          <w:spacing w:val="10"/>
          <w:sz w:val="22"/>
          <w:sz w:val="22"/>
          <w:szCs w:val="28"/>
          <w:rtl w:val="true"/>
        </w:rPr>
        <w:t xml:space="preserve"> </w:t>
      </w:r>
      <w:r>
        <w:rPr>
          <w:rFonts w:cs="FrankRuehl"/>
          <w:spacing w:val="10"/>
          <w:sz w:val="22"/>
          <w:sz w:val="22"/>
          <w:szCs w:val="28"/>
          <w:rtl w:val="true"/>
        </w:rPr>
        <w:t>הטיעון</w:t>
      </w:r>
      <w:r>
        <w:rPr>
          <w:rFonts w:cs="Times New Roman"/>
          <w:spacing w:val="10"/>
          <w:sz w:val="22"/>
          <w:sz w:val="22"/>
          <w:szCs w:val="28"/>
          <w:rtl w:val="true"/>
        </w:rPr>
        <w:t xml:space="preserve"> </w:t>
      </w:r>
      <w:r>
        <w:rPr>
          <w:rFonts w:cs="FrankRuehl"/>
          <w:spacing w:val="10"/>
          <w:sz w:val="22"/>
          <w:sz w:val="22"/>
          <w:szCs w:val="28"/>
          <w:rtl w:val="true"/>
        </w:rPr>
        <w:t>הינן</w:t>
      </w:r>
      <w:r>
        <w:rPr>
          <w:rFonts w:cs="Times New Roman"/>
          <w:spacing w:val="10"/>
          <w:sz w:val="22"/>
          <w:sz w:val="22"/>
          <w:szCs w:val="28"/>
          <w:rtl w:val="true"/>
        </w:rPr>
        <w:t xml:space="preserve"> </w:t>
      </w:r>
      <w:r>
        <w:rPr>
          <w:rFonts w:cs="FrankRuehl"/>
          <w:spacing w:val="10"/>
          <w:sz w:val="22"/>
          <w:sz w:val="22"/>
          <w:szCs w:val="28"/>
          <w:rtl w:val="true"/>
        </w:rPr>
        <w:t>פרי</w:t>
      </w:r>
      <w:r>
        <w:rPr>
          <w:rFonts w:cs="Times New Roman"/>
          <w:spacing w:val="10"/>
          <w:sz w:val="22"/>
          <w:sz w:val="22"/>
          <w:szCs w:val="28"/>
          <w:rtl w:val="true"/>
        </w:rPr>
        <w:t xml:space="preserve"> </w:t>
      </w:r>
      <w:r>
        <w:rPr>
          <w:rFonts w:cs="FrankRuehl"/>
          <w:spacing w:val="10"/>
          <w:sz w:val="22"/>
          <w:sz w:val="22"/>
          <w:szCs w:val="28"/>
          <w:rtl w:val="true"/>
        </w:rPr>
        <w:t>משא</w:t>
      </w:r>
      <w:r>
        <w:rPr>
          <w:rFonts w:cs="Times New Roman"/>
          <w:spacing w:val="10"/>
          <w:sz w:val="22"/>
          <w:sz w:val="22"/>
          <w:szCs w:val="28"/>
          <w:rtl w:val="true"/>
        </w:rPr>
        <w:t xml:space="preserve"> </w:t>
      </w:r>
      <w:r>
        <w:rPr>
          <w:rFonts w:cs="FrankRuehl"/>
          <w:spacing w:val="10"/>
          <w:sz w:val="22"/>
          <w:sz w:val="22"/>
          <w:szCs w:val="28"/>
          <w:rtl w:val="true"/>
        </w:rPr>
        <w:t>ומתן</w:t>
      </w:r>
      <w:r>
        <w:rPr>
          <w:rFonts w:cs="Times New Roman"/>
          <w:spacing w:val="10"/>
          <w:sz w:val="22"/>
          <w:sz w:val="22"/>
          <w:szCs w:val="28"/>
          <w:rtl w:val="true"/>
        </w:rPr>
        <w:t xml:space="preserve"> </w:t>
      </w:r>
      <w:r>
        <w:rPr>
          <w:rFonts w:cs="FrankRuehl"/>
          <w:spacing w:val="10"/>
          <w:sz w:val="22"/>
          <w:sz w:val="22"/>
          <w:szCs w:val="28"/>
          <w:rtl w:val="true"/>
        </w:rPr>
        <w:t>בין</w:t>
      </w:r>
      <w:r>
        <w:rPr>
          <w:rFonts w:cs="Times New Roman"/>
          <w:spacing w:val="10"/>
          <w:sz w:val="22"/>
          <w:sz w:val="22"/>
          <w:szCs w:val="28"/>
          <w:rtl w:val="true"/>
        </w:rPr>
        <w:t xml:space="preserve"> </w:t>
      </w:r>
      <w:r>
        <w:rPr>
          <w:rFonts w:cs="FrankRuehl"/>
          <w:spacing w:val="10"/>
          <w:sz w:val="22"/>
          <w:sz w:val="22"/>
          <w:szCs w:val="28"/>
          <w:rtl w:val="true"/>
        </w:rPr>
        <w:t>הצדדים</w:t>
      </w:r>
      <w:r>
        <w:rPr>
          <w:rFonts w:cs="Times New Roman"/>
          <w:spacing w:val="10"/>
          <w:sz w:val="22"/>
          <w:sz w:val="22"/>
          <w:szCs w:val="28"/>
          <w:rtl w:val="true"/>
        </w:rPr>
        <w:t xml:space="preserve"> </w:t>
      </w:r>
      <w:r>
        <w:rPr>
          <w:rFonts w:cs="FrankRuehl"/>
          <w:spacing w:val="10"/>
          <w:sz w:val="22"/>
          <w:sz w:val="22"/>
          <w:szCs w:val="28"/>
          <w:rtl w:val="true"/>
        </w:rPr>
        <w:t>לכתב</w:t>
      </w:r>
      <w:r>
        <w:rPr>
          <w:rFonts w:cs="Times New Roman"/>
          <w:spacing w:val="10"/>
          <w:sz w:val="22"/>
          <w:sz w:val="22"/>
          <w:szCs w:val="28"/>
          <w:rtl w:val="true"/>
        </w:rPr>
        <w:t xml:space="preserve"> </w:t>
      </w:r>
      <w:r>
        <w:rPr>
          <w:rFonts w:cs="FrankRuehl"/>
          <w:spacing w:val="10"/>
          <w:sz w:val="22"/>
          <w:sz w:val="22"/>
          <w:szCs w:val="28"/>
          <w:rtl w:val="true"/>
        </w:rPr>
        <w:t>האישום</w:t>
      </w:r>
      <w:r>
        <w:rPr>
          <w:rFonts w:cs="FrankRuehl"/>
          <w:spacing w:val="10"/>
          <w:sz w:val="22"/>
          <w:szCs w:val="28"/>
          <w:rtl w:val="true"/>
        </w:rPr>
        <w:t xml:space="preserve">, </w:t>
      </w:r>
      <w:r>
        <w:rPr>
          <w:rFonts w:cs="FrankRuehl"/>
          <w:spacing w:val="10"/>
          <w:sz w:val="22"/>
          <w:sz w:val="22"/>
          <w:szCs w:val="28"/>
          <w:rtl w:val="true"/>
        </w:rPr>
        <w:t>בעוד</w:t>
      </w:r>
      <w:r>
        <w:rPr>
          <w:rFonts w:cs="Times New Roman"/>
          <w:spacing w:val="10"/>
          <w:sz w:val="22"/>
          <w:sz w:val="22"/>
          <w:szCs w:val="28"/>
          <w:rtl w:val="true"/>
        </w:rPr>
        <w:t xml:space="preserve"> </w:t>
      </w:r>
      <w:r>
        <w:rPr>
          <w:rFonts w:cs="FrankRuehl"/>
          <w:spacing w:val="10"/>
          <w:sz w:val="22"/>
          <w:sz w:val="22"/>
          <w:szCs w:val="28"/>
          <w:rtl w:val="true"/>
        </w:rPr>
        <w:t>שקביעת</w:t>
      </w:r>
      <w:r>
        <w:rPr>
          <w:rFonts w:cs="Times New Roman"/>
          <w:spacing w:val="10"/>
          <w:sz w:val="22"/>
          <w:sz w:val="22"/>
          <w:szCs w:val="28"/>
          <w:rtl w:val="true"/>
        </w:rPr>
        <w:t xml:space="preserve"> </w:t>
      </w:r>
      <w:r>
        <w:rPr>
          <w:rFonts w:cs="FrankRuehl"/>
          <w:spacing w:val="10"/>
          <w:sz w:val="22"/>
          <w:sz w:val="22"/>
          <w:szCs w:val="28"/>
          <w:rtl w:val="true"/>
        </w:rPr>
        <w:t>מתחם</w:t>
      </w:r>
      <w:r>
        <w:rPr>
          <w:rFonts w:cs="Times New Roman"/>
          <w:spacing w:val="10"/>
          <w:sz w:val="22"/>
          <w:sz w:val="22"/>
          <w:szCs w:val="28"/>
          <w:rtl w:val="true"/>
        </w:rPr>
        <w:t xml:space="preserve"> </w:t>
      </w:r>
      <w:r>
        <w:rPr>
          <w:rFonts w:cs="FrankRuehl"/>
          <w:spacing w:val="10"/>
          <w:sz w:val="22"/>
          <w:sz w:val="22"/>
          <w:szCs w:val="28"/>
          <w:rtl w:val="true"/>
        </w:rPr>
        <w:t>הענישה</w:t>
      </w:r>
      <w:r>
        <w:rPr>
          <w:rFonts w:cs="Times New Roman"/>
          <w:spacing w:val="10"/>
          <w:sz w:val="22"/>
          <w:sz w:val="22"/>
          <w:szCs w:val="28"/>
          <w:rtl w:val="true"/>
        </w:rPr>
        <w:t xml:space="preserve"> </w:t>
      </w:r>
      <w:r>
        <w:rPr>
          <w:rFonts w:cs="FrankRuehl"/>
          <w:spacing w:val="10"/>
          <w:sz w:val="22"/>
          <w:sz w:val="22"/>
          <w:szCs w:val="28"/>
          <w:rtl w:val="true"/>
        </w:rPr>
        <w:t>הינ</w:t>
      </w:r>
      <w:r>
        <w:rPr>
          <w:rFonts w:cs="FrankRuehl"/>
          <w:spacing w:val="10"/>
          <w:sz w:val="22"/>
          <w:sz w:val="22"/>
          <w:szCs w:val="28"/>
          <w:rtl w:val="true"/>
        </w:rPr>
        <w:t>ה</w:t>
      </w:r>
      <w:r>
        <w:rPr>
          <w:rFonts w:cs="Times New Roman"/>
          <w:spacing w:val="10"/>
          <w:sz w:val="22"/>
          <w:sz w:val="22"/>
          <w:szCs w:val="28"/>
          <w:rtl w:val="true"/>
        </w:rPr>
        <w:t xml:space="preserve"> </w:t>
      </w:r>
      <w:r>
        <w:rPr>
          <w:rFonts w:cs="FrankRuehl"/>
          <w:spacing w:val="10"/>
          <w:sz w:val="22"/>
          <w:sz w:val="22"/>
          <w:szCs w:val="28"/>
          <w:rtl w:val="true"/>
        </w:rPr>
        <w:t>פרי</w:t>
      </w:r>
      <w:r>
        <w:rPr>
          <w:rFonts w:cs="Times New Roman"/>
          <w:spacing w:val="10"/>
          <w:sz w:val="22"/>
          <w:sz w:val="22"/>
          <w:szCs w:val="28"/>
          <w:rtl w:val="true"/>
        </w:rPr>
        <w:t xml:space="preserve"> </w:t>
      </w:r>
      <w:r>
        <w:rPr>
          <w:rFonts w:cs="FrankRuehl"/>
          <w:spacing w:val="10"/>
          <w:sz w:val="22"/>
          <w:sz w:val="22"/>
          <w:szCs w:val="28"/>
          <w:rtl w:val="true"/>
        </w:rPr>
        <w:t>החלטה</w:t>
      </w:r>
      <w:r>
        <w:rPr>
          <w:rFonts w:cs="Times New Roman"/>
          <w:spacing w:val="10"/>
          <w:sz w:val="22"/>
          <w:sz w:val="22"/>
          <w:szCs w:val="28"/>
          <w:rtl w:val="true"/>
        </w:rPr>
        <w:t xml:space="preserve"> </w:t>
      </w:r>
      <w:r>
        <w:rPr>
          <w:rFonts w:cs="FrankRuehl"/>
          <w:spacing w:val="10"/>
          <w:sz w:val="22"/>
          <w:sz w:val="22"/>
          <w:szCs w:val="28"/>
          <w:rtl w:val="true"/>
        </w:rPr>
        <w:t>עצמאית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המשפט</w:t>
      </w:r>
      <w:r>
        <w:rPr>
          <w:rFonts w:cs="FrankRuehl"/>
          <w:spacing w:val="10"/>
          <w:sz w:val="22"/>
          <w:szCs w:val="28"/>
          <w:rtl w:val="true"/>
        </w:rPr>
        <w:t xml:space="preserve">. </w:t>
      </w:r>
      <w:r>
        <w:rPr>
          <w:rFonts w:cs="FrankRuehl"/>
          <w:spacing w:val="10"/>
          <w:sz w:val="22"/>
          <w:sz w:val="22"/>
          <w:szCs w:val="28"/>
          <w:rtl w:val="true"/>
        </w:rPr>
        <w:t>משכך</w:t>
      </w:r>
      <w:r>
        <w:rPr>
          <w:rFonts w:cs="FrankRuehl"/>
          <w:spacing w:val="10"/>
          <w:sz w:val="22"/>
          <w:szCs w:val="28"/>
          <w:rtl w:val="true"/>
        </w:rPr>
        <w:t xml:space="preserve">, </w:t>
      </w:r>
      <w:r>
        <w:rPr>
          <w:rFonts w:cs="FrankRuehl"/>
          <w:spacing w:val="10"/>
          <w:sz w:val="22"/>
          <w:sz w:val="22"/>
          <w:szCs w:val="28"/>
          <w:rtl w:val="true"/>
        </w:rPr>
        <w:t>המוסכם</w:t>
      </w:r>
      <w:r>
        <w:rPr>
          <w:rFonts w:cs="Times New Roman"/>
          <w:spacing w:val="10"/>
          <w:sz w:val="22"/>
          <w:sz w:val="22"/>
          <w:szCs w:val="28"/>
          <w:rtl w:val="true"/>
        </w:rPr>
        <w:t xml:space="preserve"> </w:t>
      </w:r>
      <w:r>
        <w:rPr>
          <w:rFonts w:cs="FrankRuehl"/>
          <w:spacing w:val="10"/>
          <w:sz w:val="22"/>
          <w:sz w:val="22"/>
          <w:szCs w:val="28"/>
          <w:rtl w:val="true"/>
        </w:rPr>
        <w:t>בה</w:t>
      </w:r>
      <w:r>
        <w:rPr>
          <w:rFonts w:cs="FrankRuehl"/>
          <w:spacing w:val="10"/>
          <w:sz w:val="22"/>
          <w:sz w:val="22"/>
          <w:szCs w:val="28"/>
          <w:rtl w:val="true"/>
        </w:rPr>
        <w:t>סדר</w:t>
      </w:r>
      <w:r>
        <w:rPr>
          <w:rFonts w:cs="Times New Roman"/>
          <w:spacing w:val="10"/>
          <w:sz w:val="22"/>
          <w:sz w:val="22"/>
          <w:szCs w:val="28"/>
          <w:rtl w:val="true"/>
        </w:rPr>
        <w:t xml:space="preserve"> </w:t>
      </w:r>
      <w:r>
        <w:rPr>
          <w:rFonts w:cs="FrankRuehl"/>
          <w:spacing w:val="10"/>
          <w:sz w:val="22"/>
          <w:sz w:val="22"/>
          <w:szCs w:val="28"/>
          <w:rtl w:val="true"/>
        </w:rPr>
        <w:t>הטיעון</w:t>
      </w:r>
      <w:r>
        <w:rPr>
          <w:rFonts w:cs="Times New Roman"/>
          <w:spacing w:val="10"/>
          <w:sz w:val="22"/>
          <w:sz w:val="22"/>
          <w:szCs w:val="28"/>
          <w:rtl w:val="true"/>
        </w:rPr>
        <w:t xml:space="preserve"> </w:t>
      </w:r>
      <w:r>
        <w:rPr>
          <w:rFonts w:cs="FrankRuehl"/>
          <w:spacing w:val="10"/>
          <w:sz w:val="22"/>
          <w:sz w:val="22"/>
          <w:szCs w:val="28"/>
          <w:rtl w:val="true"/>
        </w:rPr>
        <w:t>מבטא</w:t>
      </w:r>
      <w:r>
        <w:rPr>
          <w:rFonts w:cs="FrankRuehl"/>
          <w:spacing w:val="10"/>
          <w:sz w:val="22"/>
          <w:szCs w:val="28"/>
          <w:rtl w:val="true"/>
        </w:rPr>
        <w:t xml:space="preserve">, </w:t>
      </w:r>
      <w:r>
        <w:rPr>
          <w:rFonts w:cs="FrankRuehl"/>
          <w:spacing w:val="10"/>
          <w:sz w:val="22"/>
          <w:sz w:val="22"/>
          <w:szCs w:val="28"/>
          <w:rtl w:val="true"/>
        </w:rPr>
        <w:t>לעיתים</w:t>
      </w:r>
      <w:r>
        <w:rPr>
          <w:rFonts w:cs="Times New Roman"/>
          <w:spacing w:val="10"/>
          <w:sz w:val="22"/>
          <w:sz w:val="22"/>
          <w:szCs w:val="28"/>
          <w:rtl w:val="true"/>
        </w:rPr>
        <w:t xml:space="preserve"> </w:t>
      </w:r>
      <w:r>
        <w:rPr>
          <w:rFonts w:cs="FrankRuehl"/>
          <w:spacing w:val="10"/>
          <w:sz w:val="22"/>
          <w:sz w:val="22"/>
          <w:szCs w:val="28"/>
          <w:rtl w:val="true"/>
        </w:rPr>
        <w:t>מזומנות</w:t>
      </w:r>
      <w:r>
        <w:rPr>
          <w:rFonts w:cs="FrankRuehl"/>
          <w:spacing w:val="10"/>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מיצוי</w:t>
      </w:r>
      <w:r>
        <w:rPr>
          <w:rFonts w:cs="Times New Roman"/>
          <w:spacing w:val="10"/>
          <w:sz w:val="22"/>
          <w:sz w:val="22"/>
          <w:szCs w:val="28"/>
          <w:rtl w:val="true"/>
        </w:rPr>
        <w:t xml:space="preserve"> </w:t>
      </w:r>
      <w:r>
        <w:rPr>
          <w:rFonts w:cs="FrankRuehl"/>
          <w:spacing w:val="10"/>
          <w:sz w:val="22"/>
          <w:sz w:val="22"/>
          <w:szCs w:val="28"/>
          <w:rtl w:val="true"/>
        </w:rPr>
        <w:t>כושר</w:t>
      </w:r>
      <w:r>
        <w:rPr>
          <w:rFonts w:cs="Times New Roman"/>
          <w:spacing w:val="10"/>
          <w:sz w:val="22"/>
          <w:sz w:val="22"/>
          <w:szCs w:val="28"/>
          <w:rtl w:val="true"/>
        </w:rPr>
        <w:t xml:space="preserve"> </w:t>
      </w:r>
      <w:r>
        <w:rPr>
          <w:rFonts w:cs="FrankRuehl"/>
          <w:spacing w:val="10"/>
          <w:sz w:val="22"/>
          <w:sz w:val="22"/>
          <w:szCs w:val="28"/>
          <w:rtl w:val="true"/>
        </w:rPr>
        <w:t>המיקוח</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צד</w:t>
      </w:r>
      <w:r>
        <w:rPr>
          <w:rFonts w:cs="Times New Roman"/>
          <w:spacing w:val="10"/>
          <w:sz w:val="22"/>
          <w:sz w:val="22"/>
          <w:szCs w:val="28"/>
          <w:rtl w:val="true"/>
        </w:rPr>
        <w:t xml:space="preserve"> </w:t>
      </w:r>
      <w:r>
        <w:rPr>
          <w:rFonts w:cs="FrankRuehl"/>
          <w:spacing w:val="10"/>
          <w:sz w:val="22"/>
          <w:sz w:val="22"/>
          <w:szCs w:val="28"/>
          <w:rtl w:val="true"/>
        </w:rPr>
        <w:t>זה</w:t>
      </w:r>
      <w:r>
        <w:rPr>
          <w:rFonts w:cs="Times New Roman"/>
          <w:spacing w:val="10"/>
          <w:sz w:val="22"/>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אחר</w:t>
      </w:r>
      <w:r>
        <w:rPr>
          <w:rFonts w:cs="FrankRuehl"/>
          <w:spacing w:val="10"/>
          <w:sz w:val="22"/>
          <w:szCs w:val="28"/>
          <w:rtl w:val="true"/>
        </w:rPr>
        <w:t>,</w:t>
      </w:r>
      <w:r>
        <w:rPr>
          <w:rFonts w:cs="FrankRuehl"/>
          <w:spacing w:val="10"/>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שיקולים</w:t>
      </w:r>
      <w:r>
        <w:rPr>
          <w:rFonts w:cs="Times New Roman"/>
          <w:spacing w:val="10"/>
          <w:sz w:val="22"/>
          <w:sz w:val="22"/>
          <w:szCs w:val="28"/>
          <w:rtl w:val="true"/>
        </w:rPr>
        <w:t xml:space="preserve"> </w:t>
      </w:r>
      <w:r>
        <w:rPr>
          <w:rFonts w:cs="FrankRuehl"/>
          <w:spacing w:val="10"/>
          <w:sz w:val="22"/>
          <w:sz w:val="22"/>
          <w:szCs w:val="28"/>
          <w:rtl w:val="true"/>
        </w:rPr>
        <w:t>נוספים</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כמו</w:t>
      </w:r>
      <w:r>
        <w:rPr>
          <w:rFonts w:cs="Times New Roman"/>
          <w:spacing w:val="10"/>
          <w:sz w:val="22"/>
          <w:sz w:val="22"/>
          <w:szCs w:val="28"/>
          <w:rtl w:val="true"/>
        </w:rPr>
        <w:t xml:space="preserve"> </w:t>
      </w:r>
      <w:r>
        <w:rPr>
          <w:rFonts w:cs="FrankRuehl"/>
          <w:spacing w:val="10"/>
          <w:sz w:val="22"/>
          <w:sz w:val="22"/>
          <w:szCs w:val="28"/>
          <w:rtl w:val="true"/>
        </w:rPr>
        <w:t>קשיים</w:t>
      </w:r>
      <w:r>
        <w:rPr>
          <w:rFonts w:cs="Times New Roman"/>
          <w:spacing w:val="10"/>
          <w:sz w:val="22"/>
          <w:sz w:val="22"/>
          <w:szCs w:val="28"/>
          <w:rtl w:val="true"/>
        </w:rPr>
        <w:t xml:space="preserve"> </w:t>
      </w:r>
      <w:r>
        <w:rPr>
          <w:rFonts w:cs="FrankRuehl"/>
          <w:spacing w:val="10"/>
          <w:sz w:val="22"/>
          <w:sz w:val="22"/>
          <w:szCs w:val="28"/>
          <w:rtl w:val="true"/>
        </w:rPr>
        <w:t>ראייתיים</w:t>
      </w:r>
      <w:r>
        <w:rPr>
          <w:rFonts w:cs="Times New Roman"/>
          <w:spacing w:val="10"/>
          <w:sz w:val="22"/>
          <w:sz w:val="22"/>
          <w:szCs w:val="28"/>
          <w:rtl w:val="true"/>
        </w:rPr>
        <w:t xml:space="preserve"> </w:t>
      </w:r>
      <w:r>
        <w:rPr>
          <w:rFonts w:cs="FrankRuehl"/>
          <w:spacing w:val="10"/>
          <w:sz w:val="22"/>
          <w:sz w:val="22"/>
          <w:szCs w:val="28"/>
          <w:rtl w:val="true"/>
        </w:rPr>
        <w:t>בהוכחת</w:t>
      </w:r>
      <w:r>
        <w:rPr>
          <w:rFonts w:cs="Times New Roman"/>
          <w:spacing w:val="10"/>
          <w:sz w:val="22"/>
          <w:sz w:val="22"/>
          <w:szCs w:val="28"/>
          <w:rtl w:val="true"/>
        </w:rPr>
        <w:t xml:space="preserve"> </w:t>
      </w:r>
      <w:r>
        <w:rPr>
          <w:rFonts w:cs="FrankRuehl"/>
          <w:spacing w:val="10"/>
          <w:sz w:val="22"/>
          <w:sz w:val="22"/>
          <w:szCs w:val="28"/>
          <w:rtl w:val="true"/>
        </w:rPr>
        <w:t>האישום</w:t>
      </w:r>
      <w:r>
        <w:rPr>
          <w:rFonts w:cs="FrankRuehl"/>
          <w:spacing w:val="10"/>
          <w:sz w:val="22"/>
          <w:szCs w:val="28"/>
          <w:rtl w:val="true"/>
        </w:rPr>
        <w:t xml:space="preserve">, </w:t>
      </w:r>
      <w:r>
        <w:rPr>
          <w:rFonts w:cs="FrankRuehl"/>
          <w:spacing w:val="10"/>
          <w:sz w:val="22"/>
          <w:sz w:val="22"/>
          <w:szCs w:val="28"/>
          <w:rtl w:val="true"/>
        </w:rPr>
        <w:t>ועוד</w:t>
      </w:r>
      <w:r>
        <w:rPr>
          <w:rFonts w:cs="FrankRuehl"/>
          <w:spacing w:val="10"/>
          <w:sz w:val="22"/>
          <w:szCs w:val="28"/>
          <w:rtl w:val="true"/>
        </w:rPr>
        <w:t xml:space="preserve">) </w:t>
      </w:r>
      <w:r>
        <w:rPr>
          <w:rFonts w:cs="FrankRuehl"/>
          <w:spacing w:val="10"/>
          <w:sz w:val="22"/>
          <w:sz w:val="22"/>
          <w:szCs w:val="28"/>
          <w:rtl w:val="true"/>
        </w:rPr>
        <w:t>והוא</w:t>
      </w:r>
      <w:r>
        <w:rPr>
          <w:rFonts w:cs="Times New Roman"/>
          <w:spacing w:val="10"/>
          <w:sz w:val="22"/>
          <w:sz w:val="22"/>
          <w:szCs w:val="28"/>
          <w:rtl w:val="true"/>
        </w:rPr>
        <w:t xml:space="preserve"> </w:t>
      </w:r>
      <w:r>
        <w:rPr>
          <w:rFonts w:cs="FrankRuehl"/>
          <w:spacing w:val="10"/>
          <w:sz w:val="22"/>
          <w:sz w:val="22"/>
          <w:szCs w:val="28"/>
          <w:rtl w:val="true"/>
        </w:rPr>
        <w:t>איננו</w:t>
      </w:r>
      <w:r>
        <w:rPr>
          <w:rFonts w:cs="Times New Roman"/>
          <w:spacing w:val="10"/>
          <w:sz w:val="22"/>
          <w:sz w:val="22"/>
          <w:szCs w:val="28"/>
          <w:rtl w:val="true"/>
        </w:rPr>
        <w:t xml:space="preserve"> </w:t>
      </w:r>
      <w:r>
        <w:rPr>
          <w:rFonts w:cs="FrankRuehl"/>
          <w:spacing w:val="10"/>
          <w:sz w:val="22"/>
          <w:sz w:val="22"/>
          <w:szCs w:val="28"/>
          <w:rtl w:val="true"/>
        </w:rPr>
        <w:t>מאזן</w:t>
      </w:r>
      <w:r>
        <w:rPr>
          <w:rFonts w:cs="FrankRuehl"/>
          <w:spacing w:val="10"/>
          <w:sz w:val="22"/>
          <w:szCs w:val="28"/>
          <w:rtl w:val="true"/>
        </w:rPr>
        <w:t xml:space="preserve">, </w:t>
      </w:r>
      <w:r>
        <w:rPr>
          <w:rFonts w:cs="FrankRuehl"/>
          <w:spacing w:val="10"/>
          <w:sz w:val="22"/>
          <w:sz w:val="22"/>
          <w:szCs w:val="28"/>
          <w:rtl w:val="true"/>
        </w:rPr>
        <w:t>בהכרח</w:t>
      </w:r>
      <w:r>
        <w:rPr>
          <w:rFonts w:cs="FrankRuehl"/>
          <w:spacing w:val="10"/>
          <w:sz w:val="22"/>
          <w:szCs w:val="28"/>
          <w:rtl w:val="true"/>
        </w:rPr>
        <w:t xml:space="preserve">, </w:t>
      </w:r>
      <w:r>
        <w:rPr>
          <w:rFonts w:cs="FrankRuehl"/>
          <w:spacing w:val="10"/>
          <w:sz w:val="22"/>
          <w:sz w:val="22"/>
          <w:szCs w:val="28"/>
          <w:rtl w:val="true"/>
        </w:rPr>
        <w:t>בין</w:t>
      </w:r>
      <w:r>
        <w:rPr>
          <w:rFonts w:cs="Times New Roman"/>
          <w:spacing w:val="10"/>
          <w:sz w:val="22"/>
          <w:sz w:val="22"/>
          <w:szCs w:val="28"/>
          <w:rtl w:val="true"/>
        </w:rPr>
        <w:t xml:space="preserve"> </w:t>
      </w:r>
      <w:r>
        <w:rPr>
          <w:rFonts w:cs="FrankRuehl"/>
          <w:spacing w:val="10"/>
          <w:sz w:val="22"/>
          <w:sz w:val="22"/>
          <w:szCs w:val="28"/>
          <w:rtl w:val="true"/>
        </w:rPr>
        <w:t>כל</w:t>
      </w:r>
      <w:r>
        <w:rPr>
          <w:rFonts w:cs="Times New Roman"/>
          <w:spacing w:val="10"/>
          <w:sz w:val="22"/>
          <w:sz w:val="22"/>
          <w:szCs w:val="28"/>
          <w:rtl w:val="true"/>
        </w:rPr>
        <w:t xml:space="preserve"> </w:t>
      </w:r>
      <w:r>
        <w:rPr>
          <w:rFonts w:cs="FrankRuehl"/>
          <w:spacing w:val="10"/>
          <w:sz w:val="22"/>
          <w:sz w:val="22"/>
          <w:szCs w:val="28"/>
          <w:rtl w:val="true"/>
        </w:rPr>
        <w:t>האינטרסים</w:t>
      </w:r>
      <w:r>
        <w:rPr>
          <w:rFonts w:cs="Times New Roman"/>
          <w:spacing w:val="10"/>
          <w:sz w:val="22"/>
          <w:sz w:val="22"/>
          <w:szCs w:val="28"/>
          <w:rtl w:val="true"/>
        </w:rPr>
        <w:t xml:space="preserve"> </w:t>
      </w:r>
      <w:r>
        <w:rPr>
          <w:rFonts w:cs="FrankRuehl"/>
          <w:spacing w:val="10"/>
          <w:sz w:val="22"/>
          <w:sz w:val="22"/>
          <w:szCs w:val="28"/>
          <w:rtl w:val="true"/>
        </w:rPr>
        <w:t>המערכתיים</w:t>
      </w:r>
      <w:r>
        <w:rPr>
          <w:rFonts w:cs="FrankRuehl"/>
          <w:spacing w:val="10"/>
          <w:sz w:val="22"/>
          <w:szCs w:val="28"/>
          <w:rtl w:val="true"/>
        </w:rPr>
        <w:t xml:space="preserve">, </w:t>
      </w:r>
      <w:r>
        <w:rPr>
          <w:rFonts w:cs="FrankRuehl"/>
          <w:spacing w:val="10"/>
          <w:sz w:val="22"/>
          <w:sz w:val="22"/>
          <w:szCs w:val="28"/>
          <w:rtl w:val="true"/>
        </w:rPr>
        <w:t>הציבוריים</w:t>
      </w:r>
      <w:r>
        <w:rPr>
          <w:rFonts w:cs="Times New Roman"/>
          <w:spacing w:val="10"/>
          <w:sz w:val="22"/>
          <w:sz w:val="22"/>
          <w:szCs w:val="28"/>
          <w:rtl w:val="true"/>
        </w:rPr>
        <w:t xml:space="preserve"> </w:t>
      </w:r>
      <w:r>
        <w:rPr>
          <w:rFonts w:cs="FrankRuehl"/>
          <w:spacing w:val="10"/>
          <w:sz w:val="22"/>
          <w:sz w:val="22"/>
          <w:szCs w:val="28"/>
          <w:rtl w:val="true"/>
        </w:rPr>
        <w:t>והפרטניים</w:t>
      </w:r>
      <w:r>
        <w:rPr>
          <w:rFonts w:cs="FrankRuehl"/>
          <w:spacing w:val="10"/>
          <w:sz w:val="22"/>
          <w:szCs w:val="28"/>
          <w:rtl w:val="true"/>
        </w:rPr>
        <w:t xml:space="preserve">, </w:t>
      </w:r>
      <w:r>
        <w:rPr>
          <w:rFonts w:cs="FrankRuehl"/>
          <w:spacing w:val="10"/>
          <w:sz w:val="22"/>
          <w:sz w:val="22"/>
          <w:szCs w:val="28"/>
          <w:rtl w:val="true"/>
        </w:rPr>
        <w:t>לגבי</w:t>
      </w:r>
      <w:r>
        <w:rPr>
          <w:rFonts w:cs="Times New Roman"/>
          <w:spacing w:val="10"/>
          <w:sz w:val="22"/>
          <w:sz w:val="22"/>
          <w:szCs w:val="28"/>
          <w:rtl w:val="true"/>
        </w:rPr>
        <w:t xml:space="preserve"> </w:t>
      </w:r>
      <w:r>
        <w:rPr>
          <w:rFonts w:cs="FrankRuehl"/>
          <w:spacing w:val="10"/>
          <w:sz w:val="22"/>
          <w:sz w:val="22"/>
          <w:szCs w:val="28"/>
          <w:rtl w:val="true"/>
        </w:rPr>
        <w:t>אותו</w:t>
      </w:r>
      <w:r>
        <w:rPr>
          <w:rFonts w:cs="Times New Roman"/>
          <w:spacing w:val="10"/>
          <w:sz w:val="22"/>
          <w:sz w:val="22"/>
          <w:szCs w:val="28"/>
          <w:rtl w:val="true"/>
        </w:rPr>
        <w:t xml:space="preserve"> </w:t>
      </w:r>
      <w:r>
        <w:rPr>
          <w:rFonts w:cs="FrankRuehl"/>
          <w:spacing w:val="10"/>
          <w:sz w:val="22"/>
          <w:sz w:val="22"/>
          <w:szCs w:val="28"/>
          <w:rtl w:val="true"/>
        </w:rPr>
        <w:t>נאשם</w:t>
      </w:r>
      <w:r>
        <w:rPr>
          <w:rFonts w:cs="Times New Roman"/>
          <w:spacing w:val="10"/>
          <w:sz w:val="22"/>
          <w:sz w:val="22"/>
          <w:szCs w:val="28"/>
          <w:rtl w:val="true"/>
        </w:rPr>
        <w:t xml:space="preserve"> </w:t>
      </w:r>
      <w:r>
        <w:rPr>
          <w:rFonts w:cs="FrankRuehl"/>
          <w:spacing w:val="10"/>
          <w:sz w:val="22"/>
          <w:sz w:val="22"/>
          <w:szCs w:val="28"/>
          <w:rtl w:val="true"/>
        </w:rPr>
        <w:t>–</w:t>
      </w:r>
      <w:r>
        <w:rPr>
          <w:rFonts w:cs="Times New Roman"/>
          <w:spacing w:val="10"/>
          <w:sz w:val="22"/>
          <w:sz w:val="22"/>
          <w:szCs w:val="28"/>
          <w:rtl w:val="true"/>
        </w:rPr>
        <w:t xml:space="preserve"> </w:t>
      </w:r>
      <w:r>
        <w:rPr>
          <w:rFonts w:cs="FrankRuehl"/>
          <w:spacing w:val="10"/>
          <w:sz w:val="22"/>
          <w:sz w:val="22"/>
          <w:szCs w:val="28"/>
          <w:rtl w:val="true"/>
        </w:rPr>
        <w:t>אותם</w:t>
      </w:r>
      <w:r>
        <w:rPr>
          <w:rFonts w:cs="Times New Roman"/>
          <w:spacing w:val="10"/>
          <w:sz w:val="22"/>
          <w:sz w:val="22"/>
          <w:szCs w:val="28"/>
          <w:rtl w:val="true"/>
        </w:rPr>
        <w:t xml:space="preserve"> </w:t>
      </w:r>
      <w:r>
        <w:rPr>
          <w:rFonts w:cs="FrankRuehl"/>
          <w:spacing w:val="10"/>
          <w:sz w:val="22"/>
          <w:sz w:val="22"/>
          <w:szCs w:val="28"/>
          <w:rtl w:val="true"/>
        </w:rPr>
        <w:t>אמור</w:t>
      </w:r>
      <w:r>
        <w:rPr>
          <w:rFonts w:cs="Times New Roman"/>
          <w:spacing w:val="10"/>
          <w:sz w:val="22"/>
          <w:sz w:val="22"/>
          <w:szCs w:val="28"/>
          <w:rtl w:val="true"/>
        </w:rPr>
        <w:t xml:space="preserve"> </w:t>
      </w:r>
      <w:r>
        <w:rPr>
          <w:rFonts w:cs="FrankRuehl"/>
          <w:spacing w:val="10"/>
          <w:sz w:val="22"/>
          <w:sz w:val="22"/>
          <w:szCs w:val="28"/>
          <w:rtl w:val="true"/>
        </w:rPr>
        <w:t>לשקול</w:t>
      </w:r>
      <w:r>
        <w:rPr>
          <w:rFonts w:cs="Times New Roman"/>
          <w:spacing w:val="10"/>
          <w:sz w:val="22"/>
          <w:sz w:val="22"/>
          <w:szCs w:val="28"/>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המשפט</w:t>
      </w:r>
      <w:r>
        <w:rPr>
          <w:rFonts w:cs="FrankRuehl"/>
          <w:spacing w:val="10"/>
          <w:sz w:val="22"/>
          <w:szCs w:val="28"/>
          <w:rtl w:val="true"/>
        </w:rPr>
        <w:t>.</w:t>
      </w:r>
      <w:r>
        <w:rPr>
          <w:rFonts w:cs="FrankRuehl"/>
          <w:spacing w:val="10"/>
          <w:sz w:val="22"/>
          <w:szCs w:val="28"/>
          <w:rtl w:val="true"/>
        </w:rPr>
        <w:t xml:space="preserve"> </w:t>
      </w:r>
      <w:r>
        <w:rPr>
          <w:rFonts w:cs="FrankRuehl"/>
          <w:spacing w:val="10"/>
          <w:sz w:val="22"/>
          <w:sz w:val="22"/>
          <w:szCs w:val="28"/>
          <w:rtl w:val="true"/>
        </w:rPr>
        <w:t>המתחם</w:t>
      </w:r>
      <w:r>
        <w:rPr>
          <w:rFonts w:cs="Times New Roman"/>
          <w:spacing w:val="10"/>
          <w:sz w:val="22"/>
          <w:sz w:val="22"/>
          <w:szCs w:val="28"/>
          <w:rtl w:val="true"/>
        </w:rPr>
        <w:t xml:space="preserve"> </w:t>
      </w:r>
      <w:r>
        <w:rPr>
          <w:rFonts w:cs="FrankRuehl"/>
          <w:spacing w:val="10"/>
          <w:sz w:val="22"/>
          <w:sz w:val="22"/>
          <w:szCs w:val="28"/>
          <w:rtl w:val="true"/>
        </w:rPr>
        <w:t>מהווה</w:t>
      </w:r>
      <w:r>
        <w:rPr>
          <w:rFonts w:cs="Times New Roman"/>
          <w:spacing w:val="10"/>
          <w:sz w:val="22"/>
          <w:sz w:val="22"/>
          <w:szCs w:val="28"/>
          <w:rtl w:val="true"/>
        </w:rPr>
        <w:t xml:space="preserve"> </w:t>
      </w:r>
      <w:r>
        <w:rPr>
          <w:rFonts w:cs="FrankRuehl"/>
          <w:spacing w:val="10"/>
          <w:sz w:val="22"/>
          <w:sz w:val="22"/>
          <w:szCs w:val="28"/>
          <w:rtl w:val="true"/>
        </w:rPr>
        <w:t>איפוא</w:t>
      </w:r>
      <w:r>
        <w:rPr>
          <w:rFonts w:cs="Times New Roman"/>
          <w:spacing w:val="10"/>
          <w:sz w:val="22"/>
          <w:sz w:val="22"/>
          <w:szCs w:val="28"/>
          <w:rtl w:val="true"/>
        </w:rPr>
        <w:t xml:space="preserve"> </w:t>
      </w:r>
      <w:r>
        <w:rPr>
          <w:rFonts w:cs="FrankRuehl"/>
          <w:spacing w:val="10"/>
          <w:sz w:val="22"/>
          <w:sz w:val="22"/>
          <w:szCs w:val="28"/>
          <w:rtl w:val="true"/>
        </w:rPr>
        <w:t>אמת</w:t>
      </w:r>
      <w:r>
        <w:rPr>
          <w:rFonts w:cs="Times New Roman"/>
          <w:spacing w:val="10"/>
          <w:sz w:val="22"/>
          <w:sz w:val="22"/>
          <w:szCs w:val="28"/>
          <w:rtl w:val="true"/>
        </w:rPr>
        <w:t xml:space="preserve"> </w:t>
      </w:r>
      <w:r>
        <w:rPr>
          <w:rFonts w:cs="FrankRuehl"/>
          <w:spacing w:val="10"/>
          <w:sz w:val="22"/>
          <w:sz w:val="22"/>
          <w:szCs w:val="28"/>
          <w:rtl w:val="true"/>
        </w:rPr>
        <w:t>מידה</w:t>
      </w:r>
      <w:r>
        <w:rPr>
          <w:rFonts w:cs="Times New Roman"/>
          <w:spacing w:val="10"/>
          <w:sz w:val="22"/>
          <w:sz w:val="22"/>
          <w:szCs w:val="28"/>
          <w:rtl w:val="true"/>
        </w:rPr>
        <w:t xml:space="preserve"> </w:t>
      </w:r>
      <w:r>
        <w:rPr>
          <w:rFonts w:cs="FrankRuehl"/>
          <w:spacing w:val="10"/>
          <w:sz w:val="22"/>
          <w:sz w:val="22"/>
          <w:szCs w:val="28"/>
          <w:rtl w:val="true"/>
        </w:rPr>
        <w:t>לסבירות</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טווח</w:t>
      </w:r>
      <w:r>
        <w:rPr>
          <w:rFonts w:cs="Times New Roman"/>
          <w:spacing w:val="10"/>
          <w:sz w:val="22"/>
          <w:sz w:val="22"/>
          <w:szCs w:val="28"/>
          <w:rtl w:val="true"/>
        </w:rPr>
        <w:t xml:space="preserve"> </w:t>
      </w:r>
      <w:r>
        <w:rPr>
          <w:rFonts w:cs="FrankRuehl"/>
          <w:spacing w:val="10"/>
          <w:sz w:val="22"/>
          <w:sz w:val="22"/>
          <w:szCs w:val="28"/>
          <w:rtl w:val="true"/>
        </w:rPr>
        <w:t>הענישה</w:t>
      </w:r>
      <w:r>
        <w:rPr>
          <w:rFonts w:cs="FrankRuehl"/>
          <w:spacing w:val="10"/>
          <w:sz w:val="22"/>
          <w:szCs w:val="28"/>
          <w:rtl w:val="true"/>
        </w:rPr>
        <w:t xml:space="preserve">" </w:t>
      </w:r>
      <w:r>
        <w:rPr>
          <w:rFonts w:cs="FrankRuehl"/>
          <w:spacing w:val="10"/>
          <w:sz w:val="22"/>
          <w:sz w:val="22"/>
          <w:szCs w:val="28"/>
          <w:rtl w:val="true"/>
        </w:rPr>
        <w:t>שהוסכם</w:t>
      </w:r>
      <w:r>
        <w:rPr>
          <w:rFonts w:cs="Times New Roman"/>
          <w:spacing w:val="10"/>
          <w:sz w:val="22"/>
          <w:sz w:val="22"/>
          <w:szCs w:val="28"/>
          <w:rtl w:val="true"/>
        </w:rPr>
        <w:t xml:space="preserve"> </w:t>
      </w:r>
      <w:r>
        <w:rPr>
          <w:rFonts w:cs="FrankRuehl"/>
          <w:spacing w:val="10"/>
          <w:sz w:val="22"/>
          <w:sz w:val="22"/>
          <w:szCs w:val="28"/>
          <w:rtl w:val="true"/>
        </w:rPr>
        <w:t>בין</w:t>
      </w:r>
      <w:r>
        <w:rPr>
          <w:rFonts w:cs="Times New Roman"/>
          <w:spacing w:val="10"/>
          <w:sz w:val="22"/>
          <w:sz w:val="22"/>
          <w:szCs w:val="28"/>
          <w:rtl w:val="true"/>
        </w:rPr>
        <w:t xml:space="preserve"> </w:t>
      </w:r>
      <w:r>
        <w:rPr>
          <w:rFonts w:cs="FrankRuehl"/>
          <w:spacing w:val="10"/>
          <w:sz w:val="22"/>
          <w:sz w:val="22"/>
          <w:szCs w:val="28"/>
          <w:rtl w:val="true"/>
        </w:rPr>
        <w:t>הצדדים</w:t>
      </w:r>
      <w:r>
        <w:rPr>
          <w:rFonts w:cs="Times New Roman"/>
          <w:spacing w:val="10"/>
          <w:sz w:val="22"/>
          <w:sz w:val="22"/>
          <w:szCs w:val="28"/>
          <w:rtl w:val="true"/>
        </w:rPr>
        <w:t xml:space="preserve"> </w:t>
      </w:r>
      <w:r>
        <w:rPr>
          <w:rFonts w:cs="FrankRuehl"/>
          <w:spacing w:val="10"/>
          <w:sz w:val="22"/>
          <w:sz w:val="22"/>
          <w:szCs w:val="28"/>
          <w:rtl w:val="true"/>
        </w:rPr>
        <w:t>בהסדר</w:t>
      </w:r>
      <w:r>
        <w:rPr>
          <w:rFonts w:cs="Times New Roman"/>
          <w:spacing w:val="10"/>
          <w:sz w:val="22"/>
          <w:sz w:val="22"/>
          <w:szCs w:val="28"/>
          <w:rtl w:val="true"/>
        </w:rPr>
        <w:t xml:space="preserve"> </w:t>
      </w:r>
      <w:r>
        <w:rPr>
          <w:rFonts w:cs="FrankRuehl"/>
          <w:spacing w:val="10"/>
          <w:sz w:val="22"/>
          <w:sz w:val="22"/>
          <w:szCs w:val="28"/>
          <w:rtl w:val="true"/>
        </w:rPr>
        <w:t>הטיעון</w:t>
      </w:r>
      <w:r>
        <w:rPr>
          <w:rFonts w:cs="FrankRuehl"/>
          <w:spacing w:val="10"/>
          <w:sz w:val="22"/>
          <w:szCs w:val="28"/>
          <w:rtl w:val="true"/>
        </w:rPr>
        <w:t>.</w:t>
      </w:r>
    </w:p>
    <w:p>
      <w:pPr>
        <w:pStyle w:val="Normal"/>
        <w:tabs>
          <w:tab w:val="clear" w:pos="720"/>
          <w:tab w:val="left" w:pos="800" w:leader="none"/>
        </w:tabs>
        <w:spacing w:lineRule="auto" w:line="360"/>
        <w:ind w:end="0"/>
        <w:jc w:val="both"/>
        <w:textAlignment w:val="auto"/>
        <w:rPr>
          <w:rFonts w:cs="FrankRuehl"/>
          <w:spacing w:val="10"/>
          <w:sz w:val="22"/>
          <w:szCs w:val="28"/>
        </w:rPr>
      </w:pPr>
      <w:r>
        <w:rPr>
          <w:rFonts w:cs="FrankRuehl"/>
          <w:spacing w:val="10"/>
          <w:sz w:val="22"/>
          <w:szCs w:val="28"/>
          <w:rtl w:val="true"/>
        </w:rPr>
      </w:r>
    </w:p>
    <w:p>
      <w:pPr>
        <w:pStyle w:val="Ruller43"/>
        <w:numPr>
          <w:ilvl w:val="0"/>
          <w:numId w:val="1"/>
        </w:numPr>
        <w:ind w:hanging="0" w:start="90" w:end="0"/>
        <w:jc w:val="both"/>
        <w:rPr>
          <w:rFonts w:ascii="Arial TUR;Arial" w:hAnsi="Arial TUR;Arial" w:cs="Arial TUR;Arial"/>
          <w:sz w:val="22"/>
        </w:rPr>
      </w:pPr>
      <w:r>
        <w:rPr>
          <w:sz w:val="22"/>
          <w:sz w:val="22"/>
          <w:rtl w:val="true"/>
        </w:rPr>
        <w:t>הבדלים אלה</w:t>
      </w:r>
      <w:r>
        <w:rPr>
          <w:sz w:val="22"/>
          <w:rtl w:val="true"/>
        </w:rPr>
        <w:t xml:space="preserve">, </w:t>
      </w:r>
      <w:r>
        <w:rPr>
          <w:sz w:val="22"/>
          <w:sz w:val="22"/>
          <w:rtl w:val="true"/>
        </w:rPr>
        <w:t>בהצטרפם אל ערכים חשובים אחרים</w:t>
      </w:r>
      <w:r>
        <w:rPr>
          <w:sz w:val="22"/>
          <w:rtl w:val="true"/>
        </w:rPr>
        <w:t xml:space="preserve">, </w:t>
      </w:r>
      <w:r>
        <w:rPr>
          <w:sz w:val="22"/>
          <w:sz w:val="22"/>
          <w:rtl w:val="true"/>
        </w:rPr>
        <w:t>דוגמת עצמאות שיקול הדעת המוקנה לבית המשפט</w:t>
      </w:r>
      <w:r>
        <w:rPr>
          <w:sz w:val="22"/>
          <w:rtl w:val="true"/>
        </w:rPr>
        <w:t xml:space="preserve">, </w:t>
      </w:r>
      <w:r>
        <w:rPr>
          <w:sz w:val="22"/>
          <w:sz w:val="22"/>
          <w:rtl w:val="true"/>
        </w:rPr>
        <w:t>מורים כי</w:t>
      </w:r>
      <w:r>
        <w:rPr>
          <w:rFonts w:ascii="Arial TUR;Arial" w:hAnsi="Arial TUR;Arial" w:cs="Arial TUR;Arial"/>
          <w:sz w:val="22"/>
          <w:sz w:val="22"/>
          <w:rtl w:val="true"/>
        </w:rPr>
        <w:t xml:space="preserve"> בית המשפט איננו כבול בהכרח להסכמות אליהן הגיעו הצדדים במסגרת הסדר הטיעון לעניין טווח הענישה וגזירת העונש</w:t>
      </w:r>
      <w:r>
        <w:rPr>
          <w:rFonts w:cs="Arial TUR;Arial" w:ascii="Arial TUR;Arial" w:hAnsi="Arial TUR;Arial"/>
          <w:sz w:val="22"/>
          <w:rtl w:val="true"/>
        </w:rPr>
        <w:t xml:space="preserve">, </w:t>
      </w:r>
      <w:r>
        <w:rPr>
          <w:rFonts w:ascii="Arial TUR;Arial" w:hAnsi="Arial TUR;Arial" w:cs="Arial TUR;Arial"/>
          <w:sz w:val="22"/>
          <w:sz w:val="22"/>
          <w:rtl w:val="true"/>
        </w:rPr>
        <w:t>ומשכך</w:t>
      </w:r>
      <w:r>
        <w:rPr>
          <w:rFonts w:cs="Arial TUR;Arial" w:ascii="Arial TUR;Arial" w:hAnsi="Arial TUR;Arial"/>
          <w:sz w:val="22"/>
          <w:rtl w:val="true"/>
        </w:rPr>
        <w:t xml:space="preserve">, </w:t>
      </w:r>
      <w:r>
        <w:rPr>
          <w:rFonts w:ascii="Arial TUR;Arial" w:hAnsi="Arial TUR;Arial" w:cs="Arial TUR;Arial"/>
          <w:sz w:val="22"/>
          <w:sz w:val="22"/>
          <w:rtl w:val="true"/>
        </w:rPr>
        <w:t>מבחינה עקרונית</w:t>
      </w:r>
      <w:r>
        <w:rPr>
          <w:rFonts w:cs="Arial TUR;Arial" w:ascii="Arial TUR;Arial" w:hAnsi="Arial TUR;Arial"/>
          <w:sz w:val="22"/>
          <w:rtl w:val="true"/>
        </w:rPr>
        <w:t xml:space="preserve">, </w:t>
      </w:r>
      <w:r>
        <w:rPr>
          <w:rFonts w:ascii="Arial TUR;Arial" w:hAnsi="Arial TUR;Arial" w:cs="Arial TUR;Arial"/>
          <w:sz w:val="22"/>
          <w:sz w:val="22"/>
          <w:rtl w:val="true"/>
        </w:rPr>
        <w:t>לא נפלה כל טעות מצד בית המשפט המחוזי הנכבד כאשר ראה לציין מתחם ענישה שונה מרף העונש המקסימלי שהוסכם על הצדדים במסגרת טווחי הענישה אליהם הגיעו</w:t>
      </w:r>
      <w:r>
        <w:rPr>
          <w:rFonts w:cs="Arial TUR;Arial" w:ascii="Arial TUR;Arial" w:hAnsi="Arial TUR;Arial"/>
          <w:sz w:val="22"/>
          <w:rtl w:val="true"/>
        </w:rPr>
        <w:t>.</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43"/>
        <w:numPr>
          <w:ilvl w:val="0"/>
          <w:numId w:val="1"/>
        </w:numPr>
        <w:ind w:hanging="0" w:start="90" w:end="0"/>
        <w:jc w:val="both"/>
        <w:rPr>
          <w:rFonts w:ascii="Arial TUR;Arial" w:hAnsi="Arial TUR;Arial" w:cs="Arial TUR;Arial"/>
          <w:sz w:val="22"/>
        </w:rPr>
      </w:pPr>
      <w:r>
        <w:rPr>
          <w:rFonts w:ascii="Arial TUR;Arial" w:hAnsi="Arial TUR;Arial" w:cs="Arial TUR;Arial"/>
          <w:sz w:val="22"/>
          <w:sz w:val="22"/>
          <w:rtl w:val="true"/>
        </w:rPr>
        <w:t>בחינה פרטנית של הדברים מגלה כי אכן</w:t>
      </w:r>
      <w:r>
        <w:rPr>
          <w:rFonts w:cs="Arial TUR;Arial" w:ascii="Arial TUR;Arial" w:hAnsi="Arial TUR;Arial"/>
          <w:sz w:val="22"/>
          <w:rtl w:val="true"/>
        </w:rPr>
        <w:t xml:space="preserve">, </w:t>
      </w:r>
      <w:r>
        <w:rPr>
          <w:rFonts w:ascii="Arial TUR;Arial" w:hAnsi="Arial TUR;Arial" w:cs="Arial TUR;Arial"/>
          <w:sz w:val="22"/>
          <w:sz w:val="22"/>
          <w:rtl w:val="true"/>
        </w:rPr>
        <w:t xml:space="preserve">מתחם הענישה אותו העמיד בית המשפט המחוזי </w:t>
      </w:r>
      <w:r>
        <w:rPr>
          <w:rFonts w:ascii="Arial TUR;Arial" w:hAnsi="Arial TUR;Arial" w:cs="Arial TUR;Arial"/>
          <w:sz w:val="22"/>
          <w:sz w:val="22"/>
          <w:rtl w:val="true"/>
        </w:rPr>
        <w:t>–</w:t>
      </w:r>
      <w:r>
        <w:rPr>
          <w:rFonts w:ascii="Arial TUR;Arial" w:hAnsi="Arial TUR;Arial" w:cs="Arial TUR;Arial"/>
          <w:sz w:val="22"/>
          <w:sz w:val="22"/>
          <w:rtl w:val="true"/>
        </w:rPr>
        <w:t xml:space="preserve"> משקף את חומרת מעשיו של המערער</w:t>
      </w:r>
      <w:r>
        <w:rPr>
          <w:rFonts w:cs="Arial TUR;Arial" w:ascii="Arial TUR;Arial" w:hAnsi="Arial TUR;Arial"/>
          <w:sz w:val="22"/>
          <w:rtl w:val="true"/>
        </w:rPr>
        <w:t xml:space="preserve">, </w:t>
      </w:r>
      <w:r>
        <w:rPr>
          <w:rFonts w:ascii="Arial TUR;Arial" w:hAnsi="Arial TUR;Arial" w:cs="Arial TUR;Arial"/>
          <w:sz w:val="22"/>
          <w:sz w:val="22"/>
          <w:rtl w:val="true"/>
        </w:rPr>
        <w:t>הערכים המוגנים שנפגעו</w:t>
      </w:r>
      <w:r>
        <w:rPr>
          <w:rFonts w:cs="Arial TUR;Arial" w:ascii="Arial TUR;Arial" w:hAnsi="Arial TUR;Arial"/>
          <w:sz w:val="22"/>
          <w:rtl w:val="true"/>
        </w:rPr>
        <w:t xml:space="preserve">, </w:t>
      </w:r>
      <w:r>
        <w:rPr>
          <w:rFonts w:ascii="Arial TUR;Arial" w:hAnsi="Arial TUR;Arial" w:cs="Arial TUR;Arial"/>
          <w:sz w:val="22"/>
          <w:sz w:val="22"/>
          <w:rtl w:val="true"/>
        </w:rPr>
        <w:t>ומדיניות הענישה הנוהגת</w:t>
      </w:r>
      <w:r>
        <w:rPr>
          <w:rFonts w:cs="Arial TUR;Arial" w:ascii="Arial TUR;Arial" w:hAnsi="Arial TUR;Arial"/>
          <w:sz w:val="22"/>
          <w:rtl w:val="true"/>
        </w:rPr>
        <w:t>.</w:t>
      </w:r>
    </w:p>
    <w:p>
      <w:pPr>
        <w:pStyle w:val="Ruller42"/>
        <w:ind w:end="0"/>
        <w:jc w:val="both"/>
        <w:rPr>
          <w:rFonts w:ascii="Arial TUR;Arial" w:hAnsi="Arial TUR;Arial" w:cs="Arial TUR;Arial"/>
          <w:sz w:val="22"/>
        </w:rPr>
      </w:pPr>
      <w:r>
        <w:rPr>
          <w:rFonts w:cs="Arial TUR;Arial"/>
          <w:sz w:val="22"/>
          <w:rtl w:val="true"/>
        </w:rPr>
      </w:r>
    </w:p>
    <w:p>
      <w:pPr>
        <w:pStyle w:val="Ruller43"/>
        <w:tabs>
          <w:tab w:val="clear" w:pos="1191"/>
          <w:tab w:val="left" w:pos="800" w:leader="none"/>
        </w:tabs>
        <w:ind w:start="90" w:end="0"/>
        <w:jc w:val="both"/>
        <w:rPr/>
      </w:pPr>
      <w:r>
        <w:rPr>
          <w:rtl w:val="true"/>
        </w:rPr>
        <w:tab/>
      </w:r>
      <w:r>
        <w:rPr>
          <w:rtl w:val="true"/>
        </w:rPr>
        <w:t>חומרת העבירה בה המערער הורשע</w:t>
      </w:r>
      <w:r>
        <w:rPr>
          <w:rtl w:val="true"/>
        </w:rPr>
        <w:t xml:space="preserve">, </w:t>
      </w:r>
      <w:r>
        <w:rPr>
          <w:rtl w:val="true"/>
        </w:rPr>
        <w:t>עבירת ההצתה</w:t>
      </w:r>
      <w:r>
        <w:rPr>
          <w:rtl w:val="true"/>
        </w:rPr>
        <w:t xml:space="preserve">, </w:t>
      </w:r>
      <w:r>
        <w:rPr>
          <w:rtl w:val="true"/>
        </w:rPr>
        <w:t>היא רבה</w:t>
      </w:r>
      <w:r>
        <w:rPr>
          <w:rtl w:val="true"/>
        </w:rPr>
        <w:t xml:space="preserve">. </w:t>
      </w:r>
      <w:r>
        <w:rPr>
          <w:rtl w:val="true"/>
        </w:rPr>
        <w:t>הסיכון הגלום במעשה ההצתה</w:t>
      </w:r>
      <w:r>
        <w:rPr>
          <w:rtl w:val="true"/>
        </w:rPr>
        <w:t xml:space="preserve">, </w:t>
      </w:r>
      <w:r>
        <w:rPr>
          <w:rtl w:val="true"/>
        </w:rPr>
        <w:t>ובהשלכות ההרסניות והבלתי</w:t>
      </w:r>
      <w:r>
        <w:rPr>
          <w:rtl w:val="true"/>
        </w:rPr>
        <w:t>-</w:t>
      </w:r>
      <w:r>
        <w:rPr>
          <w:rtl w:val="true"/>
        </w:rPr>
        <w:t xml:space="preserve">צפויות העלולות להיגרם מהבערת אש בלתי מבוקרת </w:t>
      </w:r>
      <w:r>
        <w:rPr>
          <w:rtl w:val="true"/>
        </w:rPr>
        <w:t>–</w:t>
      </w:r>
      <w:r>
        <w:rPr>
          <w:rtl w:val="true"/>
        </w:rPr>
        <w:t xml:space="preserve"> מחייבת</w:t>
      </w:r>
      <w:r>
        <w:rPr>
          <w:rtl w:val="true"/>
        </w:rPr>
        <w:t xml:space="preserve">, </w:t>
      </w:r>
      <w:r>
        <w:rPr>
          <w:rtl w:val="true"/>
        </w:rPr>
        <w:t>בדרך כלל</w:t>
      </w:r>
      <w:r>
        <w:rPr>
          <w:rtl w:val="true"/>
        </w:rPr>
        <w:t xml:space="preserve">, </w:t>
      </w:r>
      <w:r>
        <w:rPr>
          <w:rtl w:val="true"/>
        </w:rPr>
        <w:t>ענישה מוחשית ומרתיעה</w:t>
      </w:r>
      <w:r>
        <w:rPr>
          <w:rFonts w:ascii="Century" w:hAnsi="Century" w:cs="Century"/>
          <w:sz w:val="22"/>
          <w:sz w:val="22"/>
          <w:rtl w:val="true"/>
        </w:rPr>
        <w:t xml:space="preserve"> </w:t>
      </w:r>
      <w:r>
        <w:rPr>
          <w:rFonts w:cs="Century" w:ascii="Century" w:hAnsi="Century"/>
          <w:sz w:val="22"/>
          <w:rtl w:val="true"/>
        </w:rPr>
        <w:t>(</w:t>
      </w:r>
      <w:r>
        <w:rPr>
          <w:rFonts w:ascii="Century" w:hAnsi="Century" w:cs="Century"/>
          <w:rtl w:val="true"/>
        </w:rPr>
        <w:t>עיינו</w:t>
      </w:r>
      <w:r>
        <w:rPr>
          <w:rFonts w:cs="Century" w:ascii="Century" w:hAnsi="Century"/>
          <w:rtl w:val="true"/>
        </w:rPr>
        <w:t>:</w:t>
      </w:r>
      <w:r>
        <w:rPr>
          <w:rFonts w:cs="Century" w:ascii="Century" w:hAnsi="Century"/>
          <w:sz w:val="22"/>
          <w:rtl w:val="true"/>
        </w:rPr>
        <w:t xml:space="preserve"> </w:t>
      </w:r>
      <w:hyperlink r:id="rId13">
        <w:r>
          <w:rPr>
            <w:rStyle w:val="Hyperlink"/>
            <w:rFonts w:ascii="Times New Roman" w:hAnsi="Times New Roman" w:cs="Times New Roman"/>
            <w:color w:val="0000FF"/>
            <w:sz w:val="22"/>
            <w:sz w:val="22"/>
            <w:u w:val="single"/>
            <w:rtl w:val="true"/>
          </w:rPr>
          <w:t>ע</w:t>
        </w:r>
        <w:r>
          <w:rPr>
            <w:rStyle w:val="Hyperlink"/>
            <w:rFonts w:cs="Times New Roman" w:ascii="Times New Roman" w:hAnsi="Times New Roman"/>
            <w:color w:val="0000FF"/>
            <w:sz w:val="22"/>
            <w:u w:val="single"/>
            <w:rtl w:val="true"/>
          </w:rPr>
          <w:t>"</w:t>
        </w:r>
        <w:r>
          <w:rPr>
            <w:rStyle w:val="Hyperlink"/>
            <w:rFonts w:ascii="Times New Roman" w:hAnsi="Times New Roman" w:cs="Times New Roman"/>
            <w:color w:val="0000FF"/>
            <w:sz w:val="22"/>
            <w:sz w:val="22"/>
            <w:u w:val="single"/>
            <w:rtl w:val="true"/>
          </w:rPr>
          <w:t xml:space="preserve">פ </w:t>
        </w:r>
        <w:r>
          <w:rPr>
            <w:rStyle w:val="Hyperlink"/>
            <w:rFonts w:cs="Times New Roman" w:ascii="Times New Roman" w:hAnsi="Times New Roman"/>
            <w:color w:val="0000FF"/>
            <w:sz w:val="22"/>
            <w:u w:val="single"/>
          </w:rPr>
          <w:t>3116/13</w:t>
        </w:r>
      </w:hyperlink>
      <w:r>
        <w:rPr>
          <w:rFonts w:cs="Century" w:ascii="Century" w:hAnsi="Century"/>
          <w:sz w:val="22"/>
          <w:rtl w:val="true"/>
        </w:rPr>
        <w:t xml:space="preserve"> </w:t>
      </w:r>
      <w:r>
        <w:rPr>
          <w:rFonts w:ascii="Century" w:hAnsi="Century" w:cs="Miriam"/>
          <w:b/>
          <w:b/>
          <w:spacing w:val="0"/>
          <w:sz w:val="22"/>
          <w:sz w:val="22"/>
          <w:szCs w:val="24"/>
          <w:rtl w:val="true"/>
        </w:rPr>
        <w:t>קבלאן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cs="Century"/>
          <w:sz w:val="22"/>
          <w:sz w:val="22"/>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15.10.2013</w:t>
      </w:r>
      <w:r>
        <w:rPr>
          <w:rFonts w:cs="Century" w:ascii="Century" w:hAnsi="Century"/>
          <w:sz w:val="22"/>
          <w:rtl w:val="true"/>
        </w:rPr>
        <w:t xml:space="preserve">); </w:t>
      </w:r>
      <w:hyperlink r:id="rId14">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2599/07</w:t>
        </w:r>
      </w:hyperlink>
      <w:r>
        <w:rPr>
          <w:rFonts w:cs="Century" w:ascii="Century" w:hAnsi="Century"/>
          <w:sz w:val="22"/>
          <w:rtl w:val="true"/>
        </w:rPr>
        <w:t xml:space="preserve"> </w:t>
      </w:r>
      <w:r>
        <w:rPr>
          <w:rFonts w:ascii="Century" w:hAnsi="Century" w:cs="Miriam"/>
          <w:b/>
          <w:b/>
          <w:spacing w:val="0"/>
          <w:sz w:val="22"/>
          <w:sz w:val="22"/>
          <w:szCs w:val="24"/>
          <w:rtl w:val="true"/>
        </w:rPr>
        <w:t>קריין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Times New Roman" w:hAnsi="Times New Roman" w:cs="Times New Roman"/>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30.4.2007</w:t>
      </w:r>
      <w:r>
        <w:rPr>
          <w:rFonts w:cs="Century" w:ascii="Century" w:hAnsi="Century"/>
          <w:sz w:val="22"/>
          <w:rtl w:val="true"/>
        </w:rPr>
        <w:t xml:space="preserve">); </w:t>
      </w:r>
      <w:hyperlink r:id="rId1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3210/06</w:t>
        </w:r>
      </w:hyperlink>
      <w:r>
        <w:rPr>
          <w:rFonts w:cs="Century" w:ascii="Century" w:hAnsi="Century"/>
          <w:sz w:val="22"/>
          <w:rtl w:val="true"/>
        </w:rPr>
        <w:t xml:space="preserve"> </w:t>
      </w:r>
      <w:r>
        <w:rPr>
          <w:rFonts w:ascii="Century" w:hAnsi="Century" w:cs="Miriam"/>
          <w:b/>
          <w:b/>
          <w:spacing w:val="0"/>
          <w:sz w:val="22"/>
          <w:sz w:val="22"/>
          <w:szCs w:val="24"/>
          <w:rtl w:val="true"/>
        </w:rPr>
        <w:t>עמארה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18.03.2007</w:t>
      </w:r>
      <w:r>
        <w:rPr>
          <w:rFonts w:cs="Century" w:ascii="Century" w:hAnsi="Century"/>
          <w:sz w:val="22"/>
          <w:rtl w:val="true"/>
        </w:rPr>
        <w:t>);</w:t>
      </w:r>
      <w:r>
        <w:rPr>
          <w:rFonts w:cs="Century" w:ascii="Century" w:hAnsi="Century"/>
          <w:sz w:val="22"/>
          <w:rtl w:val="true"/>
        </w:rPr>
        <w:t xml:space="preserve"> </w:t>
      </w:r>
      <w:hyperlink r:id="rId1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9299/09</w:t>
        </w:r>
      </w:hyperlink>
      <w:r>
        <w:rPr>
          <w:rFonts w:cs="Century" w:ascii="Century" w:hAnsi="Century"/>
          <w:sz w:val="22"/>
          <w:rtl w:val="true"/>
        </w:rPr>
        <w:t xml:space="preserve"> </w:t>
      </w:r>
      <w:r>
        <w:rPr>
          <w:rFonts w:ascii="Times New Roman" w:hAnsi="Times New Roman" w:cs="Miriam"/>
          <w:spacing w:val="0"/>
          <w:sz w:val="28"/>
          <w:sz w:val="28"/>
          <w:szCs w:val="24"/>
          <w:rtl w:val="true"/>
        </w:rPr>
        <w:t>קסקס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פיסקה</w:t>
      </w:r>
      <w:r>
        <w:rPr>
          <w:rFonts w:ascii="Century" w:hAnsi="Century" w:cs="Century"/>
          <w:sz w:val="22"/>
          <w:sz w:val="22"/>
          <w:rtl w:val="true"/>
        </w:rPr>
        <w:t xml:space="preserve"> י</w:t>
      </w:r>
      <w:r>
        <w:rPr>
          <w:rFonts w:cs="Century" w:ascii="Century" w:hAnsi="Century"/>
          <w:sz w:val="22"/>
          <w:rtl w:val="true"/>
        </w:rPr>
        <w:t>' (</w:t>
      </w:r>
      <w:r>
        <w:rPr>
          <w:rFonts w:cs="Century" w:ascii="Century" w:hAnsi="Century"/>
          <w:sz w:val="22"/>
        </w:rPr>
        <w:t>19.9.2010</w:t>
      </w:r>
      <w:r>
        <w:rPr>
          <w:rFonts w:cs="Century" w:ascii="Century" w:hAnsi="Century"/>
          <w:sz w:val="22"/>
          <w:rtl w:val="true"/>
        </w:rPr>
        <w:t>)</w:t>
      </w:r>
      <w:r>
        <w:rPr>
          <w:rFonts w:cs="Century" w:ascii="Century" w:hAnsi="Century"/>
          <w:sz w:val="22"/>
          <w:rtl w:val="true"/>
        </w:rPr>
        <w:t>)</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חומרה זו אף נלמדת מלשון המחוקק</w:t>
      </w:r>
      <w:r>
        <w:rPr>
          <w:rFonts w:cs="Century" w:ascii="Century" w:hAnsi="Century"/>
          <w:sz w:val="22"/>
          <w:rtl w:val="true"/>
        </w:rPr>
        <w:t xml:space="preserve">, </w:t>
      </w:r>
      <w:r>
        <w:rPr>
          <w:rFonts w:ascii="Century" w:hAnsi="Century" w:cs="Century"/>
          <w:sz w:val="22"/>
          <w:sz w:val="22"/>
          <w:rtl w:val="true"/>
        </w:rPr>
        <w:t>אשר קבע עונש כבד</w:t>
      </w:r>
      <w:r>
        <w:rPr>
          <w:rFonts w:cs="Century" w:ascii="Century" w:hAnsi="Century"/>
          <w:sz w:val="22"/>
          <w:rtl w:val="true"/>
        </w:rPr>
        <w:t xml:space="preserve">, </w:t>
      </w:r>
      <w:r>
        <w:rPr>
          <w:rFonts w:ascii="Century" w:hAnsi="Century" w:cs="Century"/>
          <w:sz w:val="22"/>
          <w:sz w:val="22"/>
          <w:rtl w:val="true"/>
        </w:rPr>
        <w:t xml:space="preserve">בן </w:t>
      </w:r>
      <w:r>
        <w:rPr>
          <w:rFonts w:cs="Century" w:ascii="Century" w:hAnsi="Century"/>
          <w:sz w:val="22"/>
        </w:rPr>
        <w:t>15</w:t>
      </w:r>
      <w:r>
        <w:rPr>
          <w:rFonts w:cs="Century" w:ascii="Century" w:hAnsi="Century"/>
          <w:sz w:val="22"/>
          <w:rtl w:val="true"/>
        </w:rPr>
        <w:t xml:space="preserve"> </w:t>
      </w:r>
      <w:r>
        <w:rPr>
          <w:rFonts w:ascii="Century" w:hAnsi="Century" w:cs="Century"/>
          <w:sz w:val="22"/>
          <w:sz w:val="22"/>
          <w:rtl w:val="true"/>
        </w:rPr>
        <w:t>שנות מאסר</w:t>
      </w:r>
      <w:r>
        <w:rPr>
          <w:rFonts w:cs="Century" w:ascii="Century" w:hAnsi="Century"/>
          <w:sz w:val="22"/>
          <w:rtl w:val="true"/>
        </w:rPr>
        <w:t xml:space="preserve">, </w:t>
      </w:r>
      <w:r>
        <w:rPr>
          <w:rFonts w:ascii="Century" w:hAnsi="Century" w:cs="Century"/>
          <w:sz w:val="22"/>
          <w:sz w:val="22"/>
          <w:rtl w:val="true"/>
        </w:rPr>
        <w:t>בצד עבירת ההצתה</w:t>
      </w:r>
      <w:r>
        <w:rPr>
          <w:rFonts w:cs="Century" w:ascii="Century" w:hAnsi="Century"/>
          <w:sz w:val="22"/>
          <w:rtl w:val="true"/>
        </w:rPr>
        <w:t>.</w:t>
      </w:r>
      <w:r>
        <w:rPr>
          <w:rtl w:val="true"/>
        </w:rPr>
        <w:t xml:space="preserve"> </w:t>
      </w:r>
      <w:r>
        <w:rPr>
          <w:rtl w:val="true"/>
        </w:rPr>
        <w:t>יחד עם זאת</w:t>
      </w:r>
      <w:r>
        <w:rPr>
          <w:rtl w:val="true"/>
        </w:rPr>
        <w:t xml:space="preserve">, </w:t>
      </w:r>
      <w:r>
        <w:rPr>
          <w:rtl w:val="true"/>
        </w:rPr>
        <w:t>נקבע לא אחת</w:t>
      </w:r>
      <w:r>
        <w:rPr>
          <w:rtl w:val="true"/>
        </w:rPr>
        <w:t xml:space="preserve">, </w:t>
      </w:r>
      <w:r>
        <w:rPr>
          <w:rtl w:val="true"/>
        </w:rPr>
        <w:t xml:space="preserve">כי מנעד הענישה האפשרי בגין עבירת ההצתה הוא רחב וכל מקרה נקבע בהתאם לנסיבותיו </w:t>
      </w:r>
      <w:r>
        <w:rPr>
          <w:rtl w:val="true"/>
        </w:rPr>
        <w:t>(</w:t>
      </w:r>
      <w:r>
        <w:rPr>
          <w:rtl w:val="true"/>
        </w:rPr>
        <w:t>ראו</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6463/11</w:t>
        </w:r>
      </w:hyperlink>
      <w:r>
        <w:rPr>
          <w:rtl w:val="true"/>
        </w:rPr>
        <w:t xml:space="preserve"> </w:t>
      </w:r>
      <w:r>
        <w:rPr>
          <w:rFonts w:ascii="Times New Roman" w:hAnsi="Times New Roman" w:cs="Miriam"/>
          <w:spacing w:val="0"/>
          <w:sz w:val="28"/>
          <w:sz w:val="28"/>
          <w:szCs w:val="24"/>
          <w:rtl w:val="true"/>
        </w:rPr>
        <w:t>ברדוגו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05.06.2012</w:t>
      </w:r>
      <w:r>
        <w:rPr>
          <w:rtl w:val="true"/>
        </w:rPr>
        <w:t>)).</w:t>
      </w:r>
    </w:p>
    <w:p>
      <w:pPr>
        <w:pStyle w:val="Ruller42"/>
        <w:ind w:end="0"/>
        <w:jc w:val="both"/>
        <w:rPr/>
      </w:pPr>
      <w:r>
        <w:rPr>
          <w:rtl w:val="true"/>
        </w:rPr>
      </w:r>
    </w:p>
    <w:p>
      <w:pPr>
        <w:pStyle w:val="Ruller43"/>
        <w:numPr>
          <w:ilvl w:val="0"/>
          <w:numId w:val="1"/>
        </w:numPr>
        <w:ind w:hanging="0" w:start="90" w:end="0"/>
        <w:jc w:val="both"/>
        <w:rPr/>
      </w:pPr>
      <w:r>
        <w:rPr>
          <w:rtl w:val="true"/>
        </w:rPr>
        <w:t>במקרה שלפנינו</w:t>
      </w:r>
      <w:r>
        <w:rPr>
          <w:rtl w:val="true"/>
        </w:rPr>
        <w:t xml:space="preserve">, </w:t>
      </w:r>
      <w:r>
        <w:rPr>
          <w:rtl w:val="true"/>
        </w:rPr>
        <w:t>בית המשפט המחוזי הנכבד נהג בהתאם למושכלות אלה</w:t>
      </w:r>
      <w:r>
        <w:rPr>
          <w:rtl w:val="true"/>
        </w:rPr>
        <w:t xml:space="preserve">, </w:t>
      </w:r>
      <w:r>
        <w:rPr>
          <w:rtl w:val="true"/>
        </w:rPr>
        <w:t xml:space="preserve">והעמיד את </w:t>
      </w:r>
      <w:r>
        <w:rPr>
          <w:rtl w:val="true"/>
        </w:rPr>
        <w:t xml:space="preserve">מתחם הענישה </w:t>
      </w:r>
      <w:r>
        <w:rPr>
          <w:rtl w:val="true"/>
        </w:rPr>
        <w:t>בעניינו של המערער באופן ש</w:t>
      </w:r>
      <w:r>
        <w:rPr>
          <w:rtl w:val="true"/>
        </w:rPr>
        <w:t>אינ</w:t>
      </w:r>
      <w:r>
        <w:rPr>
          <w:rtl w:val="true"/>
        </w:rPr>
        <w:t>נ</w:t>
      </w:r>
      <w:r>
        <w:rPr>
          <w:rtl w:val="true"/>
        </w:rPr>
        <w:t>ו חורג מהמקובל במקרים דומים</w:t>
      </w:r>
      <w:r>
        <w:rPr>
          <w:rtl w:val="true"/>
        </w:rPr>
        <w:t xml:space="preserve">, </w:t>
      </w:r>
      <w:r>
        <w:rPr>
          <w:rtl w:val="true"/>
        </w:rPr>
        <w:t xml:space="preserve">תוך מתן דגש לנסיבות המקרה הפרטני </w:t>
      </w:r>
      <w:r>
        <w:rPr>
          <w:rtl w:val="true"/>
        </w:rPr>
        <w:t>(</w:t>
      </w:r>
      <w:r>
        <w:rPr>
          <w:rtl w:val="true"/>
        </w:rPr>
        <w:t>ראו</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907/14</w:t>
        </w:r>
      </w:hyperlink>
      <w:r>
        <w:rPr>
          <w:rtl w:val="true"/>
        </w:rPr>
        <w:t xml:space="preserve"> </w:t>
      </w:r>
      <w:r>
        <w:rPr>
          <w:rFonts w:ascii="Times New Roman" w:hAnsi="Times New Roman" w:cs="Miriam"/>
          <w:spacing w:val="0"/>
          <w:sz w:val="28"/>
          <w:sz w:val="28"/>
          <w:szCs w:val="24"/>
          <w:rtl w:val="true"/>
        </w:rPr>
        <w:t>רחמים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rtl w:val="true"/>
        </w:rPr>
        <w:t>(</w:t>
      </w:r>
      <w:r>
        <w:rPr>
          <w:rFonts w:cs="Times New Roman" w:ascii="Times New Roman" w:hAnsi="Times New Roman"/>
        </w:rPr>
        <w:t>18.11.2014</w:t>
      </w:r>
      <w:r>
        <w:rPr>
          <w:rFonts w:cs="Times New Roman" w:ascii="Times New Roman" w:hAnsi="Times New Roman"/>
          <w:rtl w:val="true"/>
        </w:rPr>
        <w:t xml:space="preserve">); </w:t>
      </w:r>
      <w:hyperlink r:id="rId19">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1951/14</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מקונן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rtl w:val="true"/>
        </w:rPr>
        <w:t>(</w:t>
      </w:r>
      <w:r>
        <w:rPr>
          <w:rFonts w:cs="Times New Roman" w:ascii="Times New Roman" w:hAnsi="Times New Roman"/>
        </w:rPr>
        <w:t>15.02.2015</w:t>
      </w:r>
      <w:r>
        <w:rPr>
          <w:rFonts w:cs="Times New Roman" w:ascii="Times New Roman" w:hAnsi="Times New Roman"/>
          <w:rtl w:val="true"/>
        </w:rPr>
        <w:t>))</w:t>
      </w:r>
      <w:r>
        <w:rPr>
          <w:rtl w:val="true"/>
        </w:rPr>
        <w:t>.</w:t>
      </w:r>
      <w:r>
        <w:rPr>
          <w:rtl w:val="true"/>
        </w:rPr>
        <w:t xml:space="preserve"> </w:t>
      </w:r>
      <w:r>
        <w:rPr>
          <w:rtl w:val="true"/>
        </w:rPr>
        <w:t>בהקשר לכך</w:t>
      </w:r>
      <w:r>
        <w:rPr>
          <w:rtl w:val="true"/>
        </w:rPr>
        <w:t xml:space="preserve">, </w:t>
      </w:r>
      <w:r>
        <w:rPr>
          <w:rtl w:val="true"/>
        </w:rPr>
        <w:t>בית המשפט המחוזי הנכבד נתן את דעתו לחומרה שבעבירת ההצתה והערכים המוגנים שביסודה</w:t>
      </w:r>
      <w:r>
        <w:rPr>
          <w:rtl w:val="true"/>
        </w:rPr>
        <w:t xml:space="preserve">, </w:t>
      </w:r>
      <w:r>
        <w:rPr>
          <w:rtl w:val="true"/>
        </w:rPr>
        <w:t>סקר את מדיניות הפסיקה הנשקפת מפסקי הדין עליהם נסמכו הצדדים</w:t>
      </w:r>
      <w:r>
        <w:rPr>
          <w:rtl w:val="true"/>
        </w:rPr>
        <w:t>,</w:t>
      </w:r>
      <w:r>
        <w:rPr>
          <w:rFonts w:cs="Century" w:ascii="Century" w:hAnsi="Century"/>
          <w:rtl w:val="true"/>
        </w:rPr>
        <w:t xml:space="preserve"> </w:t>
      </w:r>
      <w:r>
        <w:rPr>
          <w:rFonts w:ascii="Century" w:hAnsi="Century" w:cs="Century"/>
          <w:rtl w:val="true"/>
        </w:rPr>
        <w:t>ושקל אף נסיבות לחומרה העולות מאופי ביצוע העבירה</w:t>
      </w:r>
      <w:r>
        <w:rPr>
          <w:rFonts w:cs="Century" w:ascii="Century" w:hAnsi="Century"/>
          <w:rtl w:val="true"/>
        </w:rPr>
        <w:t xml:space="preserve">, </w:t>
      </w:r>
      <w:r>
        <w:rPr>
          <w:rFonts w:ascii="Century" w:hAnsi="Century" w:cs="Century"/>
          <w:rtl w:val="true"/>
        </w:rPr>
        <w:t>בכללן</w:t>
      </w:r>
      <w:r>
        <w:rPr>
          <w:rFonts w:cs="Century" w:ascii="Century" w:hAnsi="Century"/>
          <w:rtl w:val="true"/>
        </w:rPr>
        <w:t xml:space="preserve">: </w:t>
      </w:r>
      <w:r>
        <w:rPr>
          <w:rFonts w:ascii="Century" w:hAnsi="Century" w:cs="Century"/>
          <w:rtl w:val="true"/>
        </w:rPr>
        <w:t xml:space="preserve">העובדה </w:t>
      </w:r>
      <w:r>
        <w:rPr>
          <w:rFonts w:ascii="Franklin Gothic Medium" w:hAnsi="Franklin Gothic Medium" w:cs="Franklin Gothic Medium"/>
          <w:sz w:val="28"/>
          <w:sz w:val="28"/>
          <w:rtl w:val="true"/>
        </w:rPr>
        <w:t>שהמעשים כוונו כלפי בית עסק המצוי בקרבת בית מגורים</w:t>
      </w:r>
      <w:r>
        <w:rPr>
          <w:rFonts w:cs="Franklin Gothic Medium" w:ascii="Franklin Gothic Medium" w:hAnsi="Franklin Gothic Medium"/>
          <w:sz w:val="28"/>
          <w:rtl w:val="true"/>
        </w:rPr>
        <w:t xml:space="preserve">, </w:t>
      </w:r>
      <w:r>
        <w:rPr>
          <w:rFonts w:ascii="Franklin Gothic Medium" w:hAnsi="Franklin Gothic Medium" w:cs="Franklin Gothic Medium"/>
          <w:sz w:val="28"/>
          <w:sz w:val="28"/>
          <w:rtl w:val="true"/>
        </w:rPr>
        <w:t>מעשה העבירה בוצע בשעת לילה בה אנשים מצויים בבתיהם</w:t>
      </w:r>
      <w:r>
        <w:rPr>
          <w:rFonts w:cs="Franklin Gothic Medium" w:ascii="Franklin Gothic Medium" w:hAnsi="Franklin Gothic Medium"/>
          <w:sz w:val="28"/>
          <w:rtl w:val="true"/>
        </w:rPr>
        <w:t xml:space="preserve">, </w:t>
      </w:r>
      <w:r>
        <w:rPr>
          <w:rFonts w:ascii="Franklin Gothic Medium" w:hAnsi="Franklin Gothic Medium" w:cs="Franklin Gothic Medium"/>
          <w:sz w:val="28"/>
          <w:sz w:val="28"/>
          <w:rtl w:val="true"/>
        </w:rPr>
        <w:t>ולנוכח נזקי הרכוש</w:t>
      </w:r>
      <w:r>
        <w:rPr>
          <w:rFonts w:ascii="Century" w:hAnsi="Century" w:cs="Century"/>
          <w:rtl w:val="true"/>
        </w:rPr>
        <w:t xml:space="preserve"> שנגרמו בעקבות ההצתה</w:t>
      </w:r>
      <w:r>
        <w:rPr>
          <w:rFonts w:cs="Century" w:ascii="Century" w:hAnsi="Century"/>
          <w:rtl w:val="true"/>
        </w:rPr>
        <w:t xml:space="preserve">, </w:t>
      </w:r>
      <w:r>
        <w:rPr>
          <w:rFonts w:ascii="Century" w:hAnsi="Century" w:cs="Century"/>
          <w:rtl w:val="true"/>
        </w:rPr>
        <w:t xml:space="preserve">אשר רק במזל לא נסתיימו בפגיעות חמורות יותר </w:t>
      </w:r>
      <w:r>
        <w:rPr>
          <w:rFonts w:ascii="Century" w:hAnsi="Century" w:cs="Century"/>
          <w:rtl w:val="true"/>
        </w:rPr>
        <w:t>–</w:t>
      </w:r>
      <w:r>
        <w:rPr>
          <w:rFonts w:ascii="Century" w:hAnsi="Century" w:cs="Century"/>
          <w:rtl w:val="true"/>
        </w:rPr>
        <w:t xml:space="preserve"> ברכוש</w:t>
      </w:r>
      <w:r>
        <w:rPr>
          <w:rFonts w:cs="Century" w:ascii="Century" w:hAnsi="Century"/>
          <w:rtl w:val="true"/>
        </w:rPr>
        <w:t xml:space="preserve">, </w:t>
      </w:r>
      <w:r>
        <w:rPr>
          <w:rFonts w:ascii="Century" w:hAnsi="Century" w:cs="Century"/>
          <w:rtl w:val="true"/>
        </w:rPr>
        <w:t>בגוף ובנפש</w:t>
      </w:r>
      <w:r>
        <w:rPr>
          <w:rFonts w:cs="Century" w:ascii="Century" w:hAnsi="Century"/>
          <w:rtl w:val="true"/>
        </w:rPr>
        <w:t>.</w:t>
      </w:r>
      <w:r>
        <w:rPr>
          <w:rtl w:val="true"/>
        </w:rPr>
        <w:t xml:space="preserve"> </w:t>
      </w:r>
      <w:r>
        <w:rPr>
          <w:rtl w:val="true"/>
        </w:rPr>
        <w:t>לא מצאנו לפיכך כי נפלה טעות כלשהי במלאכת האיזון</w:t>
      </w:r>
      <w:r>
        <w:rPr>
          <w:rtl w:val="true"/>
        </w:rPr>
        <w:t xml:space="preserve">, </w:t>
      </w:r>
      <w:r>
        <w:rPr>
          <w:rtl w:val="true"/>
        </w:rPr>
        <w:t>או בתוצאה אליה הגיע בית המשפט המחוזי הנכבד</w:t>
      </w:r>
      <w:r>
        <w:rPr>
          <w:rtl w:val="true"/>
        </w:rPr>
        <w:t>.</w:t>
      </w:r>
    </w:p>
    <w:p>
      <w:pPr>
        <w:pStyle w:val="Ruller42"/>
        <w:ind w:end="0"/>
        <w:jc w:val="both"/>
        <w:rPr/>
      </w:pPr>
      <w:r>
        <w:rPr>
          <w:rtl w:val="true"/>
        </w:rPr>
      </w:r>
    </w:p>
    <w:p>
      <w:pPr>
        <w:pStyle w:val="Ruller42"/>
        <w:ind w:end="0"/>
        <w:jc w:val="both"/>
        <w:rPr/>
      </w:pPr>
      <w:r>
        <w:rPr>
          <w:rtl w:val="true"/>
        </w:rPr>
        <w:tab/>
      </w:r>
      <w:r>
        <w:rPr>
          <w:rtl w:val="true"/>
        </w:rPr>
        <w:t>לנוכח</w:t>
      </w:r>
      <w:r>
        <w:rPr>
          <w:rFonts w:eastAsia="Arial TUR;Arial" w:cs="Arial TUR;Arial"/>
          <w:rtl w:val="true"/>
        </w:rPr>
        <w:t xml:space="preserve"> </w:t>
      </w:r>
      <w:r>
        <w:rPr>
          <w:rtl w:val="true"/>
        </w:rPr>
        <w:t>האמור</w:t>
      </w:r>
      <w:r>
        <w:rPr>
          <w:rtl w:val="true"/>
        </w:rPr>
        <w:t xml:space="preserve">, </w:t>
      </w:r>
      <w:r>
        <w:rPr>
          <w:rtl w:val="true"/>
        </w:rPr>
        <w:t>אין</w:t>
      </w:r>
      <w:r>
        <w:rPr>
          <w:rFonts w:eastAsia="Arial TUR;Arial" w:cs="Arial TUR;Arial"/>
          <w:rtl w:val="true"/>
        </w:rPr>
        <w:t xml:space="preserve"> </w:t>
      </w:r>
      <w:r>
        <w:rPr>
          <w:rtl w:val="true"/>
        </w:rPr>
        <w:t>בידינו</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בא</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מצויים</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הנמוך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ההצתה</w:t>
      </w:r>
      <w:r>
        <w:rPr>
          <w:rtl w:val="true"/>
        </w:rPr>
        <w:t xml:space="preserve">, </w:t>
      </w:r>
      <w:r>
        <w:rPr>
          <w:rtl w:val="true"/>
        </w:rPr>
        <w:t>וכי</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הנכבד</w:t>
      </w:r>
      <w:r>
        <w:rPr>
          <w:rtl w:val="true"/>
        </w:rPr>
        <w:t>.</w:t>
      </w:r>
    </w:p>
    <w:p>
      <w:pPr>
        <w:pStyle w:val="Ruller42"/>
        <w:ind w:end="0"/>
        <w:jc w:val="both"/>
        <w:rPr/>
      </w:pPr>
      <w:r>
        <w:rPr>
          <w:rtl w:val="true"/>
        </w:rPr>
      </w:r>
    </w:p>
    <w:p>
      <w:pPr>
        <w:pStyle w:val="Ruller43"/>
        <w:numPr>
          <w:ilvl w:val="0"/>
          <w:numId w:val="1"/>
        </w:numPr>
        <w:ind w:hanging="0" w:start="90" w:end="0"/>
        <w:jc w:val="both"/>
        <w:rPr/>
      </w:pPr>
      <w:r>
        <w:rPr>
          <w:rFonts w:ascii="Franklin Gothic Medium" w:hAnsi="Franklin Gothic Medium" w:cs="Franklin Gothic Medium"/>
          <w:sz w:val="28"/>
          <w:sz w:val="28"/>
          <w:rtl w:val="true"/>
        </w:rPr>
        <w:t xml:space="preserve">בצד האמור לעיל </w:t>
      </w:r>
      <w:r>
        <w:rPr>
          <w:rFonts w:ascii="Franklin Gothic Medium" w:hAnsi="Franklin Gothic Medium" w:cs="Franklin Gothic Medium"/>
          <w:sz w:val="28"/>
          <w:sz w:val="28"/>
          <w:rtl w:val="true"/>
        </w:rPr>
        <w:t>–</w:t>
      </w:r>
      <w:r>
        <w:rPr>
          <w:rFonts w:ascii="Franklin Gothic Medium" w:hAnsi="Franklin Gothic Medium" w:cs="Franklin Gothic Medium"/>
          <w:sz w:val="28"/>
          <w:sz w:val="28"/>
          <w:rtl w:val="true"/>
        </w:rPr>
        <w:t xml:space="preserve"> גם איננו סבורים כי נסיבותיו האישיות של המערער מצדיקות התערבות לקולא בעונש שהושת עליו</w:t>
      </w:r>
      <w:r>
        <w:rPr>
          <w:rFonts w:cs="Franklin Gothic Medium" w:ascii="Franklin Gothic Medium" w:hAnsi="Franklin Gothic Medium"/>
          <w:sz w:val="28"/>
          <w:rtl w:val="true"/>
        </w:rPr>
        <w:t xml:space="preserve">, </w:t>
      </w:r>
      <w:r>
        <w:rPr>
          <w:rFonts w:ascii="Franklin Gothic Medium" w:hAnsi="Franklin Gothic Medium" w:cs="Franklin Gothic Medium"/>
          <w:sz w:val="28"/>
          <w:sz w:val="28"/>
          <w:rtl w:val="true"/>
        </w:rPr>
        <w:t>שהיה בקצה טווח הענישה עליו הוסכם בין הצדדים</w:t>
      </w:r>
      <w:r>
        <w:rPr>
          <w:rFonts w:cs="Franklin Gothic Medium" w:ascii="Franklin Gothic Medium" w:hAnsi="Franklin Gothic Medium"/>
          <w:sz w:val="28"/>
          <w:rtl w:val="true"/>
        </w:rPr>
        <w:t xml:space="preserve">, </w:t>
      </w:r>
      <w:r>
        <w:rPr>
          <w:rFonts w:ascii="Franklin Gothic Medium" w:hAnsi="Franklin Gothic Medium" w:cs="Franklin Gothic Medium"/>
          <w:sz w:val="28"/>
          <w:sz w:val="28"/>
          <w:rtl w:val="true"/>
        </w:rPr>
        <w:t xml:space="preserve">כך שהמערער נטל </w:t>
      </w:r>
      <w:r>
        <w:rPr>
          <w:rFonts w:cs="Franklin Gothic Medium" w:ascii="Franklin Gothic Medium" w:hAnsi="Franklin Gothic Medium"/>
          <w:sz w:val="28"/>
          <w:rtl w:val="true"/>
        </w:rPr>
        <w:t>"</w:t>
      </w:r>
      <w:r>
        <w:rPr>
          <w:rFonts w:ascii="Franklin Gothic Medium" w:hAnsi="Franklin Gothic Medium" w:cs="Franklin Gothic Medium"/>
          <w:sz w:val="28"/>
          <w:sz w:val="28"/>
          <w:rtl w:val="true"/>
        </w:rPr>
        <w:t>סיכון</w:t>
      </w:r>
      <w:r>
        <w:rPr>
          <w:rFonts w:cs="Franklin Gothic Medium" w:ascii="Franklin Gothic Medium" w:hAnsi="Franklin Gothic Medium"/>
          <w:sz w:val="28"/>
          <w:rtl w:val="true"/>
        </w:rPr>
        <w:t xml:space="preserve">" </w:t>
      </w:r>
      <w:r>
        <w:rPr>
          <w:rFonts w:ascii="Franklin Gothic Medium" w:hAnsi="Franklin Gothic Medium" w:cs="Franklin Gothic Medium"/>
          <w:sz w:val="28"/>
          <w:sz w:val="28"/>
          <w:rtl w:val="true"/>
        </w:rPr>
        <w:t>זה על עצמו</w:t>
      </w:r>
      <w:r>
        <w:rPr>
          <w:rFonts w:cs="Franklin Gothic Medium" w:ascii="Franklin Gothic Medium" w:hAnsi="Franklin Gothic Medium"/>
          <w:sz w:val="28"/>
          <w:rtl w:val="true"/>
        </w:rPr>
        <w:t>.</w:t>
      </w:r>
    </w:p>
    <w:p>
      <w:pPr>
        <w:pStyle w:val="Ruller43"/>
        <w:tabs>
          <w:tab w:val="clear" w:pos="1191"/>
          <w:tab w:val="left" w:pos="800" w:leader="none"/>
        </w:tabs>
        <w:ind w:start="90" w:end="0"/>
        <w:jc w:val="both"/>
        <w:rPr>
          <w:rFonts w:ascii="Franklin Gothic Medium" w:hAnsi="Franklin Gothic Medium" w:cs="Franklin Gothic Medium"/>
          <w:sz w:val="28"/>
        </w:rPr>
      </w:pPr>
      <w:r>
        <w:rPr>
          <w:rFonts w:cs="Franklin Gothic Medium" w:ascii="Franklin Gothic Medium" w:hAnsi="Franklin Gothic Medium"/>
          <w:sz w:val="28"/>
          <w:rtl w:val="true"/>
        </w:rPr>
      </w:r>
    </w:p>
    <w:p>
      <w:pPr>
        <w:pStyle w:val="Ruller43"/>
        <w:numPr>
          <w:ilvl w:val="0"/>
          <w:numId w:val="1"/>
        </w:numPr>
        <w:ind w:hanging="0" w:start="90" w:end="0"/>
        <w:jc w:val="both"/>
        <w:rPr>
          <w:sz w:val="22"/>
        </w:rPr>
      </w:pPr>
      <w:r>
        <w:rPr>
          <w:sz w:val="22"/>
          <w:sz w:val="22"/>
          <w:rtl w:val="true"/>
        </w:rPr>
        <w:t>בסופו של דבר</w:t>
      </w:r>
      <w:r>
        <w:rPr>
          <w:sz w:val="22"/>
          <w:rtl w:val="true"/>
        </w:rPr>
        <w:t>,</w:t>
      </w:r>
      <w:r>
        <w:rPr>
          <w:rFonts w:cs="Franklin Gothic Medium" w:ascii="Franklin Gothic Medium" w:hAnsi="Franklin Gothic Medium"/>
          <w:sz w:val="28"/>
          <w:rtl w:val="true"/>
        </w:rPr>
        <w:t xml:space="preserve"> </w:t>
      </w:r>
      <w:r>
        <w:rPr>
          <w:rFonts w:ascii="Franklin Gothic Medium" w:hAnsi="Franklin Gothic Medium" w:cs="Franklin Gothic Medium"/>
          <w:sz w:val="28"/>
          <w:sz w:val="28"/>
          <w:rtl w:val="true"/>
        </w:rPr>
        <w:t>וכפי שפורט לעיל</w:t>
      </w:r>
      <w:r>
        <w:rPr>
          <w:rFonts w:cs="Franklin Gothic Medium" w:ascii="Franklin Gothic Medium" w:hAnsi="Franklin Gothic Medium"/>
          <w:sz w:val="28"/>
          <w:rtl w:val="true"/>
        </w:rPr>
        <w:t xml:space="preserve">, </w:t>
      </w:r>
      <w:r>
        <w:rPr>
          <w:sz w:val="22"/>
          <w:sz w:val="22"/>
          <w:rtl w:val="true"/>
        </w:rPr>
        <w:t>נסיבות חייו ועברו של המערער נלקחו בחשבון בעת מתן גזר הדין</w:t>
      </w:r>
      <w:r>
        <w:rPr>
          <w:sz w:val="22"/>
          <w:rtl w:val="true"/>
        </w:rPr>
        <w:t xml:space="preserve">, </w:t>
      </w:r>
      <w:r>
        <w:rPr>
          <w:sz w:val="22"/>
          <w:sz w:val="22"/>
          <w:rtl w:val="true"/>
        </w:rPr>
        <w:t>והן באו לידי ביטוי במסגרת העונש</w:t>
      </w:r>
      <w:r>
        <w:rPr>
          <w:sz w:val="22"/>
          <w:rtl w:val="true"/>
        </w:rPr>
        <w:t xml:space="preserve">, </w:t>
      </w:r>
      <w:r>
        <w:rPr>
          <w:sz w:val="22"/>
          <w:sz w:val="22"/>
          <w:rtl w:val="true"/>
        </w:rPr>
        <w:t xml:space="preserve">אשר נמצא כאמור בסף התחתון של מתחם הענישה וברף העליון של טווח הענישה המוסכם </w:t>
      </w:r>
      <w:r>
        <w:rPr>
          <w:sz w:val="22"/>
          <w:rtl w:val="true"/>
        </w:rPr>
        <w:t>(</w:t>
      </w:r>
      <w:r>
        <w:rPr>
          <w:sz w:val="22"/>
          <w:sz w:val="22"/>
          <w:rtl w:val="true"/>
        </w:rPr>
        <w:t>בכך בית המשפט המחוזי הנכבד ביטא למעשה את דעתו שטווח הענישה שהוסכם היה מתון יחסית</w:t>
      </w:r>
      <w:r>
        <w:rPr>
          <w:sz w:val="22"/>
          <w:rtl w:val="true"/>
        </w:rPr>
        <w:t xml:space="preserve">). </w:t>
      </w:r>
      <w:r>
        <w:rPr>
          <w:sz w:val="22"/>
          <w:sz w:val="22"/>
          <w:rtl w:val="true"/>
        </w:rPr>
        <w:t>במסגרת זו בית המשפט המחוזי הנכבד אף התחשב בגילו הצעיר של המערער</w:t>
      </w:r>
      <w:r>
        <w:rPr>
          <w:sz w:val="22"/>
          <w:rtl w:val="true"/>
        </w:rPr>
        <w:t xml:space="preserve">, </w:t>
      </w:r>
      <w:r>
        <w:rPr>
          <w:sz w:val="22"/>
          <w:sz w:val="22"/>
          <w:rtl w:val="true"/>
        </w:rPr>
        <w:t>בעברו הפלילי הנקי</w:t>
      </w:r>
      <w:r>
        <w:rPr>
          <w:sz w:val="22"/>
          <w:rtl w:val="true"/>
        </w:rPr>
        <w:t xml:space="preserve">, </w:t>
      </w:r>
      <w:r>
        <w:rPr>
          <w:sz w:val="22"/>
          <w:sz w:val="22"/>
          <w:rtl w:val="true"/>
        </w:rPr>
        <w:t>בהודאתו בעובדות כתב האישום המתוקן וכן בתסקיר שירות המבחן</w:t>
      </w:r>
      <w:r>
        <w:rPr>
          <w:sz w:val="22"/>
          <w:rtl w:val="true"/>
        </w:rPr>
        <w:t xml:space="preserve">, </w:t>
      </w:r>
      <w:r>
        <w:rPr>
          <w:sz w:val="22"/>
          <w:sz w:val="22"/>
          <w:rtl w:val="true"/>
        </w:rPr>
        <w:t>שאילולא כן יתכן והיה חורג מהסדר הטיעון</w:t>
      </w:r>
      <w:r>
        <w:rPr>
          <w:sz w:val="22"/>
          <w:rtl w:val="true"/>
        </w:rPr>
        <w:t>.</w:t>
      </w:r>
    </w:p>
    <w:p>
      <w:pPr>
        <w:pStyle w:val="Ruller42"/>
        <w:ind w:end="0"/>
        <w:jc w:val="both"/>
        <w:rPr>
          <w:sz w:val="22"/>
        </w:rPr>
      </w:pPr>
      <w:r>
        <w:rPr>
          <w:sz w:val="22"/>
          <w:rtl w:val="true"/>
        </w:rPr>
      </w:r>
    </w:p>
    <w:p>
      <w:pPr>
        <w:pStyle w:val="Ruller43"/>
        <w:numPr>
          <w:ilvl w:val="0"/>
          <w:numId w:val="1"/>
        </w:numPr>
        <w:ind w:hanging="0" w:start="90" w:end="0"/>
        <w:jc w:val="both"/>
        <w:rPr/>
      </w:pPr>
      <w:r>
        <w:rPr>
          <w:rFonts w:ascii="Times New Roman" w:hAnsi="Times New Roman" w:cs="Miriam"/>
          <w:spacing w:val="0"/>
          <w:sz w:val="28"/>
          <w:sz w:val="28"/>
          <w:szCs w:val="24"/>
          <w:rtl w:val="true"/>
        </w:rPr>
        <w:t>סוף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w:t>
      </w:r>
      <w:r>
        <w:rPr>
          <w:sz w:val="22"/>
          <w:rtl w:val="true"/>
        </w:rPr>
        <w:t xml:space="preserve">: </w:t>
      </w:r>
      <w:r>
        <w:rPr>
          <w:sz w:val="22"/>
          <w:sz w:val="22"/>
          <w:rtl w:val="true"/>
        </w:rPr>
        <w:t>נוכח כל האמור לעיל – לא ראינו להתערב בגזר הדין שהושת על המערער על ידי בית המשפט הנכבד קמא</w:t>
      </w:r>
      <w:r>
        <w:rPr>
          <w:sz w:val="22"/>
          <w:rtl w:val="true"/>
        </w:rPr>
        <w:t xml:space="preserve">. </w:t>
      </w:r>
      <w:r>
        <w:rPr>
          <w:rFonts w:ascii="Times New Roman" w:hAnsi="Times New Roman" w:cs="Miriam"/>
          <w:spacing w:val="0"/>
          <w:sz w:val="28"/>
          <w:sz w:val="28"/>
          <w:szCs w:val="24"/>
          <w:rtl w:val="true"/>
        </w:rPr>
        <w:t>לפיכך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נדחה</w:t>
      </w:r>
      <w:r>
        <w:rPr>
          <w:sz w:val="22"/>
          <w:rtl w:val="true"/>
        </w:rPr>
        <w:t>.</w:t>
      </w:r>
    </w:p>
    <w:p>
      <w:pPr>
        <w:pStyle w:val="Ruller42"/>
        <w:ind w:end="0"/>
        <w:jc w:val="both"/>
        <w:rPr/>
      </w:pPr>
      <w:r>
        <w:rPr>
          <w:rtl w:val="true"/>
        </w:rPr>
      </w:r>
    </w:p>
    <w:p>
      <w:pPr>
        <w:pStyle w:val="Ruller42"/>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center"/>
              <w:rPr/>
            </w:pPr>
            <w:r>
              <w:rPr>
                <w:rtl w:val="true"/>
              </w:rPr>
            </w:r>
          </w:p>
        </w:tc>
        <w:tc>
          <w:tcPr>
            <w:tcW w:w="2843" w:type="dxa"/>
            <w:tcBorders/>
          </w:tcPr>
          <w:p>
            <w:pPr>
              <w:pStyle w:val="Ruller42"/>
              <w:ind w:end="0"/>
              <w:jc w:val="center"/>
              <w:rPr/>
            </w:pPr>
            <w:r>
              <w:rPr>
                <w:rtl w:val="true"/>
              </w:rPr>
              <w:t>המשנה</w:t>
            </w:r>
            <w:r>
              <w:rPr>
                <w:rFonts w:eastAsia="Arial TUR;Arial" w:cs="Arial TUR;Arial"/>
                <w:rtl w:val="true"/>
              </w:rPr>
              <w:t xml:space="preserve"> </w:t>
            </w:r>
            <w:r>
              <w:rPr>
                <w:rtl w:val="true"/>
              </w:rPr>
              <w:t>לנשיאה</w:t>
            </w:r>
          </w:p>
        </w:tc>
      </w:tr>
    </w:tbl>
    <w:p>
      <w:pPr>
        <w:pStyle w:val="Ruller42"/>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הנני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מסקנת</w:t>
      </w:r>
      <w:r>
        <w:rPr>
          <w:rFonts w:eastAsia="Arial TUR;Arial" w:cs="Arial TUR;Arial"/>
          <w:rtl w:val="true"/>
        </w:rPr>
        <w:t xml:space="preserve"> </w:t>
      </w:r>
      <w:r>
        <w:rPr>
          <w:rtl w:val="true"/>
        </w:rPr>
        <w:t>חברי</w:t>
      </w:r>
      <w:r>
        <w:rPr>
          <w:rtl w:val="true"/>
        </w:rPr>
        <w:t xml:space="preserve">, </w:t>
      </w:r>
      <w:r>
        <w:rPr>
          <w:rtl w:val="true"/>
        </w:rPr>
        <w:t>המשנה</w:t>
      </w:r>
      <w:r>
        <w:rPr>
          <w:rFonts w:eastAsia="Arial TUR;Arial" w:cs="Arial TUR;Arial"/>
          <w:rtl w:val="true"/>
        </w:rPr>
        <w:t xml:space="preserve"> </w:t>
      </w:r>
      <w:r>
        <w:rPr>
          <w:rtl w:val="true"/>
        </w:rPr>
        <w:t>לנשיאה</w:t>
      </w:r>
      <w:r>
        <w:rPr>
          <w:rtl w:val="true"/>
        </w:rPr>
        <w:t xml:space="preserve">, </w:t>
      </w:r>
      <w:r>
        <w:rPr>
          <w:rtl w:val="true"/>
        </w:rPr>
        <w:t>כי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להידחות</w:t>
      </w:r>
      <w:r>
        <w:rPr>
          <w:rtl w:val="true"/>
        </w:rPr>
        <w:t xml:space="preserve">. </w:t>
      </w:r>
      <w:r>
        <w:rPr>
          <w:rtl w:val="true"/>
        </w:rPr>
        <w:t>לתוצאה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הגעתי</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הנסיבות</w:t>
      </w:r>
      <w:r>
        <w:rPr>
          <w:rtl w:val="true"/>
        </w:rPr>
        <w:t xml:space="preserve">, </w:t>
      </w:r>
      <w:r>
        <w:rPr>
          <w:rtl w:val="true"/>
        </w:rPr>
        <w:t>בחינת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והעושה</w:t>
      </w:r>
      <w:r>
        <w:rPr>
          <w:rtl w:val="true"/>
        </w:rPr>
        <w:t xml:space="preserve">, </w:t>
      </w:r>
      <w:r>
        <w:rPr>
          <w:rtl w:val="true"/>
        </w:rPr>
        <w:t>והסדר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שאליו</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הצדדים</w:t>
      </w:r>
      <w:r>
        <w:rPr>
          <w:rtl w:val="true"/>
        </w:rPr>
        <w:t>.</w:t>
      </w:r>
    </w:p>
    <w:p>
      <w:pPr>
        <w:pStyle w:val="Ruller42"/>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center"/>
              <w:rPr/>
            </w:pPr>
            <w:r>
              <w:rPr>
                <w:rtl w:val="true"/>
              </w:rPr>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2"/>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center"/>
              <w:rPr/>
            </w:pPr>
            <w:r>
              <w:rPr>
                <w:rtl w:val="true"/>
              </w:rPr>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tl w:val="true"/>
        </w:rPr>
      </w:r>
    </w:p>
    <w:p>
      <w:pPr>
        <w:pStyle w:val="Ruller42"/>
        <w:ind w:end="0"/>
        <w:jc w:val="both"/>
        <w:rPr>
          <w:rFonts w:ascii="Times New Roman" w:hAnsi="Times New Roman" w:cs="Times New Roman"/>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Fonts w:ascii="Times New Roman" w:hAnsi="Times New Roman" w:cs="Times New Roman"/>
          <w:rtl w:val="true"/>
        </w:rPr>
        <w:t xml:space="preserve">המשנה לנשיאה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מלצר</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pPr>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ז</w:t>
      </w:r>
      <w:r>
        <w:rPr>
          <w:rFonts w:eastAsia="Arial TUR;Arial" w:cs="Arial TUR;Arial"/>
          <w:rtl w:val="true"/>
        </w:rPr>
        <w:t xml:space="preserve"> </w:t>
      </w:r>
      <w:r>
        <w:rPr>
          <w:rtl w:val="true"/>
        </w:rPr>
        <w:t>באב</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08.08.2018</w:t>
      </w:r>
      <w:r>
        <w:rPr>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both"/>
              <w:rPr/>
            </w:pPr>
            <w:r>
              <w:rPr>
                <w:color w:val="FFFFFF"/>
                <w:sz w:val="2"/>
                <w:szCs w:val="2"/>
              </w:rPr>
              <w:t>54678313</w:t>
            </w:r>
            <w:r>
              <w:rPr>
                <w:rtl w:val="true"/>
              </w:rPr>
              <w:t>המשנה</w:t>
            </w:r>
            <w:r>
              <w:rPr>
                <w:rFonts w:eastAsia="Arial TUR;Arial" w:cs="Arial TUR;Arial"/>
                <w:rtl w:val="true"/>
              </w:rPr>
              <w:t xml:space="preserve"> </w:t>
            </w:r>
            <w:r>
              <w:rPr>
                <w:rtl w:val="true"/>
              </w:rPr>
              <w:t>לנשיאה</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18027450</w:t>
      </w:r>
      <w:r>
        <w:rPr>
          <w:sz w:val="16"/>
          <w:rtl w:val="true"/>
        </w:rPr>
        <w:t>_</w:t>
      </w:r>
      <w:r>
        <w:rPr>
          <w:sz w:val="16"/>
        </w:rPr>
        <w:t>K04.doc</w:t>
      </w:r>
      <w:r>
        <w:rPr>
          <w:sz w:val="16"/>
          <w:rtl w:val="true"/>
        </w:rPr>
        <w:t xml:space="preserve">   </w:t>
      </w:r>
      <w:r>
        <w:rPr>
          <w:sz w:val="16"/>
          <w:sz w:val="16"/>
          <w:rtl w:val="true"/>
        </w:rPr>
        <w:t>א</w:t>
      </w:r>
      <w:r>
        <w:rPr>
          <w:sz w:val="16"/>
          <w:sz w:val="16"/>
          <w:rtl w:val="true"/>
        </w:rPr>
        <w:t>ד</w:t>
      </w:r>
      <w:r>
        <w:rPr>
          <w:sz w:val="16"/>
          <w:sz w:val="16"/>
          <w:rtl w:val="true"/>
        </w:rPr>
        <w:t>ר</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0">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54678313-2745/18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2"/>
      <w:footerReference w:type="default" r:id="rId2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FrankRuehl">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Franklin Gothic Medium">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2745/18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באסל אבו שארב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36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Century" w:hAnsi="Century" w:cs="FrankRuehl"/>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lang w:bidi="he-IL"/>
    </w:rPr>
  </w:style>
  <w:style w:type="character" w:styleId="WW8Num14z0">
    <w:name w:val="WW8Num14z0"/>
    <w:qFormat/>
    <w:rPr>
      <w:rFonts w:ascii="FrankRuehl" w:hAnsi="FrankRuehl" w:cs="FrankRuehl"/>
      <w:sz w:val="28"/>
      <w:szCs w:val="28"/>
    </w:rPr>
  </w:style>
  <w:style w:type="character" w:styleId="WW8Num14z1">
    <w:name w:val="WW8Num14z1"/>
    <w:qFormat/>
    <w:rPr>
      <w:rFonts w:ascii="Times New Roman" w:hAnsi="Times New Roman" w:cs="FrankRuehl"/>
      <w:b w:val="false"/>
      <w:bCs w:val="false"/>
      <w:i w:val="false"/>
      <w:iCs w:val="false"/>
      <w:caps w:val="false"/>
      <w:smallCaps w:val="false"/>
      <w:strike w:val="false"/>
      <w:dstrike w:val="false"/>
      <w:vanish w:val="false"/>
      <w:color w:val="000000"/>
      <w:spacing w:val="10"/>
      <w:w w:val="100"/>
      <w:kern w:val="0"/>
      <w:position w:val="0"/>
      <w:sz w:val="22"/>
      <w:sz w:val="22"/>
      <w:szCs w:val="28"/>
      <w:u w:val="none" w:color="000000"/>
      <w:vertAlign w:val="baseline"/>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Ruller41">
    <w:name w:val="Ruller 4 ממוספר תו"/>
    <w:qFormat/>
    <w:rPr>
      <w:rFonts w:ascii="Garamond" w:hAnsi="Garamond" w:cs="FrankRuehl"/>
      <w:spacing w:val="10"/>
      <w:sz w:val="24"/>
      <w:szCs w:val="28"/>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3">
    <w:name w:val="Ruller 4 ממוספר"/>
    <w:basedOn w:val="Ruller42"/>
    <w:next w:val="Ruller42"/>
    <w:qFormat/>
    <w:pPr>
      <w:tabs>
        <w:tab w:val="left" w:pos="800" w:leader="none"/>
        <w:tab w:val="left" w:pos="1191" w:leader="none"/>
      </w:tabs>
      <w:ind w:hanging="0" w:start="284" w:end="0"/>
      <w:jc w:val="both"/>
      <w:textAlignment w:val="auto"/>
    </w:pPr>
    <w:rPr>
      <w:rFonts w:ascii="Garamond" w:hAnsi="Garamond"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55786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448.a" TargetMode="External"/><Relationship Id="rId5" Type="http://schemas.openxmlformats.org/officeDocument/2006/relationships/hyperlink" Target="http://www.nevo.co.il/law/70301/448.a" TargetMode="External"/><Relationship Id="rId6" Type="http://schemas.openxmlformats.org/officeDocument/2006/relationships/hyperlink" Target="http://www.nevo.co.il/law/70301" TargetMode="External"/><Relationship Id="rId7" Type="http://schemas.openxmlformats.org/officeDocument/2006/relationships/hyperlink" Target="http://www.nevo.co.il/case/22275578" TargetMode="External"/><Relationship Id="rId8" Type="http://schemas.openxmlformats.org/officeDocument/2006/relationships/hyperlink" Target="http://www.nevo.co.il/case/20911380" TargetMode="External"/><Relationship Id="rId9" Type="http://schemas.openxmlformats.org/officeDocument/2006/relationships/hyperlink" Target="http://www.nevo.co.il/case/5569233" TargetMode="External"/><Relationship Id="rId10" Type="http://schemas.openxmlformats.org/officeDocument/2006/relationships/hyperlink" Target="http://www.nevo.co.il/case/18090623" TargetMode="External"/><Relationship Id="rId11" Type="http://schemas.openxmlformats.org/officeDocument/2006/relationships/hyperlink" Target="http://www.nevo.co.il/case/7029339"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6959068" TargetMode="External"/><Relationship Id="rId14" Type="http://schemas.openxmlformats.org/officeDocument/2006/relationships/hyperlink" Target="http://www.nevo.co.il/case/5845414" TargetMode="External"/><Relationship Id="rId15" Type="http://schemas.openxmlformats.org/officeDocument/2006/relationships/hyperlink" Target="http://www.nevo.co.il/case/5882592" TargetMode="External"/><Relationship Id="rId16" Type="http://schemas.openxmlformats.org/officeDocument/2006/relationships/hyperlink" Target="http://www.nevo.co.il/case/6146906" TargetMode="External"/><Relationship Id="rId17" Type="http://schemas.openxmlformats.org/officeDocument/2006/relationships/hyperlink" Target="http://www.nevo.co.il/case/5594657" TargetMode="External"/><Relationship Id="rId18" Type="http://schemas.openxmlformats.org/officeDocument/2006/relationships/hyperlink" Target="http://www.nevo.co.il/case/11309013" TargetMode="External"/><Relationship Id="rId19" Type="http://schemas.openxmlformats.org/officeDocument/2006/relationships/hyperlink" Target="http://www.nevo.co.il/case/13077164" TargetMode="External"/><Relationship Id="rId20" Type="http://schemas.openxmlformats.org/officeDocument/2006/relationships/hyperlink" Target="https://supreme.court.gov.il/" TargetMode="External"/><Relationship Id="rId21" Type="http://schemas.openxmlformats.org/officeDocument/2006/relationships/hyperlink" Target="http://www.nevo.co.il/advertisements/nevo-100.do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2018-08-09T06:54:00Z</dcterms:created>
  <dc:creator> </dc:creator>
  <dc:description/>
  <cp:keywords/>
  <dc:language>en-IL</dc:language>
  <cp:lastModifiedBy>orly</cp:lastModifiedBy>
  <cp:lastPrinted>2018-08-02T15:13:00Z</cp:lastPrinted>
  <dcterms:modified xsi:type="dcterms:W3CDTF">2018-08-09T06:54:00Z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באסל אבו שארב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21557869;22275578;20911380;5569233;18090623;7029339;6959068;5845414;5882592;6146906;5594657;11309013;13077164</vt:lpwstr>
  </property>
  <property fmtid="{D5CDD505-2E9C-101B-9397-08002B2CF9AE}" pid="9" name="CITY">
    <vt:lpwstr/>
  </property>
  <property fmtid="{D5CDD505-2E9C-101B-9397-08002B2CF9AE}" pid="10" name="DATE">
    <vt:lpwstr>20180808</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הנדל;ג' קרא;ח' מלצר</vt:lpwstr>
  </property>
  <property fmtid="{D5CDD505-2E9C-101B-9397-08002B2CF9AE}" pid="14" name="LAWLISTTMP1">
    <vt:lpwstr>70301/448.a</vt:lpwstr>
  </property>
  <property fmtid="{D5CDD505-2E9C-101B-9397-08002B2CF9AE}" pid="15" name="LAWYER">
    <vt:lpwstr>חיים שוויצר;יוסי זילברברג;עמרי שטרן;ברכה וייס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דיון פלילי</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18;77;77;77</vt:lpwstr>
  </property>
  <property fmtid="{D5CDD505-2E9C-101B-9397-08002B2CF9AE}" pid="37" name="NOSE21">
    <vt:lpwstr>הסדר טיעון</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461;1446;1446;1446</vt:lpwstr>
  </property>
  <property fmtid="{D5CDD505-2E9C-101B-9397-08002B2CF9AE}" pid="48" name="NOSE31">
    <vt:lpwstr>טווח ענישה מוסכם</vt:lpwstr>
  </property>
  <property fmtid="{D5CDD505-2E9C-101B-9397-08002B2CF9AE}" pid="49" name="NOSE310">
    <vt:lpwstr/>
  </property>
  <property fmtid="{D5CDD505-2E9C-101B-9397-08002B2CF9AE}" pid="50" name="NOSE32">
    <vt:lpwstr>מתחם הענישה</vt:lpwstr>
  </property>
  <property fmtid="{D5CDD505-2E9C-101B-9397-08002B2CF9AE}" pid="51" name="NOSE33">
    <vt:lpwstr>מדיניות ענישה: הצתה</vt:lpwstr>
  </property>
  <property fmtid="{D5CDD505-2E9C-101B-9397-08002B2CF9AE}" pid="52" name="NOSE34">
    <vt:lpwstr>התערבות ערכאת הערעור</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15483;14985;15357;8978</vt:lpwstr>
  </property>
  <property fmtid="{D5CDD505-2E9C-101B-9397-08002B2CF9AE}" pid="59" name="PADIDATE">
    <vt:lpwstr>20180809</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2745</vt:lpwstr>
  </property>
  <property fmtid="{D5CDD505-2E9C-101B-9397-08002B2CF9AE}" pid="65" name="PROCYEAR">
    <vt:lpwstr>18</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410120180808</vt:lpwstr>
  </property>
  <property fmtid="{D5CDD505-2E9C-101B-9397-08002B2CF9AE}" pid="69" name="TYPE_N_DATE">
    <vt:lpwstr>41020180808</vt:lpwstr>
  </property>
  <property fmtid="{D5CDD505-2E9C-101B-9397-08002B2CF9AE}" pid="70" name="VOLUME">
    <vt:lpwstr/>
  </property>
  <property fmtid="{D5CDD505-2E9C-101B-9397-08002B2CF9AE}" pid="71" name="WORDNUMPAGES">
    <vt:lpwstr>9</vt:lpwstr>
  </property>
</Properties>
</file>