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2748/18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חבושה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טופף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1.4.2018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64710-02-18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304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64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שדחתה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לתעבורה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גבוהים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מצטרפת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מתקיימים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מיוחדים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דיון פלילי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עונש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עיכוב ביצוע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דיון פלילי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עיכוב ביצוע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לתעבורה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ברשלנות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הוגשה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עיכוב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יבוצע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בסמוך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בהגשת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לעיכוב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עיכוב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יינתן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מיוחדות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המתבטא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באכיפה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מידית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להכרעה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עיכוב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וסיכויי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הצלחתו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והתנהגות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חלוף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תחילת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תהווה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לדחיית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ויידרשו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מיוחדים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יישום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הלכות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מוביל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הפסקת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להכרעה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ארוך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שעשויה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התומך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בעיכוב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להכרעה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למנוע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ייבחן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להקנות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מכריע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עיכוב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גבוהים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מופנות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לתעבורה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מדרכה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לתעבורה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נמוכים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הנמוכים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מצטרפת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מתקיימים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spacing w:val="0"/>
          <w:sz w:val="24"/>
          <w:sz w:val="24"/>
          <w:szCs w:val="26"/>
          <w:rtl w:val="true"/>
        </w:rPr>
        <w:t>הטענה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כנגד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החלטת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לעכב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לקיום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בבקשה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לעיכוב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נדחתה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בהליך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העיקרי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והבקשה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לעיכוב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הוגשו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בלבד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מועד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ההתייצבות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להגשת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בקשות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'</w:t>
      </w:r>
      <w:r>
        <w:rPr>
          <w:spacing w:val="0"/>
          <w:sz w:val="24"/>
          <w:sz w:val="24"/>
          <w:szCs w:val="26"/>
          <w:rtl w:val="true"/>
        </w:rPr>
        <w:t>בדקה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התשעים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קוצר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הזמן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להביא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לעיכוב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spacing w:val="0"/>
          <w:sz w:val="24"/>
          <w:szCs w:val="26"/>
          <w:rtl w:val="true"/>
        </w:rPr>
        <w:t>.</w:t>
      </w:r>
      <w:bookmarkStart w:id="7" w:name="ABSTRACT_END"/>
      <w:bookmarkEnd w:id="7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Start w:id="11" w:name="LawTable_End"/>
            <w:bookmarkEnd w:id="8"/>
            <w:bookmarkEnd w:id="9"/>
            <w:bookmarkEnd w:id="10"/>
            <w:bookmarkEnd w:id="11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bookmarkStart w:id="12" w:name="Writer_Name"/>
      <w:bookmarkEnd w:id="12"/>
      <w:r>
        <w:rPr>
          <w:rtl w:val="true"/>
        </w:rPr>
        <w:tab/>
      </w:r>
      <w:r>
        <w:rPr>
          <w:rtl w:val="true"/>
        </w:rPr>
        <w:t>לפנַי ערעור על החלטתו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64710-02-18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1.4.2018</w:t>
      </w:r>
      <w:r>
        <w:rPr>
          <w:rtl w:val="true"/>
        </w:rPr>
        <w:t xml:space="preserve">, </w:t>
      </w:r>
      <w:r>
        <w:rPr>
          <w:rtl w:val="true"/>
        </w:rPr>
        <w:t>במסגרתה נדחתה בקשת המערער לעכב את ביצוע עונש המאסר שנגזר עליו על ידי בית משפט השלום לתעבורה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האוזרמן</w:t>
      </w:r>
      <w:r>
        <w:rPr>
          <w:rtl w:val="true"/>
        </w:rPr>
        <w:t xml:space="preserve">) </w:t>
      </w:r>
      <w:r>
        <w:rPr>
          <w:rtl w:val="true"/>
        </w:rPr>
        <w:t xml:space="preserve">ביום </w:t>
      </w:r>
      <w:r>
        <w:rPr/>
        <w:t>28.1.2018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גמ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7588-05-16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נגד המערער הוגש כתב אישום לבית משפט השלום לתעבורה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לתעבורה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אשר ייחס לו את ביצוע העבירות הבאות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גרימת מוות ברשלנות לפי </w:t>
      </w:r>
      <w:hyperlink r:id="rId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304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בשילוב 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16"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התעבורה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התשכ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1961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התעבורה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ונהיגה בקלות ראש שגרמה לחבלה של ממש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62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19"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38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לפקודת התעבורה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מעובדות כתב האישום עולה כי ביום </w:t>
      </w:r>
      <w:r>
        <w:rPr/>
        <w:t>27.2.2016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06:30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 xml:space="preserve">נהג המערער ברכב פרטי מסוג </w:t>
      </w:r>
      <w:r>
        <w:rPr>
          <w:rtl w:val="true"/>
        </w:rPr>
        <w:t>"</w:t>
      </w:r>
      <w:r>
        <w:rPr>
          <w:rtl w:val="true"/>
        </w:rPr>
        <w:t>יונדאי</w:t>
      </w:r>
      <w:r>
        <w:rPr>
          <w:rtl w:val="true"/>
        </w:rPr>
        <w:t xml:space="preserve">" </w:t>
      </w:r>
      <w:r>
        <w:rPr>
          <w:rtl w:val="true"/>
        </w:rPr>
        <w:t>בכביש מס</w:t>
      </w:r>
      <w:r>
        <w:rPr>
          <w:rtl w:val="true"/>
        </w:rPr>
        <w:t xml:space="preserve">' </w:t>
      </w:r>
      <w:r>
        <w:rPr/>
        <w:t>471</w:t>
      </w:r>
      <w:r>
        <w:rPr>
          <w:rtl w:val="true"/>
        </w:rPr>
        <w:t xml:space="preserve"> </w:t>
      </w:r>
      <w:r>
        <w:rPr>
          <w:rtl w:val="true"/>
        </w:rPr>
        <w:t xml:space="preserve">מכיוון מערב לכיוון מזרח והגיע לצומת בו מצטלבות דרך קרן היסוד ודרך אהרן קציר עם כביש </w:t>
      </w:r>
      <w:r>
        <w:rPr/>
        <w:t>471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הצומת</w:t>
      </w:r>
      <w:r>
        <w:rPr>
          <w:rtl w:val="true"/>
        </w:rPr>
        <w:t xml:space="preserve">). </w:t>
      </w:r>
      <w:r>
        <w:rPr>
          <w:rtl w:val="true"/>
        </w:rPr>
        <w:t>באותה עת נסעו בני הזוג לי שלום</w:t>
      </w:r>
      <w:r>
        <w:rPr>
          <w:rtl w:val="true"/>
        </w:rPr>
        <w:t>-</w:t>
      </w:r>
      <w:r>
        <w:rPr>
          <w:rtl w:val="true"/>
        </w:rPr>
        <w:t xml:space="preserve">הירשברג ויונתן הירשברג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יונתן</w:t>
      </w:r>
      <w:r>
        <w:rPr>
          <w:rFonts w:ascii="Century" w:hAnsi="Century" w:cs="Century"/>
          <w:sz w:val="22"/>
          <w:sz w:val="22"/>
          <w:rtl w:val="true"/>
        </w:rPr>
        <w:t xml:space="preserve"> בהתאמה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וביחד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הזוג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במכונית פרטית מסוג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הונדה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בדרך קרן היסוד מכיוון צפון לכיוון דרום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ונכנסו לצומת האמור בעת שאור ירוק דלק ברמזור בכיוון נסיעתם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לי הייתה בשבוע ה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להריונה ובני הזוג היו בדרכם אל בית החולים תל השומר במטרה ללדת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הנטען בכתב האישום</w:t>
      </w:r>
      <w:r>
        <w:rPr>
          <w:rtl w:val="true"/>
        </w:rPr>
        <w:t xml:space="preserve">, </w:t>
      </w:r>
      <w:r>
        <w:rPr>
          <w:rtl w:val="true"/>
        </w:rPr>
        <w:t>המערער הגיע בנסיעה אל הצומת</w:t>
      </w:r>
      <w:r>
        <w:rPr>
          <w:rtl w:val="true"/>
        </w:rPr>
        <w:t xml:space="preserve">, </w:t>
      </w:r>
      <w:r>
        <w:rPr>
          <w:rtl w:val="true"/>
        </w:rPr>
        <w:t>אך לא הבחין בו ובמערכת הרמזורים</w:t>
      </w:r>
      <w:r>
        <w:rPr>
          <w:rtl w:val="true"/>
        </w:rPr>
        <w:t xml:space="preserve">, </w:t>
      </w:r>
      <w:r>
        <w:rPr>
          <w:rtl w:val="true"/>
        </w:rPr>
        <w:t>ולא ראה כי אור אדום דלק ברמזור בכיוון נסיעתו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באותה העת שרר ערפל כבד באזור הצומת</w:t>
      </w:r>
      <w:r>
        <w:rPr>
          <w:rtl w:val="true"/>
        </w:rPr>
        <w:t xml:space="preserve">. </w:t>
      </w:r>
      <w:r>
        <w:rPr>
          <w:rtl w:val="true"/>
        </w:rPr>
        <w:t>המערער חצה את הצומת בנסיעה רצופה</w:t>
      </w:r>
      <w:r>
        <w:rPr>
          <w:rtl w:val="true"/>
        </w:rPr>
        <w:t xml:space="preserve">, </w:t>
      </w:r>
      <w:r>
        <w:rPr>
          <w:rtl w:val="true"/>
        </w:rPr>
        <w:t>מבלי להאט את רכבו כנדרש</w:t>
      </w:r>
      <w:r>
        <w:rPr>
          <w:rtl w:val="true"/>
        </w:rPr>
        <w:t xml:space="preserve">, </w:t>
      </w:r>
      <w:r>
        <w:rPr>
          <w:rtl w:val="true"/>
        </w:rPr>
        <w:t>ופגע בעוצמה ברכבם של בני הזוג</w:t>
      </w:r>
      <w:r>
        <w:rPr>
          <w:rtl w:val="true"/>
        </w:rPr>
        <w:t xml:space="preserve">. </w:t>
      </w:r>
      <w:r>
        <w:rPr>
          <w:rtl w:val="true"/>
        </w:rPr>
        <w:t>כתוצאה מהתאונה</w:t>
      </w:r>
      <w:r>
        <w:rPr>
          <w:rtl w:val="true"/>
        </w:rPr>
        <w:t xml:space="preserve">, </w:t>
      </w:r>
      <w:r>
        <w:rPr>
          <w:rtl w:val="true"/>
        </w:rPr>
        <w:t>נגרמו ללי שברים באגן והיא נחבלה חבלות של ממש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התאונה הביאה לכך שלי נלכדה ברכב עד שחולצה על ידי מכבי האש ופונתה לבית החולים</w:t>
      </w:r>
      <w:r>
        <w:rPr>
          <w:rtl w:val="true"/>
        </w:rPr>
        <w:t xml:space="preserve">. </w:t>
      </w:r>
      <w:r>
        <w:rPr>
          <w:rtl w:val="true"/>
        </w:rPr>
        <w:t>יונתן</w:t>
      </w:r>
      <w:r>
        <w:rPr>
          <w:rtl w:val="true"/>
        </w:rPr>
        <w:t xml:space="preserve">, </w:t>
      </w:r>
      <w:r>
        <w:rPr>
          <w:rtl w:val="true"/>
        </w:rPr>
        <w:t>אשר נהג ברכב</w:t>
      </w:r>
      <w:r>
        <w:rPr>
          <w:rtl w:val="true"/>
        </w:rPr>
        <w:t xml:space="preserve">, </w:t>
      </w:r>
      <w:r>
        <w:rPr>
          <w:rtl w:val="true"/>
        </w:rPr>
        <w:t>נחבל אף הוא חבלות של ממש</w:t>
      </w:r>
      <w:r>
        <w:rPr>
          <w:rtl w:val="true"/>
        </w:rPr>
        <w:t xml:space="preserve">. </w:t>
      </w:r>
      <w:r>
        <w:rPr>
          <w:rtl w:val="true"/>
        </w:rPr>
        <w:t>בבית החולים ילדה לי את בתה התינוקת</w:t>
      </w:r>
      <w:r>
        <w:rPr>
          <w:rtl w:val="true"/>
        </w:rPr>
        <w:t xml:space="preserve">, </w:t>
      </w:r>
      <w:r>
        <w:rPr>
          <w:rtl w:val="true"/>
        </w:rPr>
        <w:t>בת הירשברג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>בניתוח קיסרי</w:t>
      </w:r>
      <w:r>
        <w:rPr>
          <w:rtl w:val="true"/>
        </w:rPr>
        <w:t xml:space="preserve">. </w:t>
      </w:r>
      <w:r>
        <w:rPr>
          <w:rtl w:val="true"/>
        </w:rPr>
        <w:t xml:space="preserve">המנוחה נולדה בשעה </w:t>
      </w:r>
      <w:r>
        <w:rPr/>
        <w:t>08:00</w:t>
      </w:r>
      <w:r>
        <w:rPr>
          <w:rtl w:val="true"/>
        </w:rPr>
        <w:t xml:space="preserve">, </w:t>
      </w:r>
      <w:r>
        <w:rPr>
          <w:rtl w:val="true"/>
        </w:rPr>
        <w:t xml:space="preserve">אלא שבשעה </w:t>
      </w:r>
      <w:r>
        <w:rPr/>
        <w:t>08:40</w:t>
      </w:r>
      <w:r>
        <w:rPr>
          <w:rtl w:val="true"/>
        </w:rPr>
        <w:t xml:space="preserve">, </w:t>
      </w:r>
      <w:r>
        <w:rPr>
          <w:rtl w:val="true"/>
        </w:rPr>
        <w:t>לאחר מאמצי החייאה ממושכים</w:t>
      </w:r>
      <w:r>
        <w:rPr>
          <w:rtl w:val="true"/>
        </w:rPr>
        <w:t xml:space="preserve">, </w:t>
      </w:r>
      <w:r>
        <w:rPr>
          <w:rtl w:val="true"/>
        </w:rPr>
        <w:t>נקבע מותה כתוצאה מהחבלות שספגה בתאונה</w:t>
      </w:r>
      <w:r>
        <w:rPr>
          <w:rtl w:val="true"/>
        </w:rPr>
        <w:t xml:space="preserve">, </w:t>
      </w:r>
      <w:r>
        <w:rPr>
          <w:rtl w:val="true"/>
        </w:rPr>
        <w:t>בכללן שבר בגולגולת ופגיעה מוחית קשה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18.9.2017</w:t>
      </w:r>
      <w:r>
        <w:rPr>
          <w:rtl w:val="true"/>
        </w:rPr>
        <w:t xml:space="preserve">, </w:t>
      </w:r>
      <w:r>
        <w:rPr>
          <w:rtl w:val="true"/>
        </w:rPr>
        <w:t>לאחר הליך הוכחות</w:t>
      </w:r>
      <w:r>
        <w:rPr>
          <w:rtl w:val="true"/>
        </w:rPr>
        <w:t xml:space="preserve">, </w:t>
      </w:r>
      <w:r>
        <w:rPr>
          <w:rtl w:val="true"/>
        </w:rPr>
        <w:t>הרשיע בית המשפט לתעבורה בהכרעת דין מנומקת את המערער בכל המיוחס לו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המערער נהג במהירות שאינה סבירה ביחס לתנאי הערפל ששררו בעת נסיעתו בדרך</w:t>
      </w:r>
      <w:r>
        <w:rPr>
          <w:rtl w:val="true"/>
        </w:rPr>
        <w:t xml:space="preserve">, </w:t>
      </w:r>
      <w:r>
        <w:rPr>
          <w:rtl w:val="true"/>
        </w:rPr>
        <w:t>ונכנס לצומת בנסיעה רצופה ומבלי להאט את מהירותו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ברגע התאונה דלק אור ירוק ברמזור בכיוון נסיעתם של בני הזוג ואילו בכיוון נסיעתו של המערער דלק אור אדום</w:t>
      </w:r>
      <w:r>
        <w:rPr>
          <w:rtl w:val="true"/>
        </w:rPr>
        <w:t xml:space="preserve">. </w:t>
      </w:r>
      <w:r>
        <w:rPr>
          <w:rtl w:val="true"/>
        </w:rPr>
        <w:t>בית המשפט לתעבורה בחן את יסודות עבירת גרם מוות ברשלנות</w:t>
      </w:r>
      <w:r>
        <w:rPr>
          <w:rtl w:val="true"/>
        </w:rPr>
        <w:t xml:space="preserve">, </w:t>
      </w:r>
      <w:r>
        <w:rPr>
          <w:rtl w:val="true"/>
        </w:rPr>
        <w:t>והגיע למסקנה כי המערער צריך היה לצפות את האפשרות של פגיעה ברכב אחר בצומת</w:t>
      </w:r>
      <w:r>
        <w:rPr>
          <w:rtl w:val="true"/>
        </w:rPr>
        <w:t xml:space="preserve">, </w:t>
      </w:r>
      <w:r>
        <w:rPr>
          <w:rtl w:val="true"/>
        </w:rPr>
        <w:t>מאחר שתנאי הראות הגרועים מנעו ממנו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לראות את הדרך לפניו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נהג סביר היה צריך לצפות מראש את אפשרות התרחשות התאונה</w:t>
      </w:r>
      <w:r>
        <w:rPr>
          <w:rtl w:val="true"/>
        </w:rPr>
        <w:t xml:space="preserve">, </w:t>
      </w:r>
      <w:r>
        <w:rPr>
          <w:rtl w:val="true"/>
        </w:rPr>
        <w:t>את הדרך בה התרחשה ואת תוצאותיה</w:t>
      </w:r>
      <w:r>
        <w:rPr>
          <w:rtl w:val="true"/>
        </w:rPr>
        <w:t xml:space="preserve">, </w:t>
      </w:r>
      <w:r>
        <w:rPr>
          <w:rtl w:val="true"/>
        </w:rPr>
        <w:t>וכי המערער נטל סיכון בלתי סביר כאשר המשיך לנהוג למרות הערפל הכבד</w:t>
      </w:r>
      <w:r>
        <w:rPr>
          <w:rtl w:val="true"/>
        </w:rPr>
        <w:t xml:space="preserve">, </w:t>
      </w:r>
      <w:r>
        <w:rPr>
          <w:rtl w:val="true"/>
        </w:rPr>
        <w:t>לא האט את מהירות רכבו ונכנס לצומת מבלי להבחין כלל כי הוא בצומת מרוּמזר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הצדדים הסכימו כי המנוחה נפטרה כתוצאה מהתאונה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קבע בית המשפט לתעבורה כי מתקיים קשר סיבתי עובדתי בין הנהיגה הרשלנית לבין התוצאה</w:t>
      </w:r>
      <w:r>
        <w:rPr>
          <w:rtl w:val="true"/>
        </w:rPr>
        <w:t xml:space="preserve">, </w:t>
      </w:r>
      <w:r>
        <w:rPr>
          <w:rtl w:val="true"/>
        </w:rPr>
        <w:t>ולא היה בערפל הכבד כדי לנתק את הקשר הסיבתי המשפטי בין מות המנוחה לבין התרשלות המערער</w:t>
      </w:r>
      <w:r>
        <w:rPr>
          <w:rtl w:val="true"/>
        </w:rPr>
        <w:t xml:space="preserve">. </w:t>
      </w: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בית המשפט לתעבורה מצא כי המערער אחראי לתאונה ואחראי למותה של בת</w:t>
      </w:r>
      <w:r>
        <w:rPr>
          <w:rtl w:val="true"/>
        </w:rPr>
        <w:t xml:space="preserve">, </w:t>
      </w:r>
      <w:r>
        <w:rPr>
          <w:rtl w:val="true"/>
        </w:rPr>
        <w:t>וכי מתקיימים כל יסודות עבירת גרם מוות ברשלנות</w:t>
      </w:r>
      <w:r>
        <w:rPr>
          <w:rtl w:val="true"/>
        </w:rPr>
        <w:t xml:space="preserve">. </w:t>
      </w:r>
      <w:r>
        <w:rPr>
          <w:rtl w:val="true"/>
        </w:rPr>
        <w:t>המערער הורשע אפוא בכל העבירות שיוחסו לו בכתב 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24.1.2018</w:t>
      </w:r>
      <w:r>
        <w:rPr>
          <w:rtl w:val="true"/>
        </w:rPr>
        <w:t xml:space="preserve"> </w:t>
      </w:r>
      <w:r>
        <w:rPr>
          <w:rtl w:val="true"/>
        </w:rPr>
        <w:t>נגזר דינו של המערער</w:t>
      </w:r>
      <w:r>
        <w:rPr>
          <w:rtl w:val="true"/>
        </w:rPr>
        <w:t xml:space="preserve">. </w:t>
      </w:r>
      <w:r>
        <w:rPr>
          <w:rtl w:val="true"/>
        </w:rPr>
        <w:t>בגזר דין מנומק היטב קבע בית המשפט לתעבורה כי רשלנותו של המערער הינה רשלנות ברמה גבוהה</w:t>
      </w:r>
      <w:r>
        <w:rPr>
          <w:rtl w:val="true"/>
        </w:rPr>
        <w:t xml:space="preserve">. </w:t>
      </w:r>
      <w:r>
        <w:rPr>
          <w:rtl w:val="true"/>
        </w:rPr>
        <w:t>לאחר בחינת נסיבות ביצוע העבירה ורמת הענישה במקרים דומים</w:t>
      </w:r>
      <w:r>
        <w:rPr>
          <w:rtl w:val="true"/>
        </w:rPr>
        <w:t xml:space="preserve">, </w:t>
      </w:r>
      <w:r>
        <w:rPr>
          <w:rtl w:val="true"/>
        </w:rPr>
        <w:t>ככל הניתן</w:t>
      </w:r>
      <w:r>
        <w:rPr>
          <w:rtl w:val="true"/>
        </w:rPr>
        <w:t xml:space="preserve">, </w:t>
      </w:r>
      <w:r>
        <w:rPr>
          <w:rtl w:val="true"/>
        </w:rPr>
        <w:t xml:space="preserve">הגיע בית המשפט לתעבורה למסקנה כי מתחם הענישה ההולם 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מותנה</w:t>
      </w:r>
      <w:r>
        <w:rPr>
          <w:rtl w:val="true"/>
        </w:rPr>
        <w:t xml:space="preserve">, </w:t>
      </w:r>
      <w:r>
        <w:rPr>
          <w:rtl w:val="true"/>
        </w:rPr>
        <w:t xml:space="preserve">פסילה בפועל של רישיון הנהיגה לתקופה שבין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קנס ופיצוי</w:t>
      </w:r>
      <w:r>
        <w:rPr>
          <w:rtl w:val="true"/>
        </w:rPr>
        <w:t xml:space="preserve">. </w:t>
      </w:r>
      <w:r>
        <w:rPr>
          <w:rtl w:val="true"/>
        </w:rPr>
        <w:t>בתוך מתחם זה</w:t>
      </w:r>
      <w:r>
        <w:rPr>
          <w:rtl w:val="true"/>
        </w:rPr>
        <w:t xml:space="preserve">, </w:t>
      </w:r>
      <w:r>
        <w:rPr>
          <w:rtl w:val="true"/>
        </w:rPr>
        <w:t>נקבע כי העונש הראוי למערער הינו</w:t>
      </w:r>
      <w:r>
        <w:rPr>
          <w:rtl w:val="true"/>
        </w:rPr>
        <w:t xml:space="preserve">: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לבל יורשע בעבירות של גרימת מוות ברשלנות או נהיגה בזמן פסילה</w:t>
      </w:r>
      <w:r>
        <w:rPr>
          <w:rtl w:val="true"/>
        </w:rPr>
        <w:t xml:space="preserve">; </w:t>
      </w:r>
      <w:r>
        <w:rPr>
          <w:rtl w:val="true"/>
        </w:rPr>
        <w:t xml:space="preserve">פסילה בפועל מלקבל או להחזיק רישיון נהיגה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פיצוי למשפחת המנוחה בסך של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צו פיקוח שירות מבחן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28.2.2018</w:t>
      </w:r>
      <w:r>
        <w:rPr>
          <w:rtl w:val="true"/>
        </w:rPr>
        <w:t xml:space="preserve"> </w:t>
      </w:r>
      <w:r>
        <w:rPr>
          <w:rtl w:val="true"/>
        </w:rPr>
        <w:t xml:space="preserve">הגיש המערער לבית המשפט המחוזי את ערעורו על הכרעת הדין וגזר הדין של בית המשפט לתעבורה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</w:t>
      </w:r>
      <w:r>
        <w:rPr>
          <w:rtl w:val="true"/>
        </w:rPr>
        <w:t xml:space="preserve">). </w:t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>הוגשה בקשת עיכוב הביצוע מושא הערעור דנא</w:t>
      </w:r>
      <w:r>
        <w:rPr>
          <w:rtl w:val="true"/>
        </w:rPr>
        <w:t xml:space="preserve">. </w:t>
      </w:r>
      <w:r>
        <w:rPr>
          <w:rtl w:val="true"/>
        </w:rPr>
        <w:t>בבקשה נטען כי סיכויי הערעור טובים</w:t>
      </w:r>
      <w:r>
        <w:rPr>
          <w:rtl w:val="true"/>
        </w:rPr>
        <w:t xml:space="preserve">, </w:t>
      </w:r>
      <w:r>
        <w:rPr>
          <w:rtl w:val="true"/>
        </w:rPr>
        <w:t>וכי על מנת שהערעור לא ייהפך לתיאורטי יש מקום לעכב את ביצוע העונש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המשיבה הגישה אף היא ערעור על קולת העונש שהוטל על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בהחלטתו מיום </w:t>
      </w:r>
      <w:r>
        <w:rPr/>
        <w:t>4.3.2018</w:t>
      </w:r>
      <w:r>
        <w:rPr>
          <w:rtl w:val="true"/>
        </w:rPr>
        <w:t xml:space="preserve"> </w:t>
      </w:r>
      <w:r>
        <w:rPr>
          <w:rtl w:val="true"/>
        </w:rPr>
        <w:t xml:space="preserve">קבע בית המשפט המחוזי כי דיון בבקשה לעיכוב ביצוע עונש המאסר יתקיים ביום </w:t>
      </w:r>
      <w:r>
        <w:rPr/>
        <w:t>15.3.2018</w:t>
      </w:r>
      <w:r>
        <w:rPr>
          <w:rtl w:val="true"/>
        </w:rPr>
        <w:t xml:space="preserve">, </w:t>
      </w:r>
      <w:r>
        <w:rPr>
          <w:rtl w:val="true"/>
        </w:rPr>
        <w:t xml:space="preserve">לאחר המועד שנקבע לתחילת ריצוי העונש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5.3.2018</w:t>
      </w:r>
      <w:r>
        <w:rPr>
          <w:rtl w:val="true"/>
        </w:rPr>
        <w:t xml:space="preserve">. </w:t>
      </w:r>
      <w:r>
        <w:rPr>
          <w:rtl w:val="true"/>
        </w:rPr>
        <w:t>בהקשר זה 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הבקשה הוגשה בסמוך למועד שנקבע לתחילת ריצוי עונש המאסר</w:t>
      </w:r>
      <w:r>
        <w:rPr>
          <w:rtl w:val="true"/>
        </w:rPr>
        <w:t xml:space="preserve">, </w:t>
      </w:r>
      <w:r>
        <w:rPr>
          <w:rtl w:val="true"/>
        </w:rPr>
        <w:t>ללא הסבר לכך</w:t>
      </w:r>
      <w:r>
        <w:rPr>
          <w:rtl w:val="true"/>
        </w:rPr>
        <w:t xml:space="preserve">, </w:t>
      </w:r>
      <w:r>
        <w:rPr>
          <w:rtl w:val="true"/>
        </w:rPr>
        <w:t>באופן שמנע קיום דיון בבקשה עובר למועד תחילת ריצוי העונש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לא מצא בית המשפט הצדקה להורות על עיכוב תחילת ריצוי העונש עד לדיון בבקשה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tl w:val="true"/>
        </w:rPr>
        <w:t>"</w:t>
      </w:r>
      <w:r>
        <w:rPr>
          <w:rtl w:val="true"/>
        </w:rPr>
        <w:t>על המבקש להתייצב לריצוי עונשו כפי קביעת בית המשפט השלום בגזר הדין</w:t>
      </w:r>
      <w:r>
        <w:rPr>
          <w:rtl w:val="true"/>
        </w:rPr>
        <w:t xml:space="preserve">". </w:t>
      </w:r>
      <w:r>
        <w:rPr>
          <w:rtl w:val="true"/>
        </w:rPr>
        <w:t xml:space="preserve">על החלטה זו הוגש ערעור לבית משפט זה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1859/18</w:t>
        </w:r>
      </w:hyperlink>
      <w:r>
        <w:rPr>
          <w:rtl w:val="true"/>
        </w:rPr>
        <w:t xml:space="preserve">), 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 </w:t>
      </w:r>
      <w:r>
        <w:rPr>
          <w:rtl w:val="true"/>
        </w:rPr>
        <w:t xml:space="preserve">שנדחה ביום </w:t>
      </w:r>
      <w:r>
        <w:rPr/>
        <w:t>5.3.2018</w:t>
      </w:r>
      <w:r>
        <w:rPr>
          <w:rtl w:val="true"/>
        </w:rPr>
        <w:t xml:space="preserve"> </w:t>
      </w:r>
      <w:r>
        <w:rPr>
          <w:rtl w:val="true"/>
        </w:rPr>
        <w:t xml:space="preserve">על ידי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1.4.2018</w:t>
      </w:r>
      <w:r>
        <w:rPr>
          <w:rtl w:val="true"/>
        </w:rPr>
        <w:t xml:space="preserve">, </w:t>
      </w:r>
      <w:r>
        <w:rPr>
          <w:rtl w:val="true"/>
        </w:rPr>
        <w:t>לאחר קיום דיון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הבקשה לעיכוב ביצוע העונש</w:t>
      </w:r>
      <w:r>
        <w:rPr>
          <w:rtl w:val="true"/>
        </w:rPr>
        <w:t xml:space="preserve">. </w:t>
      </w:r>
      <w:r>
        <w:rPr>
          <w:rtl w:val="true"/>
        </w:rPr>
        <w:t>כאשר הדיון לפניו התמקד בשאלת סיכויי הערעור בהליך העיקרי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בהקשר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העלה שלוש טענות מרכזיות במסגרת הערעור בהליך העיקרי</w:t>
      </w:r>
      <w:r>
        <w:rPr>
          <w:rtl w:val="true"/>
        </w:rPr>
        <w:t xml:space="preserve">: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כי לא הוכח שתכנית הרמזורים בצומת בו התרחשה התאונה אושרה כדין</w:t>
      </w:r>
      <w:r>
        <w:rPr>
          <w:rtl w:val="true"/>
        </w:rPr>
        <w:t xml:space="preserve">;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כי המנוחה נולדה ללא רוח חיים ומותה נקבע רק לאחר הלידה אך בשל מאמצי ההחייאה שכשלו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לא היה מקום להרשיעו בגרם מוות ברשלנות</w:t>
      </w:r>
      <w:r>
        <w:rPr>
          <w:rtl w:val="true"/>
        </w:rPr>
        <w:t xml:space="preserve">;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 xml:space="preserve">כי הערפל שהתגבר היווה </w:t>
      </w:r>
      <w:r>
        <w:rPr>
          <w:rtl w:val="true"/>
        </w:rPr>
        <w:t>"</w:t>
      </w:r>
      <w:r>
        <w:rPr>
          <w:rtl w:val="true"/>
        </w:rPr>
        <w:t>התערבות של כוח עליון</w:t>
      </w:r>
      <w:r>
        <w:rPr>
          <w:rtl w:val="true"/>
        </w:rPr>
        <w:t xml:space="preserve">" </w:t>
      </w:r>
      <w:r>
        <w:rPr>
          <w:rtl w:val="true"/>
        </w:rPr>
        <w:t>ולא היה ביכולתו של המערער למנוע את התאונה</w:t>
      </w:r>
      <w:r>
        <w:rPr>
          <w:rtl w:val="true"/>
        </w:rPr>
        <w:t xml:space="preserve">. </w:t>
      </w:r>
      <w:r>
        <w:rPr>
          <w:rtl w:val="true"/>
        </w:rPr>
        <w:t>בית המשפט קבע כי טענות המערער במסגרת הערעור על הכרעת הדין מתמקדות בשאלות עובדתיות ומשפטיות שכלל לא נדונו בפני בית המשפט לתעבורה</w:t>
      </w:r>
      <w:r>
        <w:rPr>
          <w:rtl w:val="true"/>
        </w:rPr>
        <w:t xml:space="preserve">, </w:t>
      </w:r>
      <w:r>
        <w:rPr>
          <w:rtl w:val="true"/>
        </w:rPr>
        <w:t>והסיכויים שערכאת הערעור תתערב בהן הינם נמוכים</w:t>
      </w:r>
      <w:r>
        <w:rPr>
          <w:rtl w:val="true"/>
        </w:rPr>
        <w:t xml:space="preserve">. </w:t>
      </w:r>
      <w:r>
        <w:rPr>
          <w:rtl w:val="true"/>
        </w:rPr>
        <w:t xml:space="preserve">גם ביחס לערעור על גזר הדין ציין בית המשפט כי </w:t>
      </w:r>
      <w:r>
        <w:rPr>
          <w:rtl w:val="true"/>
        </w:rPr>
        <w:t>"</w:t>
      </w:r>
      <w:r>
        <w:rPr>
          <w:rtl w:val="true"/>
        </w:rPr>
        <w:t>לא התרשמתי כי יש סיכוי רב לערעור</w:t>
      </w:r>
      <w:r>
        <w:rPr>
          <w:rtl w:val="true"/>
        </w:rPr>
        <w:t xml:space="preserve">, </w:t>
      </w:r>
      <w:r>
        <w:rPr>
          <w:rtl w:val="true"/>
        </w:rPr>
        <w:t>גם בהקשר זה</w:t>
      </w:r>
      <w:r>
        <w:rPr>
          <w:rtl w:val="true"/>
        </w:rPr>
        <w:t xml:space="preserve">, </w:t>
      </w:r>
      <w:r>
        <w:rPr>
          <w:rtl w:val="true"/>
        </w:rPr>
        <w:t>ודאי שלא באופן שיצדיק עיכוב ביצוע</w:t>
      </w:r>
      <w:r>
        <w:rPr>
          <w:rtl w:val="true"/>
        </w:rPr>
        <w:t xml:space="preserve">". </w:t>
      </w:r>
      <w:r>
        <w:rPr>
          <w:rtl w:val="true"/>
        </w:rPr>
        <w:t>לבסוף צוין</w:t>
      </w:r>
      <w:r>
        <w:rPr>
          <w:rtl w:val="true"/>
        </w:rPr>
        <w:t xml:space="preserve">, </w:t>
      </w:r>
      <w:r>
        <w:rPr>
          <w:rtl w:val="true"/>
        </w:rPr>
        <w:t xml:space="preserve">כי המועד לשמיעת הערעור בהליך העיקרי נקבע ליום </w:t>
      </w:r>
      <w:r>
        <w:rPr/>
        <w:t>20.6.2018</w:t>
      </w:r>
      <w:r>
        <w:rPr>
          <w:rtl w:val="true"/>
        </w:rPr>
        <w:t xml:space="preserve">, </w:t>
      </w:r>
      <w:r>
        <w:rPr>
          <w:rtl w:val="true"/>
        </w:rPr>
        <w:t>ולפיכך אין חשש כי המערער ירצה חלק ניכר מעונשו טרם שמיעת הערעור</w:t>
      </w:r>
      <w:r>
        <w:rPr>
          <w:rtl w:val="true"/>
        </w:rPr>
        <w:t xml:space="preserve">. </w:t>
      </w:r>
      <w:r>
        <w:rPr>
          <w:rtl w:val="true"/>
        </w:rPr>
        <w:t>על יסוד כלל האמור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הבקשה לעיכוב ביצוע עונש המאסר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בדיון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בערעור שלפנַי טוען המערער כי שגה בית המשפט המחוזי בקובעו כי סיכויי הערעור בהליך העיקרי אינם גבוהים</w:t>
      </w:r>
      <w:r>
        <w:rPr>
          <w:rtl w:val="true"/>
        </w:rPr>
        <w:t xml:space="preserve">, </w:t>
      </w:r>
      <w:r>
        <w:rPr>
          <w:rtl w:val="true"/>
        </w:rPr>
        <w:t>וכי על פי אמות המידה שנקבעו 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שוורץ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241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שוורץ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היה מקום לקבל את הבקשה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הפנה המערער להחלטות בית משפט זה בהן הוחלט על עיכוב ביצוע בנסיבות חמורות 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לשיטתו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ולמקרים אחרים בהם הוחלט על הפסקת מאסר ועיכובו עד להכרעה בערעור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טענה כי אין מקום לקבל את הערעור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ציינה כי אופן נהיגתו של המערער בתנאי מזג האוויר הקשים מלמד על רשלנות ברמה גבוהה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הסיכוי להתערבות ערכאת הערעור בקביעותיו העובדתיות של בית המשפט לתעבורה הינו נמוך</w:t>
      </w:r>
      <w:r>
        <w:rPr>
          <w:rtl w:val="true"/>
        </w:rPr>
        <w:t xml:space="preserve">. </w:t>
      </w:r>
      <w:r>
        <w:rPr>
          <w:rtl w:val="true"/>
        </w:rPr>
        <w:t>לעניין הטענה לפיה לא ניתן להרשיע את המערער בגרם מוות ברשלנות מכיוון שהמנוחה נולדה ללא רוח חיים</w:t>
      </w:r>
      <w:r>
        <w:rPr>
          <w:rtl w:val="true"/>
        </w:rPr>
        <w:t xml:space="preserve">, </w:t>
      </w:r>
      <w:r>
        <w:rPr>
          <w:rtl w:val="true"/>
        </w:rPr>
        <w:t>טענה המשיבה כי לאור ההסכמה אליה הגיעו הצדדים במסגרת ההליך בבית המשפט לתעבורה</w:t>
      </w:r>
      <w:r>
        <w:rPr>
          <w:rtl w:val="true"/>
        </w:rPr>
        <w:t xml:space="preserve">, </w:t>
      </w:r>
      <w:r>
        <w:rPr>
          <w:rtl w:val="true"/>
        </w:rPr>
        <w:t>המערער יידרש לשכנע כי נפל כשל בייצוגו והסיכויים שיצליח בכך נמוכים עד מאד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צוין כי גם סיכויי הערעור על גזר הדין אינם גבוהים</w:t>
      </w:r>
      <w:r>
        <w:rPr>
          <w:rtl w:val="true"/>
        </w:rPr>
        <w:t xml:space="preserve">, </w:t>
      </w:r>
      <w:r>
        <w:rPr>
          <w:rtl w:val="true"/>
        </w:rPr>
        <w:t>משעה שזה מתבסס בעיקרו על קו הטיעון כי המערער לא גרם למותה של המנוחה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שעיינתי בערעור</w:t>
      </w:r>
      <w:r>
        <w:rPr>
          <w:rtl w:val="true"/>
        </w:rPr>
        <w:t xml:space="preserve">, </w:t>
      </w:r>
      <w:r>
        <w:rPr>
          <w:rtl w:val="true"/>
        </w:rPr>
        <w:t>בהודעת הערעור בהליך העיקרי</w:t>
      </w:r>
      <w:r>
        <w:rPr>
          <w:rtl w:val="true"/>
        </w:rPr>
        <w:t xml:space="preserve">, </w:t>
      </w:r>
      <w:r>
        <w:rPr>
          <w:rtl w:val="true"/>
        </w:rPr>
        <w:t>ולאחר ששמעתי את טיעוני הצדדים בדיון שהתקיים לפנַי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 xml:space="preserve">כי הערעור דנן מוגש בזכות לפי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אך ראו הערותיו של השופט </w:t>
      </w:r>
      <w:r>
        <w:rPr>
          <w:rtl w:val="true"/>
        </w:rPr>
        <w:t>(</w:t>
      </w:r>
      <w:r>
        <w:rPr>
          <w:rtl w:val="true"/>
        </w:rPr>
        <w:t>כתארו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tl w:val="true"/>
        </w:rPr>
        <w:t xml:space="preserve"> 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7463/14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קאמאלי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13.11.2014</w:t>
      </w:r>
      <w:r>
        <w:rPr>
          <w:rtl w:val="true"/>
        </w:rPr>
        <w:t xml:space="preserve">) </w:t>
      </w:r>
      <w:r>
        <w:rPr>
          <w:rtl w:val="true"/>
        </w:rPr>
        <w:t xml:space="preserve">לעניין השאלה האם </w:t>
      </w:r>
      <w:r>
        <w:rPr>
          <w:rFonts w:ascii="Century" w:hAnsi="Century" w:cs="Century"/>
          <w:sz w:val="22"/>
          <w:sz w:val="22"/>
          <w:rtl w:val="true"/>
        </w:rPr>
        <w:t xml:space="preserve">ראוי </w:t>
      </w:r>
      <w:r>
        <w:rPr>
          <w:rtl w:val="true"/>
        </w:rPr>
        <w:t>להעניק זכות ערעור על החלטות בעניין דחיית ביצוע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 מושרשת היא</w:t>
      </w:r>
      <w:r>
        <w:rPr>
          <w:rtl w:val="true"/>
        </w:rPr>
        <w:t xml:space="preserve">, </w:t>
      </w:r>
      <w:r>
        <w:rPr>
          <w:rtl w:val="true"/>
        </w:rPr>
        <w:t>כי עונש מאסר אשר הושת על נאשם יבוצע מיד לאחר מתן גזר הדין</w:t>
      </w:r>
      <w:r>
        <w:rPr>
          <w:rtl w:val="true"/>
        </w:rPr>
        <w:t xml:space="preserve">,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ואין בהגשת ערעור כשלעצמה כדי להביא לעיכוב ביצועו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12.4.2018</w:t>
      </w:r>
      <w:r>
        <w:rPr>
          <w:rtl w:val="true"/>
        </w:rPr>
        <w:t xml:space="preserve">)). </w:t>
      </w:r>
      <w:r>
        <w:rPr>
          <w:rtl w:val="true"/>
        </w:rPr>
        <w:t>עיכוב ביצוע עונש מאסר יינתן רק במקרים בהם מתקיימות נסיבות מיוחדות</w:t>
      </w:r>
      <w:r>
        <w:rPr>
          <w:rtl w:val="true"/>
        </w:rPr>
        <w:t xml:space="preserve">, </w:t>
      </w:r>
      <w:r>
        <w:rPr>
          <w:rtl w:val="true"/>
        </w:rPr>
        <w:t xml:space="preserve">אשר משקלן עולה על משקלו של האינטרס הציבורי המתבטא באכיפה מיידית של הענישה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שוורץ</w:t>
      </w:r>
      <w:r>
        <w:rPr>
          <w:rtl w:val="true"/>
        </w:rPr>
        <w:t xml:space="preserve">). </w:t>
      </w:r>
      <w:r>
        <w:rPr>
          <w:rtl w:val="true"/>
        </w:rPr>
        <w:t>השיקולים הרלוונטיים להכרעה בשאלת עיכוב ביצוע עונש מאסר הם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חומרת העבירות</w:t>
      </w:r>
      <w:r>
        <w:rPr>
          <w:rtl w:val="true"/>
        </w:rPr>
        <w:t xml:space="preserve">; </w:t>
      </w:r>
      <w:r>
        <w:rPr>
          <w:rtl w:val="true"/>
        </w:rPr>
        <w:t>נסיבות ביצוען</w:t>
      </w:r>
      <w:r>
        <w:rPr>
          <w:rtl w:val="true"/>
        </w:rPr>
        <w:t xml:space="preserve">; </w:t>
      </w:r>
      <w:r>
        <w:rPr>
          <w:rtl w:val="true"/>
        </w:rPr>
        <w:t>תקופת המעצר</w:t>
      </w:r>
      <w:r>
        <w:rPr>
          <w:rtl w:val="true"/>
        </w:rPr>
        <w:t xml:space="preserve">; </w:t>
      </w:r>
      <w:r>
        <w:rPr>
          <w:rtl w:val="true"/>
        </w:rPr>
        <w:t>טיב הערעור וסיכויי הצלחתו</w:t>
      </w:r>
      <w:r>
        <w:rPr>
          <w:rtl w:val="true"/>
        </w:rPr>
        <w:t xml:space="preserve">; </w:t>
      </w:r>
      <w:r>
        <w:rPr>
          <w:rtl w:val="true"/>
        </w:rPr>
        <w:t>עבר פלילי והתנהגות במהלך המשפט</w:t>
      </w:r>
      <w:r>
        <w:rPr>
          <w:rtl w:val="true"/>
        </w:rPr>
        <w:t xml:space="preserve">; </w:t>
      </w:r>
      <w:r>
        <w:rPr>
          <w:rtl w:val="true"/>
        </w:rPr>
        <w:t>נסיבות אישיות</w:t>
      </w:r>
      <w:r>
        <w:rPr>
          <w:rtl w:val="true"/>
        </w:rPr>
        <w:t xml:space="preserve">; </w:t>
      </w:r>
      <w:r>
        <w:rPr>
          <w:rtl w:val="true"/>
        </w:rPr>
        <w:t xml:space="preserve">חלוף הזמן ועוד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9.4.2018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1816/18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18.3.2018</w:t>
      </w:r>
      <w:r>
        <w:rPr>
          <w:rtl w:val="true"/>
        </w:rPr>
        <w:t xml:space="preserve">)). </w:t>
      </w:r>
      <w:r>
        <w:rPr>
          <w:rtl w:val="true"/>
        </w:rPr>
        <w:t>שיקול נוסף בענייננו הוא העובדה כי המערער כבר החל לרצות את עונשו</w:t>
      </w:r>
      <w:r>
        <w:rPr>
          <w:rtl w:val="true"/>
        </w:rPr>
        <w:t xml:space="preserve">. </w:t>
      </w:r>
      <w:r>
        <w:rPr>
          <w:rtl w:val="true"/>
        </w:rPr>
        <w:t>כבר נקבע בפסיקת בית משפט זה כי תחילת ריצוי עונש המאסר תהווה שיקול</w:t>
      </w:r>
      <w:r>
        <w:rPr>
          <w:rtl w:val="true"/>
        </w:rPr>
        <w:t xml:space="preserve">, </w:t>
      </w:r>
      <w:r>
        <w:rPr>
          <w:rtl w:val="true"/>
        </w:rPr>
        <w:t>בין יתר השיקולים הנזכרים לעיל</w:t>
      </w:r>
      <w:r>
        <w:rPr>
          <w:rtl w:val="true"/>
        </w:rPr>
        <w:t xml:space="preserve">, </w:t>
      </w:r>
      <w:r>
        <w:rPr>
          <w:rtl w:val="true"/>
        </w:rPr>
        <w:t>לדחיית הבקשה</w:t>
      </w:r>
      <w:r>
        <w:rPr>
          <w:rtl w:val="true"/>
        </w:rPr>
        <w:t xml:space="preserve">, </w:t>
      </w:r>
      <w:r>
        <w:rPr>
          <w:rtl w:val="true"/>
        </w:rPr>
        <w:t xml:space="preserve">ויידרשו טעמים מיוחדים על מנת להצדיק את קטיעת עונש המאסר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חסארמה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22.3.2017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5961/11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קאסם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25.1.2012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8605/04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11.10.2004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יישום הלכות אלו בענייננו מוביל לכלל מסקנה</w:t>
      </w:r>
      <w:r>
        <w:rPr>
          <w:rtl w:val="true"/>
        </w:rPr>
        <w:t xml:space="preserve">, </w:t>
      </w:r>
      <w:r>
        <w:rPr>
          <w:rtl w:val="true"/>
        </w:rPr>
        <w:t>כי אין מקום להורות על הפסקת ריצוי מאסרו של המערער עד להכרעה בערעור בהליך העיקרי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עונש המאסר אשר הושת על המערער אינו ארוך במיוחד</w:t>
      </w:r>
      <w:r>
        <w:rPr>
          <w:rtl w:val="true"/>
        </w:rPr>
        <w:t xml:space="preserve">, </w:t>
      </w:r>
      <w:r>
        <w:rPr>
          <w:rtl w:val="true"/>
        </w:rPr>
        <w:t>עובדה אשר עשויה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להוות שיקול התומך בעיכוב ביצוע העונש עד להכרעה בערעור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על מנת למנוע מצב שבו ירצה אדם חלק ניכר מעונשו טרם ייבחן עניינו בערכאת הערעור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10.5.2016</w:t>
      </w:r>
      <w:r>
        <w:rPr>
          <w:rtl w:val="true"/>
        </w:rPr>
        <w:t xml:space="preserve">)).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בנסיבות העניין איני סבור כי יש להקנות למשך המאסר שנגזר משקל מכריע בהחלטה בדבר עיכוב ביצוע עונשו של המערער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מבלי לטעת מסמרות בנושא</w:t>
      </w:r>
      <w:r>
        <w:rPr>
          <w:rtl w:val="true"/>
        </w:rPr>
        <w:t xml:space="preserve">, </w:t>
      </w:r>
      <w:r>
        <w:rPr>
          <w:rtl w:val="true"/>
        </w:rPr>
        <w:t>לא שוכנעתי כי סיכויי הערעור גבוהים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עיקר טענותיו של המערער מופנות כלפי קביעות עובדה ומהימנות של בית המשפט לתעבורה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אין זה מדרכה של ערכאת הערעור להתערב בקביעותיה העובדתיות של הערכאה הדיונית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4.3.2018</w:t>
      </w:r>
      <w:r>
        <w:rPr>
          <w:rtl w:val="true"/>
        </w:rPr>
        <w:t xml:space="preserve">)).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במהלך הדיון שהתקיים לפנַי הגישה באת</w:t>
      </w:r>
      <w:r>
        <w:rPr>
          <w:rtl w:val="true"/>
        </w:rPr>
        <w:t>-</w:t>
      </w:r>
      <w:r>
        <w:rPr>
          <w:rtl w:val="true"/>
        </w:rPr>
        <w:t>כוח המשיבה סרטון המתעד את התאונה</w:t>
      </w:r>
      <w:r>
        <w:rPr>
          <w:rtl w:val="true"/>
        </w:rPr>
        <w:t xml:space="preserve">. </w:t>
      </w:r>
      <w:r>
        <w:rPr>
          <w:rtl w:val="true"/>
        </w:rPr>
        <w:t>לאחר שצפיתי בסרטון מספר פעמים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בזהירות המתבקשת</w:t>
      </w:r>
      <w:r>
        <w:rPr>
          <w:rtl w:val="true"/>
        </w:rPr>
        <w:t xml:space="preserve">, </w:t>
      </w:r>
      <w:r>
        <w:rPr>
          <w:rtl w:val="true"/>
        </w:rPr>
        <w:t>כי סיכויי התערבותה של ערכאת הערעור בקביעותיו העובדתיות של בית המשפט לתעבורה נמוכים עד מאד במקרה דנן</w:t>
      </w:r>
      <w:r>
        <w:rPr>
          <w:rtl w:val="true"/>
        </w:rPr>
        <w:t xml:space="preserve">. </w:t>
      </w:r>
      <w:r>
        <w:rPr>
          <w:rtl w:val="true"/>
        </w:rPr>
        <w:t>מהסרטון עולה כי מערכת הרמזורים הייתה תקינה במועד התאונה</w:t>
      </w:r>
      <w:r>
        <w:rPr>
          <w:rtl w:val="true"/>
        </w:rPr>
        <w:t xml:space="preserve">, </w:t>
      </w:r>
      <w:r>
        <w:rPr>
          <w:rtl w:val="true"/>
        </w:rPr>
        <w:t>כי יתר המכוניות צייתו למערכת הרמזורים</w:t>
      </w:r>
      <w:r>
        <w:rPr>
          <w:rtl w:val="true"/>
        </w:rPr>
        <w:t xml:space="preserve">, </w:t>
      </w:r>
      <w:r>
        <w:rPr>
          <w:rtl w:val="true"/>
        </w:rPr>
        <w:t>וכי המערער נהג במהירות גבוהה יחסית ליתר המכוניות שחלפו בצומת</w:t>
      </w:r>
      <w:r>
        <w:rPr>
          <w:rtl w:val="true"/>
        </w:rPr>
        <w:t xml:space="preserve">. </w:t>
      </w:r>
      <w:r>
        <w:rPr>
          <w:rtl w:val="true"/>
        </w:rPr>
        <w:t>גם באשר לטענה כי לא ניתן להרשיעו בגרם מוות ברשלנות</w:t>
      </w:r>
      <w:r>
        <w:rPr>
          <w:rtl w:val="true"/>
        </w:rPr>
        <w:t xml:space="preserve">, </w:t>
      </w:r>
      <w:r>
        <w:rPr>
          <w:rtl w:val="true"/>
        </w:rPr>
        <w:t>ניצב המערער בפני משוכה גבוהה עד מאד</w:t>
      </w:r>
      <w:r>
        <w:rPr>
          <w:rtl w:val="true"/>
        </w:rPr>
        <w:t xml:space="preserve">, </w:t>
      </w:r>
      <w:r>
        <w:rPr>
          <w:rtl w:val="true"/>
        </w:rPr>
        <w:t>משעה שבמסגרת ההליך בבית המשפט לתעבורה הודה בא</w:t>
      </w:r>
      <w:r>
        <w:rPr>
          <w:rtl w:val="true"/>
        </w:rPr>
        <w:t>-</w:t>
      </w:r>
      <w:r>
        <w:rPr>
          <w:rtl w:val="true"/>
        </w:rPr>
        <w:t>כוחו באפשרות להרשיעו בעבירה זו</w:t>
      </w:r>
      <w:r>
        <w:rPr>
          <w:rtl w:val="true"/>
        </w:rPr>
        <w:t xml:space="preserve">. </w:t>
      </w:r>
      <w:r>
        <w:rPr>
          <w:rtl w:val="true"/>
        </w:rPr>
        <w:t>לסיכויי הערעור הנמוכים מצטרפת העובדה כי המערער כבר החל לרצות את עונשו ולא מצאתי</w:t>
      </w:r>
      <w:r>
        <w:rPr>
          <w:rtl w:val="true"/>
        </w:rPr>
        <w:t xml:space="preserve">, </w:t>
      </w:r>
      <w:r>
        <w:rPr>
          <w:rtl w:val="true"/>
        </w:rPr>
        <w:t>חרף טענותיו של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 מתקיימים בעניינו </w:t>
      </w:r>
      <w:r>
        <w:rPr>
          <w:rtl w:val="true"/>
        </w:rPr>
        <w:t>"</w:t>
      </w:r>
      <w:r>
        <w:rPr>
          <w:rtl w:val="true"/>
        </w:rPr>
        <w:t>טעמים מיוחדים</w:t>
      </w:r>
      <w:r>
        <w:rPr>
          <w:rtl w:val="true"/>
        </w:rPr>
        <w:t xml:space="preserve">" </w:t>
      </w:r>
      <w:r>
        <w:rPr>
          <w:rtl w:val="true"/>
        </w:rPr>
        <w:t>המצדיקים את קטיעת מאסרו בשלב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אציין כי המערער טען במסגרת הערעור דנן גם כנגד החלטת בית המשפט המחוזי שלא לעכב את ריצוי העונש עד לקיום דיון בבקשה לעיכוב ביצוע</w:t>
      </w:r>
      <w:r>
        <w:rPr>
          <w:rtl w:val="true"/>
        </w:rPr>
        <w:t xml:space="preserve">. </w:t>
      </w:r>
      <w:r>
        <w:rPr>
          <w:rtl w:val="true"/>
        </w:rPr>
        <w:t>אין להלום טענה זו</w:t>
      </w:r>
      <w:r>
        <w:rPr>
          <w:rtl w:val="true"/>
        </w:rPr>
        <w:t xml:space="preserve">. </w:t>
      </w:r>
      <w:r>
        <w:rPr>
          <w:rtl w:val="true"/>
        </w:rPr>
        <w:t xml:space="preserve">גזר הדין ניתן ביום </w:t>
      </w:r>
      <w:r>
        <w:rPr/>
        <w:t>26.1.2018</w:t>
      </w:r>
      <w:r>
        <w:rPr>
          <w:rtl w:val="true"/>
        </w:rPr>
        <w:t xml:space="preserve"> </w:t>
      </w:r>
      <w:r>
        <w:rPr>
          <w:rtl w:val="true"/>
        </w:rPr>
        <w:t xml:space="preserve">ותאריך התייצבותו של המערער לתחילת ריצוי עונשו נקבע ליום </w:t>
      </w:r>
      <w:r>
        <w:rPr/>
        <w:t>5.3.2018</w:t>
      </w:r>
      <w:r>
        <w:rPr>
          <w:rtl w:val="true"/>
        </w:rPr>
        <w:t xml:space="preserve">, </w:t>
      </w:r>
      <w:r>
        <w:rPr>
          <w:rtl w:val="true"/>
        </w:rPr>
        <w:t>למעלה מחודש לאחר מתן גזר הדין</w:t>
      </w:r>
      <w:r>
        <w:rPr>
          <w:rtl w:val="true"/>
        </w:rPr>
        <w:t xml:space="preserve">. </w:t>
      </w:r>
      <w:r>
        <w:rPr>
          <w:rtl w:val="true"/>
        </w:rPr>
        <w:t>למרות זאת</w:t>
      </w:r>
      <w:r>
        <w:rPr>
          <w:rtl w:val="true"/>
        </w:rPr>
        <w:t xml:space="preserve">, </w:t>
      </w:r>
      <w:r>
        <w:rPr>
          <w:rtl w:val="true"/>
        </w:rPr>
        <w:t xml:space="preserve">הערעור בהליך העיקרי והבקשה לעיכוב ביצוע העונש הוגשו רק ביום </w:t>
      </w:r>
      <w:r>
        <w:rPr/>
        <w:t>28.2.2018</w:t>
      </w:r>
      <w:r>
        <w:rPr>
          <w:rtl w:val="true"/>
        </w:rPr>
        <w:t xml:space="preserve">, </w:t>
      </w:r>
      <w:r>
        <w:rPr>
          <w:rtl w:val="true"/>
        </w:rPr>
        <w:t>קרי חמישה ימים בלבד לפני מועד ההתייצבות של המערער</w:t>
      </w:r>
      <w:r>
        <w:rPr>
          <w:rtl w:val="true"/>
        </w:rPr>
        <w:t xml:space="preserve">. </w:t>
      </w:r>
      <w:r>
        <w:rPr>
          <w:rtl w:val="true"/>
        </w:rPr>
        <w:t>כפי שנפסק על</w:t>
      </w:r>
      <w:r>
        <w:rPr>
          <w:rtl w:val="true"/>
        </w:rPr>
        <w:t>-</w:t>
      </w:r>
      <w:r>
        <w:rPr>
          <w:rtl w:val="true"/>
        </w:rPr>
        <w:t xml:space="preserve">ידי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rtl w:val="true"/>
        </w:rPr>
        <w:t>, "</w:t>
      </w:r>
      <w:r>
        <w:rPr>
          <w:rtl w:val="true"/>
        </w:rPr>
        <w:t xml:space="preserve">אין מקום להגשת בקשות </w:t>
      </w:r>
      <w:r>
        <w:rPr>
          <w:rtl w:val="true"/>
        </w:rPr>
        <w:t>'</w:t>
      </w:r>
      <w:r>
        <w:rPr>
          <w:rtl w:val="true"/>
        </w:rPr>
        <w:t>בדקה התשעים</w:t>
      </w:r>
      <w:r>
        <w:rPr>
          <w:rtl w:val="true"/>
        </w:rPr>
        <w:t xml:space="preserve">' </w:t>
      </w:r>
      <w:r>
        <w:rPr>
          <w:rtl w:val="true"/>
        </w:rPr>
        <w:t>באופן שבו קוצר הזמן יהיה די בו כדי להביא לעיכוב ביצוע העונש</w:t>
      </w:r>
      <w:r>
        <w:rPr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עבאסי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(</w:t>
      </w:r>
      <w:r>
        <w:rPr/>
        <w:t>29.3.2012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נדחה אפוא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17.4.2018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18027480</w:t>
      </w:r>
      <w:r>
        <w:rPr>
          <w:sz w:val="16"/>
          <w:rtl w:val="true"/>
        </w:rPr>
        <w:t>_</w:t>
      </w:r>
      <w:r>
        <w:rPr>
          <w:sz w:val="16"/>
        </w:rPr>
        <w:t>N01.doc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54678313-2748/18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2748/18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אליהו חבושה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67519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87" TargetMode="External"/><Relationship Id="rId5" Type="http://schemas.openxmlformats.org/officeDocument/2006/relationships/hyperlink" Target="http://www.nevo.co.il/law/70301/304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38.3" TargetMode="External"/><Relationship Id="rId8" Type="http://schemas.openxmlformats.org/officeDocument/2006/relationships/hyperlink" Target="http://www.nevo.co.il/law/5227/40" TargetMode="External"/><Relationship Id="rId9" Type="http://schemas.openxmlformats.org/officeDocument/2006/relationships/hyperlink" Target="http://www.nevo.co.il/law/5227/62.2" TargetMode="External"/><Relationship Id="rId10" Type="http://schemas.openxmlformats.org/officeDocument/2006/relationships/hyperlink" Target="http://www.nevo.co.il/law/5227/64" TargetMode="External"/><Relationship Id="rId11" Type="http://schemas.openxmlformats.org/officeDocument/2006/relationships/hyperlink" Target="http://www.nevo.co.il/case/23675194" TargetMode="External"/><Relationship Id="rId12" Type="http://schemas.openxmlformats.org/officeDocument/2006/relationships/hyperlink" Target="http://www.nevo.co.il/case/22170019" TargetMode="External"/><Relationship Id="rId13" Type="http://schemas.openxmlformats.org/officeDocument/2006/relationships/hyperlink" Target="http://www.nevo.co.il/law/70301/30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5227/40" TargetMode="External"/><Relationship Id="rId16" Type="http://schemas.openxmlformats.org/officeDocument/2006/relationships/hyperlink" Target="http://www.nevo.co.il/law/5227/64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5227/62.2" TargetMode="External"/><Relationship Id="rId19" Type="http://schemas.openxmlformats.org/officeDocument/2006/relationships/hyperlink" Target="http://www.nevo.co.il/law/5227/38.3" TargetMode="External"/><Relationship Id="rId20" Type="http://schemas.openxmlformats.org/officeDocument/2006/relationships/hyperlink" Target="http://www.nevo.co.il/case/23762307" TargetMode="External"/><Relationship Id="rId21" Type="http://schemas.openxmlformats.org/officeDocument/2006/relationships/hyperlink" Target="http://www.nevo.co.il/case/5678234" TargetMode="External"/><Relationship Id="rId22" Type="http://schemas.openxmlformats.org/officeDocument/2006/relationships/hyperlink" Target="http://www.nevo.co.il/law/70301/87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18654030" TargetMode="External"/><Relationship Id="rId25" Type="http://schemas.openxmlformats.org/officeDocument/2006/relationships/hyperlink" Target="http://www.nevo.co.il/case/23826493" TargetMode="External"/><Relationship Id="rId26" Type="http://schemas.openxmlformats.org/officeDocument/2006/relationships/hyperlink" Target="http://www.nevo.co.il/case/23842034" TargetMode="External"/><Relationship Id="rId27" Type="http://schemas.openxmlformats.org/officeDocument/2006/relationships/hyperlink" Target="http://www.nevo.co.il/case/23758396" TargetMode="External"/><Relationship Id="rId28" Type="http://schemas.openxmlformats.org/officeDocument/2006/relationships/hyperlink" Target="http://www.nevo.co.il/case/22316712" TargetMode="External"/><Relationship Id="rId29" Type="http://schemas.openxmlformats.org/officeDocument/2006/relationships/hyperlink" Target="http://www.nevo.co.il/case/6041698" TargetMode="External"/><Relationship Id="rId30" Type="http://schemas.openxmlformats.org/officeDocument/2006/relationships/hyperlink" Target="http://www.nevo.co.il/case/6133517" TargetMode="External"/><Relationship Id="rId31" Type="http://schemas.openxmlformats.org/officeDocument/2006/relationships/hyperlink" Target="http://www.nevo.co.il/case/20817889" TargetMode="External"/><Relationship Id="rId32" Type="http://schemas.openxmlformats.org/officeDocument/2006/relationships/hyperlink" Target="http://www.nevo.co.il/case/20911393" TargetMode="External"/><Relationship Id="rId33" Type="http://schemas.openxmlformats.org/officeDocument/2006/relationships/hyperlink" Target="http://www.nevo.co.il/case/5580946" TargetMode="External"/><Relationship Id="rId34" Type="http://schemas.openxmlformats.org/officeDocument/2006/relationships/hyperlink" Target="http://www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2018-05-26T09:02:00Z</dcterms:created>
  <dc:creator> </dc:creator>
  <dc:description/>
  <cp:keywords/>
  <dc:language>en-IL</dc:language>
  <cp:lastModifiedBy>orly</cp:lastModifiedBy>
  <cp:lastPrinted>2018-04-17T18:15:00Z</cp:lastPrinted>
  <dcterms:modified xsi:type="dcterms:W3CDTF">2018-05-26T09:02:00Z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אליהו חבושה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23675194;22170019;23762307;5678234;18654030;23826493;23842034;23758396;22316712;6041698;6133517;20817889;20911393;5580946</vt:lpwstr>
  </property>
  <property fmtid="{D5CDD505-2E9C-101B-9397-08002B2CF9AE}" pid="9" name="CITY">
    <vt:lpwstr/>
  </property>
  <property fmtid="{D5CDD505-2E9C-101B-9397-08002B2CF9AE}" pid="10" name="DATE">
    <vt:lpwstr>20180417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</vt:lpwstr>
  </property>
  <property fmtid="{D5CDD505-2E9C-101B-9397-08002B2CF9AE}" pid="14" name="LAWLISTTMP1">
    <vt:lpwstr>70301/304;087</vt:lpwstr>
  </property>
  <property fmtid="{D5CDD505-2E9C-101B-9397-08002B2CF9AE}" pid="15" name="LAWLISTTMP2">
    <vt:lpwstr>5227/040;064;062.2;038.3</vt:lpwstr>
  </property>
  <property fmtid="{D5CDD505-2E9C-101B-9397-08002B2CF9AE}" pid="16" name="LAWYER">
    <vt:lpwstr>נילי פינקלשטיין;אורון אילון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</vt:lpwstr>
  </property>
  <property fmtid="{D5CDD505-2E9C-101B-9397-08002B2CF9AE}" pid="38" name="NOSE21">
    <vt:lpwstr>עונש</vt:lpwstr>
  </property>
  <property fmtid="{D5CDD505-2E9C-101B-9397-08002B2CF9AE}" pid="39" name="NOSE210">
    <vt:lpwstr/>
  </property>
  <property fmtid="{D5CDD505-2E9C-101B-9397-08002B2CF9AE}" pid="40" name="NOSE22">
    <vt:lpwstr>גזר-דין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498;452</vt:lpwstr>
  </property>
  <property fmtid="{D5CDD505-2E9C-101B-9397-08002B2CF9AE}" pid="49" name="NOSE31">
    <vt:lpwstr>עיכוב ביצוע</vt:lpwstr>
  </property>
  <property fmtid="{D5CDD505-2E9C-101B-9397-08002B2CF9AE}" pid="50" name="NOSE310">
    <vt:lpwstr/>
  </property>
  <property fmtid="{D5CDD505-2E9C-101B-9397-08002B2CF9AE}" pid="51" name="NOSE32">
    <vt:lpwstr>עיכוב ביצוע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3813;3587</vt:lpwstr>
  </property>
  <property fmtid="{D5CDD505-2E9C-101B-9397-08002B2CF9AE}" pid="60" name="PADIDATE">
    <vt:lpwstr>20180422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2748</vt:lpwstr>
  </property>
  <property fmtid="{D5CDD505-2E9C-101B-9397-08002B2CF9AE}" pid="66" name="PROCYEAR">
    <vt:lpwstr>18</vt:lpwstr>
  </property>
  <property fmtid="{D5CDD505-2E9C-101B-9397-08002B2CF9AE}" pid="67" name="PSAKDIN">
    <vt:lpwstr>החלטה</vt:lpwstr>
  </property>
  <property fmtid="{D5CDD505-2E9C-101B-9397-08002B2CF9AE}" pid="68" name="TYPE">
    <vt:lpwstr>1</vt:lpwstr>
  </property>
  <property fmtid="{D5CDD505-2E9C-101B-9397-08002B2CF9AE}" pid="69" name="TYPE_ABS_DATE">
    <vt:lpwstr>410120180417</vt:lpwstr>
  </property>
  <property fmtid="{D5CDD505-2E9C-101B-9397-08002B2CF9AE}" pid="70" name="TYPE_N_DATE">
    <vt:lpwstr>41020180417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