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2770/19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2771/19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2770/19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2771/19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2770/19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2771/19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רובין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30547-07-13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6.3.2019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2770/19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2771/19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2770/19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2771/19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פרזון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קופלר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התחרות הכלכלית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47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</w:rPr>
          <w:t>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</w:rPr>
          <w:t>61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 ערעורים מזה ומזה על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בעניינו של אחד הנאשמים המרכזים בפרשת תיאום מכרזי גיזום שפורסמו על ידי חברת החשמל ורשויות מקומיות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לעמידת שירות בתי הסוהר בתנאים שמנה המומחה הרפואי מטעם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לשהייתו של המערער – הסובל ממחלת לב קשה –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הגבלים עסקיים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 בריאותי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הגבלים עסקיים – הסדר כובל – נסיבות מחמירות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מזה ומזה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 בעניינו של המערער ב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2770/19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שהורשע לפי הודאתו בעבירות על 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ההגבלים העסקיים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של צד להסדר כובל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ובעבירות נוספות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של קבלת דבר במרמה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 עבירות של רישום כוזב במסמכי תאגיד ושתי עבירות של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מעורבותו בתיאום מכרזי גיזום שפורסמו על ידי חברת החשמל או רשויות מקומיות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הוטל על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ששימש בתקופה הרלוונטית מנהל בכיר בחברה שעסקה במתן שירותי גיזום עצים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וקנס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הורה על חילוט בסכום </w:t>
      </w:r>
      <w:r>
        <w:rPr>
          <w:rFonts w:cs="Times New Roman" w:ascii="Times New Roman" w:hAnsi="Times New Roman"/>
          <w:spacing w:val="0"/>
          <w:sz w:val="24"/>
          <w:szCs w:val="26"/>
        </w:rPr>
        <w:t>174,000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מנכסי המערער שנתפסו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יצוין כי בסמוך למתן גזר הדין לקה המערער בהתקף 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ומאז חלה החמרה משמעותית במצבו הרפואי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 המדינה הגישה הודעה שאליה צורפו חוות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מומחה למחלות לב ולצנתורי לב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חוות דעת תמרי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בגדרה מנה המומחה תנאים אשר בהתקיימם יוכל המערער לשהות בבית הסוהר וכן צרפה את עמדת גורמי הרפואה בשב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 על בסיס אותה חוות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הם יכולים להעניק למערער טיפול רפואי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 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לדחות את הערעורים ולהותיר את גזר הדין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לעמידת שירות בתי הסוהר בתנאים שמנה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 תמרי בטרם יתחיל המערער לשאת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קובע כי אין להחמיר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חומרתם של המעשים שבהם הורשע המערער רבה וכבר נפסק כי בתחום זה יש לנהוג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גישה מחמירה ברורה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המתבטאת בהטלתם של עונשי מאסר בפועל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של המערער היה בין המרכזיים ביותר בפרשה ומעורבותו במערך התיאומים המסועף הפיקה לו ולחברה תועלות אישיות פרטניות בדמות זכייה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מכרזים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שבגינם התקבלו תשלומים בהיקף של מעל </w:t>
      </w:r>
      <w:r>
        <w:rPr>
          <w:rFonts w:cs="Times New Roman" w:ascii="Times New Roman" w:hAnsi="Times New Roman"/>
          <w:spacing w:val="0"/>
          <w:sz w:val="24"/>
          <w:szCs w:val="26"/>
        </w:rPr>
        <w:t>8.5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מיליון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 עונשו של המערער יש להתחשב בעונשים שהוטלו בסופו של יום על מעורבים אחרים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שחלקם בפרשה מתקרב לחלקו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שכללו תקופות קצרות יחסית של מאסר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בעניינם של ארז מיארה וירון בלווא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שעליהם נגזרו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בפסק הדין בעניין בלווא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הוחלט כי עונשים אלה לא יוחמרו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שנקבע כי הם מצויים על הצד המקל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בין היתר בשל חלוף הזמן מאז ביצוע העבירות וכן בשל תקדימיות תמהיל העבירות שבו הועמדו הנאשמים שם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היפים גם לענייננו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לארז מיארה וירון בלווא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קיבל אחריות והודה בעובדות כתב האישום המתוקן במסגרת הסדר טיעון במהלך פרשת 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סבור כי יש מקום להקלה נוספת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נוכח הבחנות עליהם עומד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בין המערער לבין נאשמים אחרים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העומדות לחובת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 העובדה שפועלו של המערער ניכר בתיאומים שנערכו במכרזים שונים בכל רחבי הארץ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מעבר לאלה שבהם היה לו אינטרס אישי כי החברה תזכה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ועבור חלקו בשניים מההסדרים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קיבלה החברה תשלומים עבור אי התחרות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שבגינם הורשע המערער בעבירות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בצדק שקל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בכף החומרה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את עברו הפלילי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הונחה עילה להתערבות באופן שבו שקל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יתר 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לא קמה עילה להקל הקלה נוספת בעונשו של המערער מחמת מצבו הרפואי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שיקול זה זכה לביטוי מספק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האמור בחוות דעת תמרי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עניינו של המערער בא בגדר המקרים שבהם נשיאה בעונש מאסר בפועל עלול לסכן את חיי נאשם שהורשע בדין או לקצר בצורה ניכרת את תוחלת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ושבהם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רשאי להטיל עונש החורג ממתחם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נדחו טענות המערער לגבי חומרת הקנס והחילוט שעליהם הורה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נדחים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לעמידת שירות בתי הסוהר בתנאים שמנה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 תמרי בחוות 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בהתייחס לשהייתו של המערער מאחורי סורג ובריח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 כלשונם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כמפורט בפסקה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רובין</w:t>
      </w:r>
      <w:r>
        <w:rPr>
          <w:rtl w:val="true"/>
        </w:rPr>
        <w:t xml:space="preserve">)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2770/19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ההגבלים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העסקיים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ההגבלים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העסקיים</w:t>
      </w:r>
      <w:r>
        <w:rPr>
          <w:rtl w:val="true"/>
        </w:rPr>
        <w:t xml:space="preserve">, </w:t>
      </w:r>
      <w:r>
        <w:rPr>
          <w:rtl w:val="true"/>
        </w:rPr>
        <w:t>כשמו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חוק ההגבלים העסקיים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2781</w:t>
      </w:r>
      <w:r>
        <w:rPr>
          <w:rtl w:val="true"/>
        </w:rPr>
        <w:t xml:space="preserve">)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גיזום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שפורסמו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עיקרי הפרשה העומדת ביסוד ההליך שלפנינו</w:t>
      </w:r>
      <w:r>
        <w:rPr>
          <w:rtl w:val="true"/>
        </w:rPr>
        <w:t xml:space="preserve">, </w:t>
      </w:r>
      <w:r>
        <w:rPr>
          <w:rtl w:val="true"/>
        </w:rPr>
        <w:t>עמדתי 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בלווא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שעסק במעורבים אחרים בפרשת קרטל הגיזום שעניינם נדון בכתב אישום מקביל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ועל כן אעמוד כעת רק על עיקרי הדברים הצריכים לעניין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שלפנינו הורשע על יסוד הודאתו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 של צד להסדר כובל בנסיבות מחמירות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 של קבלת דבר במרמה בנסיבות מחמירות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שתי עבירות של רישום כוזב במסמכי תאגיד ושתי עבירות של הלבנת הון לפי </w:t>
      </w:r>
      <w:hyperlink r:id="rId1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ששימש בתקופה הרלוונטית לכתב האישום מנהל בכיר בחברה שעסקה במתן שירותי גיזום עצים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היה מעורב בתיאום מכרזים שפורסמו על ידי חברת החשמל</w:t>
      </w:r>
      <w:r>
        <w:rPr>
          <w:rtl w:val="true"/>
        </w:rPr>
        <w:t xml:space="preserve">, </w:t>
      </w:r>
      <w:r>
        <w:rPr>
          <w:rtl w:val="true"/>
        </w:rPr>
        <w:t>עיריית תל אביב</w:t>
      </w:r>
      <w:r>
        <w:rPr>
          <w:rtl w:val="true"/>
        </w:rPr>
        <w:t xml:space="preserve">, </w:t>
      </w:r>
      <w:r>
        <w:rPr>
          <w:rtl w:val="true"/>
        </w:rPr>
        <w:t>עיריית פתח תקווה ועיריית חיפה לביצוע עבודות גיזום עצים</w:t>
      </w:r>
      <w:r>
        <w:rPr>
          <w:rtl w:val="true"/>
        </w:rPr>
        <w:t xml:space="preserve">. </w:t>
      </w:r>
      <w:r>
        <w:rPr>
          <w:rtl w:val="true"/>
        </w:rPr>
        <w:t>בחלק מהמכרזים נושא כתב האישום הגיש המערער בשם החברה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>, "</w:t>
      </w:r>
      <w:r>
        <w:rPr>
          <w:rtl w:val="true"/>
        </w:rPr>
        <w:t>הצעות גיבוי</w:t>
      </w:r>
      <w:r>
        <w:rPr>
          <w:rtl w:val="true"/>
        </w:rPr>
        <w:t>" (</w:t>
      </w:r>
      <w:r>
        <w:rPr>
          <w:rtl w:val="true"/>
        </w:rPr>
        <w:t>הצעות במחירים גבוהים יותר מההצעה שסוכם מראש שתזכה במכרז</w:t>
      </w:r>
      <w:r>
        <w:rPr>
          <w:rtl w:val="true"/>
        </w:rPr>
        <w:t xml:space="preserve">, </w:t>
      </w:r>
      <w:r>
        <w:rPr>
          <w:rtl w:val="true"/>
        </w:rPr>
        <w:t>שנועדו ליצור מראית עין של תחרות</w:t>
      </w:r>
      <w:r>
        <w:rPr>
          <w:rtl w:val="true"/>
        </w:rPr>
        <w:t xml:space="preserve">), </w:t>
      </w:r>
      <w:r>
        <w:rPr>
          <w:rtl w:val="true"/>
        </w:rPr>
        <w:t>בחלקם לא התמודדה החברה</w:t>
      </w:r>
      <w:r>
        <w:rPr>
          <w:rtl w:val="true"/>
        </w:rPr>
        <w:t xml:space="preserve">, </w:t>
      </w:r>
      <w:r>
        <w:rPr>
          <w:rtl w:val="true"/>
        </w:rPr>
        <w:t xml:space="preserve">ובחלקם </w:t>
      </w:r>
      <w:r>
        <w:rPr>
          <w:rtl w:val="true"/>
        </w:rPr>
        <w:t>–</w:t>
      </w:r>
      <w:r>
        <w:rPr>
          <w:rtl w:val="true"/>
        </w:rPr>
        <w:t xml:space="preserve"> זכתה החברה במכרז</w:t>
      </w:r>
      <w:r>
        <w:rPr>
          <w:rtl w:val="true"/>
        </w:rPr>
        <w:t xml:space="preserve">, </w:t>
      </w:r>
      <w:r>
        <w:rPr>
          <w:rtl w:val="true"/>
        </w:rPr>
        <w:t>הכל בהתאם לסיכומים קודמים באשר לזהות הזוכה במכרז בכל אחד מהמקרים</w:t>
      </w:r>
      <w:r>
        <w:rPr>
          <w:rtl w:val="true"/>
        </w:rPr>
        <w:t xml:space="preserve">, </w:t>
      </w:r>
      <w:r>
        <w:rPr>
          <w:rtl w:val="true"/>
        </w:rPr>
        <w:t>לפי הפירוט בכתב האישום המתוקן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בשני מקרים קיבלה החברה</w:t>
      </w:r>
      <w:r>
        <w:rPr>
          <w:rtl w:val="true"/>
        </w:rPr>
        <w:t xml:space="preserve">,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תשלומים עבור הסיכום עם המערער כי היא לא תתחרה במכרז או כי תוגש הצעת גיבוי מטעמה</w:t>
      </w:r>
      <w:r>
        <w:rPr>
          <w:rtl w:val="true"/>
        </w:rPr>
        <w:t xml:space="preserve">, </w:t>
      </w:r>
      <w:r>
        <w:rPr>
          <w:rtl w:val="true"/>
        </w:rPr>
        <w:t xml:space="preserve">שהוסוו </w:t>
      </w:r>
      <w:r>
        <w:rPr>
          <w:rtl w:val="true"/>
        </w:rPr>
        <w:t>(</w:t>
      </w:r>
      <w:r>
        <w:rPr>
          <w:rtl w:val="true"/>
        </w:rPr>
        <w:t>בחלקם</w:t>
      </w:r>
      <w:r>
        <w:rPr>
          <w:rtl w:val="true"/>
        </w:rPr>
        <w:t xml:space="preserve">) </w:t>
      </w:r>
      <w:r>
        <w:rPr>
          <w:rtl w:val="true"/>
        </w:rPr>
        <w:t>כתשלומים עבור עבודות גיזום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בירושלים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רובין</w:t>
      </w:r>
      <w:r>
        <w:rPr>
          <w:rtl w:val="true"/>
        </w:rPr>
        <w:t xml:space="preserve">) </w:t>
      </w:r>
      <w:r>
        <w:rPr>
          <w:rtl w:val="true"/>
        </w:rPr>
        <w:t xml:space="preserve">הרשיע את המערער ביום </w:t>
      </w:r>
      <w:r>
        <w:rPr/>
        <w:t>18.6.2017</w:t>
      </w:r>
      <w:r>
        <w:rPr>
          <w:rtl w:val="true"/>
        </w:rPr>
        <w:t xml:space="preserve"> </w:t>
      </w:r>
      <w:r>
        <w:rPr>
          <w:rtl w:val="true"/>
        </w:rPr>
        <w:t>לפי הודאתו בעבירות שיוחסו לו כאמור</w:t>
      </w:r>
      <w:r>
        <w:rPr>
          <w:rtl w:val="true"/>
        </w:rPr>
        <w:t xml:space="preserve">. </w:t>
      </w:r>
      <w:r>
        <w:rPr>
          <w:rtl w:val="true"/>
        </w:rPr>
        <w:t xml:space="preserve">לבקשת המערער הוגש בעניינו </w:t>
      </w:r>
      <w:r>
        <w:rPr>
          <w:rtl w:val="true"/>
        </w:rPr>
        <w:t>–</w:t>
      </w:r>
      <w:r>
        <w:rPr>
          <w:rtl w:val="true"/>
        </w:rPr>
        <w:t xml:space="preserve"> עובר למתן גזר הדין </w:t>
      </w:r>
      <w:r>
        <w:rPr>
          <w:rtl w:val="true"/>
        </w:rPr>
        <w:t>–</w:t>
      </w:r>
      <w:r>
        <w:rPr>
          <w:rtl w:val="true"/>
        </w:rPr>
        <w:t xml:space="preserve"> תסקיר מטעם שירות המבחן</w:t>
      </w:r>
      <w:r>
        <w:rPr>
          <w:rtl w:val="true"/>
        </w:rPr>
        <w:t xml:space="preserve">, </w:t>
      </w:r>
      <w:r>
        <w:rPr>
          <w:rtl w:val="true"/>
        </w:rPr>
        <w:t>ובו תוארו קורות חייו ועברו הפלילי</w:t>
      </w:r>
      <w:r>
        <w:rPr>
          <w:rtl w:val="true"/>
        </w:rPr>
        <w:t xml:space="preserve">, </w:t>
      </w:r>
      <w:r>
        <w:rPr>
          <w:rtl w:val="true"/>
        </w:rPr>
        <w:t>הכולל הרשעה בעבירות של מתן שוחד</w:t>
      </w:r>
      <w:r>
        <w:rPr>
          <w:rtl w:val="true"/>
        </w:rPr>
        <w:t xml:space="preserve">, </w:t>
      </w:r>
      <w:r>
        <w:rPr>
          <w:rtl w:val="true"/>
        </w:rPr>
        <w:t>הלבנת הון</w:t>
      </w:r>
      <w:r>
        <w:rPr>
          <w:rtl w:val="true"/>
        </w:rPr>
        <w:t xml:space="preserve">, </w:t>
      </w:r>
      <w:r>
        <w:rPr>
          <w:rtl w:val="true"/>
        </w:rPr>
        <w:t>שיבוש מהלכי משפט והטרדת עד</w:t>
      </w:r>
      <w:r>
        <w:rPr>
          <w:rtl w:val="true"/>
        </w:rPr>
        <w:t xml:space="preserve">, </w:t>
      </w:r>
      <w:r>
        <w:rPr>
          <w:rtl w:val="true"/>
        </w:rPr>
        <w:t xml:space="preserve">שבגינן נגזר עליו </w:t>
      </w:r>
      <w:r>
        <w:rPr>
          <w:rtl w:val="true"/>
        </w:rPr>
        <w:t>(</w:t>
      </w:r>
      <w:r>
        <w:rPr>
          <w:rtl w:val="true"/>
        </w:rPr>
        <w:t>במסגרת הסדר טיעון</w:t>
      </w:r>
      <w:r>
        <w:rPr>
          <w:rtl w:val="true"/>
        </w:rPr>
        <w:t xml:space="preserve">) </w:t>
      </w:r>
      <w:r>
        <w:rPr>
          <w:rtl w:val="true"/>
        </w:rPr>
        <w:t>עונש של מאסר בפועל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וקנס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tl w:val="true"/>
        </w:rPr>
        <w:t xml:space="preserve">). </w:t>
      </w:r>
      <w:r>
        <w:rPr>
          <w:rtl w:val="true"/>
        </w:rPr>
        <w:t xml:space="preserve">בתסקיר צוין כי המערער הביע נכונות להשתתף בהליך טיפולי אולם התרשמותו של שירות המבחן הייתה כי המוטיבציה לכך </w:t>
      </w:r>
      <w:r>
        <w:rPr>
          <w:rtl w:val="true"/>
        </w:rPr>
        <w:t>"</w:t>
      </w:r>
      <w:r>
        <w:rPr>
          <w:rtl w:val="true"/>
        </w:rPr>
        <w:t>חיצונית לטיפול</w:t>
      </w:r>
      <w:r>
        <w:rPr>
          <w:rtl w:val="true"/>
        </w:rPr>
        <w:t xml:space="preserve">" </w:t>
      </w:r>
      <w:r>
        <w:rPr>
          <w:rtl w:val="true"/>
        </w:rPr>
        <w:t>ונובעת מחששו של המערער מפני תוצאות ההליך הפלילי</w:t>
      </w:r>
      <w:r>
        <w:rPr>
          <w:rtl w:val="true"/>
        </w:rPr>
        <w:t xml:space="preserve">. </w:t>
      </w:r>
      <w:r>
        <w:rPr>
          <w:rtl w:val="true"/>
        </w:rPr>
        <w:t>שירות המבחן עמד על השיקולים התומכים בבחירה בהליך טיפולי</w:t>
      </w:r>
      <w:r>
        <w:rPr>
          <w:rtl w:val="true"/>
        </w:rPr>
        <w:t xml:space="preserve">, </w:t>
      </w:r>
      <w:r>
        <w:rPr>
          <w:rtl w:val="true"/>
        </w:rPr>
        <w:t>ובהם מצבו הרפואי המורכב של המערער</w:t>
      </w:r>
      <w:r>
        <w:rPr>
          <w:rtl w:val="true"/>
        </w:rPr>
        <w:t xml:space="preserve">, </w:t>
      </w:r>
      <w:r>
        <w:rPr>
          <w:rtl w:val="true"/>
        </w:rPr>
        <w:t>אולם לא מצא להמליץ באופן חד משמעי על אפיק טיפולי</w:t>
      </w:r>
      <w:r>
        <w:rPr>
          <w:rtl w:val="true"/>
        </w:rPr>
        <w:t xml:space="preserve">, </w:t>
      </w:r>
      <w:r>
        <w:rPr>
          <w:rtl w:val="true"/>
        </w:rPr>
        <w:t>בין היתר נוכח חומרת העבירות והעבר הפלילי המתואר</w:t>
      </w:r>
      <w:r>
        <w:rPr>
          <w:rtl w:val="true"/>
        </w:rPr>
        <w:t xml:space="preserve">. </w:t>
      </w:r>
      <w:r>
        <w:rPr>
          <w:rtl w:val="true"/>
        </w:rPr>
        <w:t>בסופו של דבר צוין בתסקיר כי אם בית המשפט יבחר במסלול הטיפולי</w:t>
      </w:r>
      <w:r>
        <w:rPr>
          <w:rtl w:val="true"/>
        </w:rPr>
        <w:t xml:space="preserve">, </w:t>
      </w:r>
      <w:r>
        <w:rPr>
          <w:rtl w:val="true"/>
        </w:rPr>
        <w:t>המערער יוכל להשתלב בהליך זה במסגרת שירות המבחן ואם יוטל עליו עונש מאסר</w:t>
      </w:r>
      <w:r>
        <w:rPr>
          <w:rtl w:val="true"/>
        </w:rPr>
        <w:t xml:space="preserve">, </w:t>
      </w:r>
      <w:r>
        <w:rPr>
          <w:rtl w:val="true"/>
        </w:rPr>
        <w:t>הומלץ להפנות את המערער להליך אבחון ומיון מוקדם אצל שירות בתי הסוהר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דין מיום </w:t>
      </w:r>
      <w:r>
        <w:rPr/>
        <w:t>6.3.2019</w:t>
      </w:r>
      <w:r>
        <w:rPr>
          <w:rtl w:val="true"/>
        </w:rPr>
        <w:t xml:space="preserve"> </w:t>
      </w:r>
      <w:r>
        <w:rPr>
          <w:rtl w:val="true"/>
        </w:rPr>
        <w:t xml:space="preserve">קבע בית המשפט כי מתחם העונש ההולם לעבירות שבהן הורשע המערער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לאחר שמצא לסווג את האישומים בפרשה כאירוע אחד</w:t>
      </w:r>
      <w:r>
        <w:rPr>
          <w:rtl w:val="true"/>
        </w:rPr>
        <w:t xml:space="preserve">, </w:t>
      </w:r>
      <w:r>
        <w:rPr>
          <w:rtl w:val="true"/>
        </w:rPr>
        <w:t>שלו יש לקבוע מתחם אחד</w:t>
      </w:r>
      <w:r>
        <w:rPr>
          <w:rtl w:val="true"/>
        </w:rPr>
        <w:t xml:space="preserve">). </w:t>
      </w:r>
      <w:r>
        <w:rPr>
          <w:rtl w:val="true"/>
        </w:rPr>
        <w:t xml:space="preserve">זאת בהתחשב בפגיעה באינטרס הציבורי כתוצאה מביצוע עבירות לפי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ההגבלים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העסקיים</w:t>
        </w:r>
      </w:hyperlink>
      <w:r>
        <w:rPr>
          <w:rtl w:val="true"/>
        </w:rPr>
        <w:t xml:space="preserve"> ונסיבות ביצוע עבירות אלו </w:t>
      </w:r>
      <w:r>
        <w:rPr>
          <w:rtl w:val="true"/>
        </w:rPr>
        <w:t>(</w:t>
      </w:r>
      <w:r>
        <w:rPr>
          <w:rtl w:val="true"/>
        </w:rPr>
        <w:t>לצד עבירות נוספות</w:t>
      </w:r>
      <w:r>
        <w:rPr>
          <w:rtl w:val="true"/>
        </w:rPr>
        <w:t xml:space="preserve">), </w:t>
      </w:r>
      <w:r>
        <w:rPr>
          <w:rtl w:val="true"/>
        </w:rPr>
        <w:t xml:space="preserve">שבמסגרתן תיאמו הצדדים את הגשת ההצעות בכמות </w:t>
      </w:r>
      <w:r>
        <w:rPr>
          <w:rtl w:val="true"/>
        </w:rPr>
        <w:t>"</w:t>
      </w:r>
      <w:r>
        <w:rPr>
          <w:rtl w:val="true"/>
        </w:rPr>
        <w:t>נכבדה</w:t>
      </w:r>
      <w:r>
        <w:rPr>
          <w:rtl w:val="true"/>
        </w:rPr>
        <w:t xml:space="preserve">" </w:t>
      </w:r>
      <w:r>
        <w:rPr>
          <w:rtl w:val="true"/>
        </w:rPr>
        <w:t>של מכרזים במשך תקופה לא קצרה</w:t>
      </w:r>
      <w:r>
        <w:rPr>
          <w:rtl w:val="true"/>
        </w:rPr>
        <w:t xml:space="preserve">, </w:t>
      </w:r>
      <w:r>
        <w:rPr>
          <w:rtl w:val="true"/>
        </w:rPr>
        <w:t>באופן מתוכנן ובשיטתיות</w:t>
      </w:r>
      <w:r>
        <w:rPr>
          <w:rtl w:val="true"/>
        </w:rPr>
        <w:t xml:space="preserve">. </w:t>
      </w:r>
      <w:r>
        <w:rPr>
          <w:rtl w:val="true"/>
        </w:rPr>
        <w:t>עוד צוין לכף החומרה חלקו המרכזי של המערער בקרטל הגיזום</w:t>
      </w:r>
      <w:r>
        <w:rPr>
          <w:rtl w:val="true"/>
        </w:rPr>
        <w:t xml:space="preserve">, </w:t>
      </w:r>
      <w:r>
        <w:rPr>
          <w:rtl w:val="true"/>
        </w:rPr>
        <w:t xml:space="preserve">הגם שמעורבותו בתיאום המכרזים השונים השתנתה ממקרה למקרה ולצדו פעלו שותפים מרכזיים אחרים </w:t>
      </w:r>
      <w:r>
        <w:rPr>
          <w:rtl w:val="true"/>
        </w:rPr>
        <w:t>(</w:t>
      </w:r>
      <w:r>
        <w:rPr>
          <w:rtl w:val="true"/>
        </w:rPr>
        <w:t>ועל כך עמד בית המשפט בפירוט בגזר הדין</w:t>
      </w:r>
      <w:r>
        <w:rPr>
          <w:rtl w:val="true"/>
        </w:rPr>
        <w:t xml:space="preserve">). </w:t>
      </w:r>
      <w:r>
        <w:rPr>
          <w:rtl w:val="true"/>
        </w:rPr>
        <w:t>לצורך קביעת העונש בתוך המתחם שקל בית המשפט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נסיבותיו האישיות של המערער </w:t>
      </w:r>
      <w:r>
        <w:rPr>
          <w:rtl w:val="true"/>
        </w:rPr>
        <w:t>(</w:t>
      </w:r>
      <w:r>
        <w:rPr>
          <w:rtl w:val="true"/>
        </w:rPr>
        <w:t>ובהן מצבו הרפואי</w:t>
      </w:r>
      <w:r>
        <w:rPr>
          <w:rtl w:val="true"/>
        </w:rPr>
        <w:t xml:space="preserve">); </w:t>
      </w:r>
      <w:r>
        <w:rPr>
          <w:rtl w:val="true"/>
        </w:rPr>
        <w:t>את הודאתו</w:t>
      </w:r>
      <w:r>
        <w:rPr>
          <w:rtl w:val="true"/>
        </w:rPr>
        <w:t xml:space="preserve">; </w:t>
      </w:r>
      <w:r>
        <w:rPr>
          <w:rtl w:val="true"/>
        </w:rPr>
        <w:t>את העונשים שהוטלו על מעורבים אחרים בפרשה</w:t>
      </w:r>
      <w:r>
        <w:rPr>
          <w:rtl w:val="true"/>
        </w:rPr>
        <w:t xml:space="preserve">; </w:t>
      </w:r>
      <w:r>
        <w:rPr>
          <w:rtl w:val="true"/>
        </w:rPr>
        <w:t>את הבעת החרטה מטעמו</w:t>
      </w:r>
      <w:r>
        <w:rPr>
          <w:rtl w:val="true"/>
        </w:rPr>
        <w:t xml:space="preserve">; </w:t>
      </w:r>
      <w:r>
        <w:rPr>
          <w:rtl w:val="true"/>
        </w:rPr>
        <w:t>את עברו הפלילי</w:t>
      </w:r>
      <w:r>
        <w:rPr>
          <w:rtl w:val="true"/>
        </w:rPr>
        <w:t xml:space="preserve">; </w:t>
      </w:r>
      <w:r>
        <w:rPr>
          <w:rtl w:val="true"/>
        </w:rPr>
        <w:t>ואת חלוף הזמן מאז ביצוע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על רקע השיקולים האמורים גזר בית המשפט על המערער עונש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 xml:space="preserve">מאסר על תנאי </w:t>
      </w:r>
      <w:r>
        <w:rPr>
          <w:rtl w:val="true"/>
        </w:rPr>
        <w:t>(</w:t>
      </w:r>
      <w:r>
        <w:rPr>
          <w:rtl w:val="true"/>
        </w:rPr>
        <w:t>כפי שפורט בגזר הדין</w:t>
      </w:r>
      <w:r>
        <w:rPr>
          <w:rtl w:val="true"/>
        </w:rPr>
        <w:t xml:space="preserve">); </w:t>
      </w:r>
      <w:r>
        <w:rPr>
          <w:rtl w:val="true"/>
        </w:rPr>
        <w:t xml:space="preserve">וקנס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הורה על חילוט בסכום </w:t>
      </w:r>
      <w:r>
        <w:rPr/>
        <w:t>174,000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מנכסי המערער שנתפסו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בהחלטה נוספת מאותו יום הורה בית המשפט המחוזי</w:t>
      </w:r>
      <w:r>
        <w:rPr>
          <w:rtl w:val="true"/>
        </w:rPr>
        <w:t xml:space="preserve">, </w:t>
      </w: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>על עיכוב ביצוע גזר הדין</w:t>
      </w:r>
      <w:r>
        <w:rPr>
          <w:rtl w:val="true"/>
        </w:rPr>
        <w:t xml:space="preserve">, </w:t>
      </w:r>
      <w:r>
        <w:rPr>
          <w:rtl w:val="true"/>
        </w:rPr>
        <w:t>על כל חלקיו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ימים </w:t>
      </w:r>
      <w:r>
        <w:rPr>
          <w:rtl w:val="true"/>
        </w:rPr>
        <w:t>–</w:t>
      </w:r>
      <w:r>
        <w:rPr>
          <w:rtl w:val="true"/>
        </w:rPr>
        <w:t xml:space="preserve"> לשם הגשת 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במאוחד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2770/19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5.5.2019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טוען כי חלקו ומעורבותו של עד המדינה בפרשה שלפנינו </w:t>
      </w:r>
      <w:r>
        <w:rPr>
          <w:rtl w:val="true"/>
        </w:rPr>
        <w:t>(</w:t>
      </w:r>
      <w:r>
        <w:rPr>
          <w:rtl w:val="true"/>
        </w:rPr>
        <w:t>אף במהלך ניהול החקירה הסמויה</w:t>
      </w:r>
      <w:r>
        <w:rPr>
          <w:rtl w:val="true"/>
        </w:rPr>
        <w:t xml:space="preserve">) </w:t>
      </w:r>
      <w:r>
        <w:rPr>
          <w:rtl w:val="true"/>
        </w:rPr>
        <w:t>גדולים ומשמעותיים</w:t>
      </w:r>
      <w:r>
        <w:rPr>
          <w:rtl w:val="true"/>
        </w:rPr>
        <w:t xml:space="preserve">, </w:t>
      </w:r>
      <w:r>
        <w:rPr>
          <w:rtl w:val="true"/>
        </w:rPr>
        <w:t>וכי היה מקום לתת לכך משקל לקולה בגזירת עונשו</w:t>
      </w:r>
      <w:r>
        <w:rPr>
          <w:rtl w:val="true"/>
        </w:rPr>
        <w:t xml:space="preserve">. </w:t>
      </w:r>
      <w:r>
        <w:rPr>
          <w:rtl w:val="true"/>
        </w:rPr>
        <w:t>נטען כי המדינה לא הציגה אומדן לגבי הנזק שנגרם כתוצאה מתיאום המכרזים נושא כתב האישום וכי מכל מקום היקפו קטן מהתמורה הכוללת של המכרזים</w:t>
      </w:r>
      <w:r>
        <w:rPr>
          <w:rtl w:val="true"/>
        </w:rPr>
        <w:t xml:space="preserve">, </w:t>
      </w:r>
      <w:r>
        <w:rPr>
          <w:rtl w:val="true"/>
        </w:rPr>
        <w:t>שכן גם אם נעשה תשלום ביתר עבורן</w:t>
      </w:r>
      <w:r>
        <w:rPr>
          <w:rtl w:val="true"/>
        </w:rPr>
        <w:t xml:space="preserve">, </w:t>
      </w:r>
      <w:r>
        <w:rPr>
          <w:rtl w:val="true"/>
        </w:rPr>
        <w:t>העבודות בוצעו בסופו של דבר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מפרט המערער כי בחלק מהאישומים </w:t>
      </w:r>
      <w:r>
        <w:rPr>
          <w:rtl w:val="true"/>
        </w:rPr>
        <w:t>–</w:t>
      </w:r>
      <w:r>
        <w:rPr>
          <w:rtl w:val="true"/>
        </w:rPr>
        <w:t xml:space="preserve"> למשל לגבי מכרזי ירושלים</w:t>
      </w:r>
      <w:r>
        <w:rPr>
          <w:rtl w:val="true"/>
        </w:rPr>
        <w:t xml:space="preserve">, </w:t>
      </w:r>
      <w:r>
        <w:rPr>
          <w:rtl w:val="true"/>
        </w:rPr>
        <w:t>מכרזי הדרום ומכרז רעננה</w:t>
      </w:r>
      <w:r>
        <w:rPr>
          <w:rtl w:val="true"/>
        </w:rPr>
        <w:t xml:space="preserve">, </w:t>
      </w:r>
      <w:r>
        <w:rPr>
          <w:rtl w:val="true"/>
        </w:rPr>
        <w:t>חלקו היה שולי לעומת הרווח שהפיקו משתתפים אחרים בתיאום</w:t>
      </w:r>
      <w:r>
        <w:rPr>
          <w:rtl w:val="true"/>
        </w:rPr>
        <w:t xml:space="preserve">; </w:t>
      </w:r>
      <w:r>
        <w:rPr>
          <w:rtl w:val="true"/>
        </w:rPr>
        <w:t>וכי ביחס למכרז פתח תקווה</w:t>
      </w:r>
      <w:r>
        <w:rPr>
          <w:rtl w:val="true"/>
        </w:rPr>
        <w:t xml:space="preserve">, </w:t>
      </w:r>
      <w:r>
        <w:rPr>
          <w:rtl w:val="true"/>
        </w:rPr>
        <w:t>הצעתה של החברה הייתה נמוכה ב</w:t>
      </w:r>
      <w:r>
        <w:rPr>
          <w:rtl w:val="true"/>
        </w:rPr>
        <w:t>-</w:t>
      </w:r>
      <w:r>
        <w:rPr/>
        <w:t>48%</w:t>
      </w:r>
      <w:r>
        <w:rPr>
          <w:rtl w:val="true"/>
        </w:rPr>
        <w:t xml:space="preserve"> </w:t>
      </w:r>
      <w:r>
        <w:rPr>
          <w:rtl w:val="true"/>
        </w:rPr>
        <w:t>ממחיר האומדן של העירייה עצמה ועל כן למעשה העירייה לא נדרשה לשלם מחיר גבוה יותר בעקבות תיאום המכרז</w:t>
      </w:r>
      <w:r>
        <w:rPr>
          <w:rtl w:val="true"/>
        </w:rPr>
        <w:t xml:space="preserve">. </w:t>
      </w:r>
      <w:r>
        <w:rPr>
          <w:rtl w:val="true"/>
        </w:rPr>
        <w:t>המערער טוען כי בית המשפט המחוזי לא השווה נכונה בין עניינו ובין עניינם של נאשמים אחרים</w:t>
      </w:r>
      <w:r>
        <w:rPr>
          <w:rtl w:val="true"/>
        </w:rPr>
        <w:t xml:space="preserve">, </w:t>
      </w:r>
      <w:r>
        <w:rPr>
          <w:rtl w:val="true"/>
        </w:rPr>
        <w:t>שהעונש שנגזר עליהם קל משלו</w:t>
      </w:r>
      <w:r>
        <w:rPr>
          <w:rtl w:val="true"/>
        </w:rPr>
        <w:t xml:space="preserve">, </w:t>
      </w:r>
      <w:r>
        <w:rPr>
          <w:rtl w:val="true"/>
        </w:rPr>
        <w:t xml:space="preserve">או לחלופין </w:t>
      </w:r>
      <w:r>
        <w:rPr>
          <w:rtl w:val="true"/>
        </w:rPr>
        <w:t>–</w:t>
      </w:r>
      <w:r>
        <w:rPr>
          <w:rtl w:val="true"/>
        </w:rPr>
        <w:t xml:space="preserve"> שמעורבותם חמורה משלו</w:t>
      </w:r>
      <w:r>
        <w:rPr>
          <w:rtl w:val="true"/>
        </w:rPr>
        <w:t xml:space="preserve">. </w:t>
      </w:r>
      <w:r>
        <w:rPr>
          <w:rtl w:val="true"/>
        </w:rPr>
        <w:t>באשר לגזירת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נטען כי לא ניתן משקל מתאים להליך השיקום שעבר המערער</w:t>
      </w:r>
      <w:r>
        <w:rPr>
          <w:rtl w:val="true"/>
        </w:rPr>
        <w:t xml:space="preserve">, </w:t>
      </w:r>
      <w:r>
        <w:rPr>
          <w:rtl w:val="true"/>
        </w:rPr>
        <w:t>וכן לחלוף הזמן מאז ביצוע העבירות ולהשלכותיו של עונש מאסר מאחורי סורג ובריח על המערער ועל משפחתו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העונש שנגזר על המערער לא משקף את העובדה כי מדובר בתיק תקדימי מבחינת החיבור בין עבירות לפי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ההגבלים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העסקיים</w:t>
        </w:r>
      </w:hyperlink>
      <w:r>
        <w:rPr>
          <w:rtl w:val="true"/>
        </w:rPr>
        <w:t xml:space="preserve"> ועבירות לפי 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אשר לחילוט ולקנס נטען כי שיעורם לא הולם את מצבו הכלכלי והאישי כפי שהוצג לבית המשפט המחוזי</w:t>
      </w:r>
      <w:r>
        <w:rPr>
          <w:rtl w:val="true"/>
        </w:rPr>
        <w:t xml:space="preserve">, </w:t>
      </w:r>
      <w:r>
        <w:rPr>
          <w:rtl w:val="true"/>
        </w:rPr>
        <w:t>וכי בגזירת הקנס לא ניתן משקל לקנס שהוטל על החברה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עותרת מצדה להחמיר את העונש שהוטל על המערער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גזר הדין של בית המשפט המחוזי לא נותן ביטוי הולם לחומרת מעשיו של המערער בקרטל הגיזום</w:t>
      </w:r>
      <w:r>
        <w:rPr>
          <w:rtl w:val="true"/>
        </w:rPr>
        <w:t xml:space="preserve">, </w:t>
      </w:r>
      <w:r>
        <w:rPr>
          <w:rtl w:val="true"/>
        </w:rPr>
        <w:t xml:space="preserve">שבמסגרתו הוקמה </w:t>
      </w:r>
      <w:r>
        <w:rPr>
          <w:rtl w:val="true"/>
        </w:rPr>
        <w:t>"</w:t>
      </w:r>
      <w:r>
        <w:rPr>
          <w:rtl w:val="true"/>
        </w:rPr>
        <w:t>תעשייה שלמה</w:t>
      </w:r>
      <w:r>
        <w:rPr>
          <w:rtl w:val="true"/>
        </w:rPr>
        <w:t xml:space="preserve">" </w:t>
      </w:r>
      <w:r>
        <w:rPr>
          <w:rtl w:val="true"/>
        </w:rPr>
        <w:t>לתיאום מכרזים ולחלוקת שוק שיטתית וכלל</w:t>
      </w:r>
      <w:r>
        <w:rPr>
          <w:rtl w:val="true"/>
        </w:rPr>
        <w:t>-</w:t>
      </w:r>
      <w:r>
        <w:rPr>
          <w:rtl w:val="true"/>
        </w:rPr>
        <w:t>ארצית</w:t>
      </w:r>
      <w:r>
        <w:rPr>
          <w:rtl w:val="true"/>
        </w:rPr>
        <w:t xml:space="preserve">, </w:t>
      </w:r>
      <w:r>
        <w:rPr>
          <w:rtl w:val="true"/>
        </w:rPr>
        <w:t>במשך תקופה ארוכה</w:t>
      </w:r>
      <w:r>
        <w:rPr>
          <w:rtl w:val="true"/>
        </w:rPr>
        <w:t xml:space="preserve">. </w:t>
      </w:r>
      <w:r>
        <w:rPr>
          <w:rtl w:val="true"/>
        </w:rPr>
        <w:t>המדינה טוענת כי בגזר הדין לא ניתן ביטוי מספק לעבירות הנוספות שביצע המערער</w:t>
      </w:r>
      <w:r>
        <w:rPr>
          <w:rtl w:val="true"/>
        </w:rPr>
        <w:t xml:space="preserve">, </w:t>
      </w:r>
      <w:r>
        <w:rPr>
          <w:rtl w:val="true"/>
        </w:rPr>
        <w:t>ובהן עבירות קבלת דבר במרמה</w:t>
      </w:r>
      <w:r>
        <w:rPr>
          <w:rtl w:val="true"/>
        </w:rPr>
        <w:t xml:space="preserve">, </w:t>
      </w:r>
      <w:r>
        <w:rPr>
          <w:rtl w:val="true"/>
        </w:rPr>
        <w:t>שפגעו בלבו של המכרז הציבורי</w:t>
      </w:r>
      <w:r>
        <w:rPr>
          <w:rtl w:val="true"/>
        </w:rPr>
        <w:t xml:space="preserve">. </w:t>
      </w:r>
      <w:r>
        <w:rPr>
          <w:rtl w:val="true"/>
        </w:rPr>
        <w:t>נטען כי חלקו היחסי של המערער בפרשה הוא הגדול ביותר</w:t>
      </w:r>
      <w:r>
        <w:rPr>
          <w:rtl w:val="true"/>
        </w:rPr>
        <w:t xml:space="preserve">, </w:t>
      </w:r>
      <w:r>
        <w:rPr>
          <w:rtl w:val="true"/>
        </w:rPr>
        <w:t xml:space="preserve">וכי המערער היה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 xml:space="preserve">" </w:t>
      </w:r>
      <w:r>
        <w:rPr>
          <w:rtl w:val="true"/>
        </w:rPr>
        <w:t xml:space="preserve">בתיאום המכרזים שבהם עסקו שלושה אישומים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מכרזים</w:t>
      </w:r>
      <w:r>
        <w:rPr>
          <w:rtl w:val="true"/>
        </w:rPr>
        <w:t xml:space="preserve">) </w:t>
      </w:r>
      <w:r>
        <w:rPr>
          <w:rtl w:val="true"/>
        </w:rPr>
        <w:t>ונטל חלק משמעותי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אישומים נוספים </w:t>
      </w:r>
      <w:r>
        <w:rPr>
          <w:rtl w:val="true"/>
        </w:rPr>
        <w:t>(</w:t>
      </w:r>
      <w:r>
        <w:rPr>
          <w:rtl w:val="true"/>
        </w:rPr>
        <w:t xml:space="preserve">שכללו תיאום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מכרזים</w:t>
      </w:r>
      <w:r>
        <w:rPr>
          <w:rtl w:val="true"/>
        </w:rPr>
        <w:t xml:space="preserve">). </w:t>
      </w:r>
      <w:r>
        <w:rPr>
          <w:rtl w:val="true"/>
        </w:rPr>
        <w:t>עוד צוין כי העונש המבוקש על ידי המדינה</w:t>
      </w:r>
      <w:r>
        <w:rPr>
          <w:rtl w:val="true"/>
        </w:rPr>
        <w:t xml:space="preserve">, </w:t>
      </w:r>
      <w:r>
        <w:rPr>
          <w:rtl w:val="true"/>
        </w:rPr>
        <w:t>מתבסס על ניתוח כל אחד מהאישומים כאירוע עצמאי</w:t>
      </w:r>
      <w:r>
        <w:rPr>
          <w:rtl w:val="true"/>
        </w:rPr>
        <w:t xml:space="preserve">, </w:t>
      </w:r>
      <w:r>
        <w:rPr>
          <w:rtl w:val="true"/>
        </w:rPr>
        <w:t>שלו יש לקבוע מתחם נפרד</w:t>
      </w:r>
      <w:r>
        <w:rPr>
          <w:rtl w:val="true"/>
        </w:rPr>
        <w:t xml:space="preserve">, </w:t>
      </w:r>
      <w:r>
        <w:rPr>
          <w:rtl w:val="true"/>
        </w:rPr>
        <w:t>ומכל מקום החמרת העונש מוצדקת בהינתן ריבוי העבירות שבהן הורשע המערער</w:t>
      </w:r>
      <w:r>
        <w:rPr>
          <w:rtl w:val="true"/>
        </w:rPr>
        <w:t xml:space="preserve">. </w:t>
      </w:r>
      <w:r>
        <w:rPr>
          <w:rtl w:val="true"/>
        </w:rPr>
        <w:t>המדינה מוסיפה וטוענת כי גם עונש הקנס מקל מדי</w:t>
      </w:r>
      <w:r>
        <w:rPr>
          <w:rtl w:val="true"/>
        </w:rPr>
        <w:t xml:space="preserve">, </w:t>
      </w:r>
      <w:r>
        <w:rPr>
          <w:rtl w:val="true"/>
        </w:rPr>
        <w:t>בהינתן היקפם הכולל של המכרזים שבהם פגע הקרטל</w:t>
      </w:r>
      <w:r>
        <w:rPr>
          <w:rtl w:val="true"/>
        </w:rPr>
        <w:t xml:space="preserve">, </w:t>
      </w:r>
      <w:r>
        <w:rPr>
          <w:rtl w:val="true"/>
        </w:rPr>
        <w:t>וכן בשים לב לטובת ההנאה שהפיקו המערער והחברה מהעבירות</w:t>
      </w:r>
      <w:r>
        <w:rPr>
          <w:rtl w:val="true"/>
        </w:rPr>
        <w:t xml:space="preserve">. </w:t>
      </w:r>
      <w:r>
        <w:rPr>
          <w:rtl w:val="true"/>
        </w:rPr>
        <w:t>אשר לשיקולים הנוגעים למערער</w:t>
      </w:r>
      <w:r>
        <w:rPr>
          <w:rtl w:val="true"/>
        </w:rPr>
        <w:t xml:space="preserve">, </w:t>
      </w:r>
      <w:r>
        <w:rPr>
          <w:rtl w:val="true"/>
        </w:rPr>
        <w:t>נטען כי לא ניתן משקל ראוי לעברו הפלילי המכביד</w:t>
      </w:r>
      <w:r>
        <w:rPr>
          <w:rtl w:val="true"/>
        </w:rPr>
        <w:t xml:space="preserve">, </w:t>
      </w:r>
      <w:r>
        <w:rPr>
          <w:rtl w:val="true"/>
        </w:rPr>
        <w:t>הכולל ביצוע עבירות שנועדו גם הן להטות מכרזים ציבוריים</w:t>
      </w:r>
      <w:r>
        <w:rPr>
          <w:rtl w:val="true"/>
        </w:rPr>
        <w:t xml:space="preserve">, </w:t>
      </w:r>
      <w:r>
        <w:rPr>
          <w:rtl w:val="true"/>
        </w:rPr>
        <w:t xml:space="preserve">שבוצעו בסמוך לעבירות נושא כתב האישום דנן </w:t>
      </w:r>
      <w:r>
        <w:rPr>
          <w:rtl w:val="true"/>
        </w:rPr>
        <w:t>(</w:t>
      </w:r>
      <w:r>
        <w:rPr>
          <w:rtl w:val="true"/>
        </w:rPr>
        <w:t>והובהר בהקשר זה שהמערער ביצע את העבירות בפרשה שלפנינו לאחר מעצרו וחקירתו בגין התיק הקודם</w:t>
      </w:r>
      <w:r>
        <w:rPr>
          <w:rtl w:val="true"/>
        </w:rPr>
        <w:t xml:space="preserve">). </w:t>
      </w:r>
      <w:r>
        <w:rPr>
          <w:rtl w:val="true"/>
        </w:rPr>
        <w:t>גם במישור זה נטען כי העונש שנגזר על המערער לא מרתיע דיו</w:t>
      </w:r>
      <w:r>
        <w:rPr>
          <w:rtl w:val="true"/>
        </w:rPr>
        <w:t xml:space="preserve">. </w:t>
      </w:r>
      <w:r>
        <w:rPr>
          <w:rtl w:val="true"/>
        </w:rPr>
        <w:t>אשר להודאתו של המערער</w:t>
      </w:r>
      <w:r>
        <w:rPr>
          <w:rtl w:val="true"/>
        </w:rPr>
        <w:t xml:space="preserve">, </w:t>
      </w:r>
      <w:r>
        <w:rPr>
          <w:rtl w:val="true"/>
        </w:rPr>
        <w:t>נטען כי זו באה בשלב מאוחר יחסית של ההליך וכי היא מבטאת קבלת אחריות במישור פורמלי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 המשלים שהוגש לעיוננו צוין כי זמן קצר לאחר מתן גזר הדין לקה המערער בהתקף לב</w:t>
      </w:r>
      <w:r>
        <w:rPr>
          <w:rtl w:val="true"/>
        </w:rPr>
        <w:t xml:space="preserve">, </w:t>
      </w:r>
      <w:r>
        <w:rPr>
          <w:rtl w:val="true"/>
        </w:rPr>
        <w:t xml:space="preserve">עבר שני צנתורים והושתל לו קוצב לב </w:t>
      </w:r>
      <w:r>
        <w:rPr>
          <w:rtl w:val="true"/>
        </w:rPr>
        <w:t>(</w:t>
      </w:r>
      <w:r>
        <w:rPr>
          <w:rtl w:val="true"/>
        </w:rPr>
        <w:t>ובעניין זה נפלה טעות בתסקיר</w:t>
      </w:r>
      <w:r>
        <w:rPr>
          <w:rtl w:val="true"/>
        </w:rPr>
        <w:t xml:space="preserve">, </w:t>
      </w:r>
      <w:r>
        <w:rPr>
          <w:rtl w:val="true"/>
        </w:rPr>
        <w:t>שכן האירוע התרחש לפני מתן גזר הדין</w:t>
      </w:r>
      <w:r>
        <w:rPr>
          <w:rtl w:val="true"/>
        </w:rPr>
        <w:t xml:space="preserve">). </w:t>
      </w:r>
      <w:r>
        <w:rPr>
          <w:rtl w:val="true"/>
        </w:rPr>
        <w:t>כן הוצג לשירות המבחן תיעוד רפואי שלפיו המערער סובל ממחלות לב</w:t>
      </w:r>
      <w:r>
        <w:rPr>
          <w:rtl w:val="true"/>
        </w:rPr>
        <w:t xml:space="preserve">, </w:t>
      </w:r>
      <w:r>
        <w:rPr>
          <w:rtl w:val="true"/>
        </w:rPr>
        <w:t xml:space="preserve">שבגללן יזדקק להשתלת לב עוד כשלוש שנים וכי השלכות המאסר בין כתלי בית הסוהר עליו תהיינה קשות ביותר </w:t>
      </w:r>
      <w:r>
        <w:rPr>
          <w:rtl w:val="true"/>
        </w:rPr>
        <w:t>(</w:t>
      </w:r>
      <w:r>
        <w:rPr>
          <w:rtl w:val="true"/>
        </w:rPr>
        <w:t xml:space="preserve">ראו פירוט בפסקאות </w:t>
      </w:r>
      <w:r>
        <w:rPr/>
        <w:t>14-13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  <w:r>
        <w:rPr>
          <w:rtl w:val="true"/>
        </w:rPr>
        <w:t>שירות המבחן עמד על דיווח שקיבל ממטפלת פרטית שאצלה מטופל המערער</w:t>
      </w:r>
      <w:r>
        <w:rPr>
          <w:rtl w:val="true"/>
        </w:rPr>
        <w:t xml:space="preserve">, </w:t>
      </w:r>
      <w:r>
        <w:rPr>
          <w:rtl w:val="true"/>
        </w:rPr>
        <w:t>שלפיו הוא מגיע באופן קבוע למפגשים</w:t>
      </w:r>
      <w:r>
        <w:rPr>
          <w:rtl w:val="true"/>
        </w:rPr>
        <w:t xml:space="preserve">, </w:t>
      </w:r>
      <w:r>
        <w:rPr>
          <w:rtl w:val="true"/>
        </w:rPr>
        <w:t>מבין את מעשיו וכי הוא היום מחובר יותר להתנהגותו העבריינית</w:t>
      </w:r>
      <w:r>
        <w:rPr>
          <w:rtl w:val="true"/>
        </w:rPr>
        <w:t xml:space="preserve">, </w:t>
      </w:r>
      <w:r>
        <w:rPr>
          <w:rtl w:val="true"/>
        </w:rPr>
        <w:t>ולמחשבה והתכנון שעמדו ביסודה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שבהן חלה החמרה משמעותית במצבו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>לצד שילובו בהליך טיפולי שנראה כי תורם להבנתו את התנהלותו הבעייתית</w:t>
      </w:r>
      <w:r>
        <w:rPr>
          <w:rtl w:val="true"/>
        </w:rPr>
        <w:t xml:space="preserve">, </w:t>
      </w:r>
      <w:r>
        <w:rPr>
          <w:rtl w:val="true"/>
        </w:rPr>
        <w:t>המליץ שירות המבחן שלא להחמיר בעונשו של המערער</w:t>
      </w:r>
      <w:r>
        <w:rPr>
          <w:rtl w:val="true"/>
        </w:rPr>
        <w:t xml:space="preserve">. </w:t>
      </w:r>
      <w:r>
        <w:rPr>
          <w:rtl w:val="true"/>
        </w:rPr>
        <w:t>עוד צוין כי אם יוחלט לתת עדיפות לפן השיקומי</w:t>
      </w:r>
      <w:r>
        <w:rPr>
          <w:rtl w:val="true"/>
        </w:rPr>
        <w:t xml:space="preserve">, </w:t>
      </w:r>
      <w:r>
        <w:rPr>
          <w:rtl w:val="true"/>
        </w:rPr>
        <w:t>מומלץ להטיל על המערער עונש שניתן יהיה להמירו בעבודות שירות</w:t>
      </w:r>
      <w:r>
        <w:rPr>
          <w:rtl w:val="true"/>
        </w:rPr>
        <w:t xml:space="preserve">, </w:t>
      </w:r>
      <w:r>
        <w:rPr>
          <w:rtl w:val="true"/>
        </w:rPr>
        <w:t>לצד צו 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שלפנינו חזרו הצדדים על טענותיהם בכתובים ובא כוח המערער הגיש את התיעוד שהוצג לשירות המבחן</w:t>
      </w:r>
      <w:r>
        <w:rPr>
          <w:rtl w:val="true"/>
        </w:rPr>
        <w:t xml:space="preserve">. </w:t>
      </w:r>
      <w:r>
        <w:rPr>
          <w:rtl w:val="true"/>
        </w:rPr>
        <w:t>בתום הדיון</w:t>
      </w:r>
      <w:r>
        <w:rPr>
          <w:rtl w:val="true"/>
        </w:rPr>
        <w:t xml:space="preserve">, </w:t>
      </w:r>
      <w:r>
        <w:rPr>
          <w:rtl w:val="true"/>
        </w:rPr>
        <w:t>הורינו על קבלת עמדת גורמי הרפואה המוסמכים בשירות בתי הסוהר בהתייחס לאפשרות הטיפול במערער</w:t>
      </w:r>
      <w:r>
        <w:rPr>
          <w:rtl w:val="true"/>
        </w:rPr>
        <w:t xml:space="preserve">, </w:t>
      </w:r>
      <w:r>
        <w:rPr>
          <w:rtl w:val="true"/>
        </w:rPr>
        <w:t>על רקע התיעוד הרפואי שהומצא על ידו</w:t>
      </w:r>
      <w:r>
        <w:rPr>
          <w:rtl w:val="true"/>
        </w:rPr>
        <w:t xml:space="preserve">, </w:t>
      </w:r>
      <w:r>
        <w:rPr>
          <w:rtl w:val="true"/>
        </w:rPr>
        <w:t>שתכלול התייחסות בין היתר לשאלה אם שירות בתי הסוהר ערוך למתן טיפול רפואי הולם למערער במסגרת עונש מאסר</w:t>
      </w:r>
      <w:r>
        <w:rPr>
          <w:rtl w:val="true"/>
        </w:rPr>
        <w:t xml:space="preserve">. </w:t>
      </w:r>
      <w:r>
        <w:rPr>
          <w:rtl w:val="true"/>
        </w:rPr>
        <w:t>בהמשך להחלטה זו הופנה עניינו של המערער לקבלת חוות דעת רפואית של מומחה בדבר מצבו הרפואי והוראות בדבר הטיפול הנדרש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2.4.2020</w:t>
      </w:r>
      <w:r>
        <w:rPr>
          <w:rtl w:val="true"/>
        </w:rPr>
        <w:t xml:space="preserve"> </w:t>
      </w:r>
      <w:r>
        <w:rPr>
          <w:rtl w:val="true"/>
        </w:rPr>
        <w:t>הגישה המדינה הודעה שאליה צורפו חוות דעת מאת ד</w:t>
      </w:r>
      <w:r>
        <w:rPr>
          <w:rtl w:val="true"/>
        </w:rPr>
        <w:t>"</w:t>
      </w:r>
      <w:r>
        <w:rPr>
          <w:rtl w:val="true"/>
        </w:rPr>
        <w:t>ר ישראל תמרי</w:t>
      </w:r>
      <w:r>
        <w:rPr>
          <w:rtl w:val="true"/>
        </w:rPr>
        <w:t xml:space="preserve">, </w:t>
      </w:r>
      <w:r>
        <w:rPr>
          <w:rtl w:val="true"/>
        </w:rPr>
        <w:t xml:space="preserve">מומחה למחלות לב ולצנתורי לב </w:t>
      </w:r>
      <w:r>
        <w:rPr>
          <w:rtl w:val="true"/>
        </w:rPr>
        <w:t>(</w:t>
      </w:r>
      <w:r>
        <w:rPr>
          <w:rtl w:val="true"/>
        </w:rPr>
        <w:t>שעל עיקריה נעמוד בהמשך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תמרי</w:t>
      </w:r>
      <w:r>
        <w:rPr>
          <w:rtl w:val="true"/>
        </w:rPr>
        <w:t xml:space="preserve">) </w:t>
      </w:r>
      <w:r>
        <w:rPr>
          <w:rtl w:val="true"/>
        </w:rPr>
        <w:t>וכן עמדת גורמי הרפואה בשירות בתי הסוהר על בסיס אותה חוות דעת</w:t>
      </w:r>
      <w:r>
        <w:rPr>
          <w:rtl w:val="true"/>
        </w:rPr>
        <w:t xml:space="preserve">, </w:t>
      </w:r>
      <w:r>
        <w:rPr>
          <w:rtl w:val="true"/>
        </w:rPr>
        <w:t>שלפיה הם יכולים להעניק למערער טיפול רפואי הולם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בתגובה להודעה זו מיום </w:t>
      </w:r>
      <w:r>
        <w:rPr/>
        <w:t>19.4.2020</w:t>
      </w:r>
      <w:r>
        <w:rPr>
          <w:rtl w:val="true"/>
        </w:rPr>
        <w:t xml:space="preserve"> (</w:t>
      </w:r>
      <w:r>
        <w:rPr>
          <w:rtl w:val="true"/>
        </w:rPr>
        <w:t xml:space="preserve">שהגשתה הותרה בהחלטה מיום </w:t>
      </w:r>
      <w:r>
        <w:rPr/>
        <w:t>3.4.2020</w:t>
      </w:r>
      <w:r>
        <w:rPr>
          <w:rtl w:val="true"/>
        </w:rPr>
        <w:t xml:space="preserve">) </w:t>
      </w:r>
      <w:r>
        <w:rPr>
          <w:rtl w:val="true"/>
        </w:rPr>
        <w:t>טוען המערער כי גם חוות דעת תמרי מצביעה על כך שמצבו הרפואי סופני אלא אם יעבור השתלת לב</w:t>
      </w:r>
      <w:r>
        <w:rPr>
          <w:rtl w:val="true"/>
        </w:rPr>
        <w:t xml:space="preserve">, </w:t>
      </w:r>
      <w:r>
        <w:rPr>
          <w:rtl w:val="true"/>
        </w:rPr>
        <w:t xml:space="preserve">הליך שלשם הצלחתו צריכים להתקיים תנאים רבים </w:t>
      </w:r>
      <w:r>
        <w:rPr>
          <w:rtl w:val="true"/>
        </w:rPr>
        <w:t>–</w:t>
      </w:r>
      <w:r>
        <w:rPr>
          <w:rtl w:val="true"/>
        </w:rPr>
        <w:t xml:space="preserve"> ובהן בין היתר מציאת תורם מתאים</w:t>
      </w:r>
      <w:r>
        <w:rPr>
          <w:rtl w:val="true"/>
        </w:rPr>
        <w:t xml:space="preserve">, </w:t>
      </w:r>
      <w:r>
        <w:rPr>
          <w:rtl w:val="true"/>
        </w:rPr>
        <w:t>וירידה במשקל</w:t>
      </w:r>
      <w:r>
        <w:rPr>
          <w:rtl w:val="true"/>
        </w:rPr>
        <w:t xml:space="preserve">. </w:t>
      </w:r>
      <w:r>
        <w:rPr>
          <w:rtl w:val="true"/>
        </w:rPr>
        <w:t>בקשר לתנאים שמנה ד</w:t>
      </w:r>
      <w:r>
        <w:rPr>
          <w:rtl w:val="true"/>
        </w:rPr>
        <w:t>"</w:t>
      </w:r>
      <w:r>
        <w:rPr>
          <w:rtl w:val="true"/>
        </w:rPr>
        <w:t>ר תמרי בחוות דעתו אשר בהתקיימם יוכל המערער לשהות בבית הסוהר</w:t>
      </w:r>
      <w:r>
        <w:rPr>
          <w:rtl w:val="true"/>
        </w:rPr>
        <w:t xml:space="preserve">, </w:t>
      </w:r>
      <w:r>
        <w:rPr>
          <w:rtl w:val="true"/>
        </w:rPr>
        <w:t>נטען כי המענה שנמצא להם על ידי שירות בתי הסוהר אינו מספק</w:t>
      </w:r>
      <w:r>
        <w:rPr>
          <w:rtl w:val="true"/>
        </w:rPr>
        <w:t xml:space="preserve">, </w:t>
      </w:r>
      <w:r>
        <w:rPr>
          <w:rtl w:val="true"/>
        </w:rPr>
        <w:t>ועלול לסכן את מצבו</w:t>
      </w:r>
      <w:r>
        <w:rPr>
          <w:rtl w:val="true"/>
        </w:rPr>
        <w:t xml:space="preserve">. </w:t>
      </w:r>
      <w:r>
        <w:rPr>
          <w:rtl w:val="true"/>
        </w:rPr>
        <w:t>כן חזר המערער על טענותיו להקלה בעונש</w:t>
      </w:r>
      <w:r>
        <w:rPr>
          <w:rtl w:val="true"/>
        </w:rPr>
        <w:t>.</w:t>
      </w:r>
    </w:p>
    <w:p>
      <w:pPr>
        <w:pStyle w:val="Ruller41"/>
        <w:spacing w:before="0" w:after="12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בטענות הצדדים בכתובים ושמיעתם בדיון על פה</w:t>
      </w:r>
      <w:r>
        <w:rPr>
          <w:rtl w:val="true"/>
        </w:rPr>
        <w:t xml:space="preserve">, </w:t>
      </w:r>
      <w:r>
        <w:rPr>
          <w:rtl w:val="true"/>
        </w:rPr>
        <w:t>ולאחר שבחנתי את האמור בחוות דעת תמרי</w:t>
      </w:r>
      <w:r>
        <w:rPr>
          <w:rtl w:val="true"/>
        </w:rPr>
        <w:t xml:space="preserve">, </w:t>
      </w:r>
      <w:r>
        <w:rPr>
          <w:rtl w:val="true"/>
        </w:rPr>
        <w:t>אני סבור כי יש לדחות את הערעורים ולהותיר את גזר הדין של בית המשפט המחוזי על כנו</w:t>
      </w:r>
      <w:r>
        <w:rPr>
          <w:rtl w:val="true"/>
        </w:rPr>
        <w:t xml:space="preserve">, </w:t>
      </w:r>
      <w:r>
        <w:rPr>
          <w:rtl w:val="true"/>
        </w:rPr>
        <w:t>בכפוף לעמידת שירות בתי הסוהר בתנאים שמנה ד</w:t>
      </w:r>
      <w:r>
        <w:rPr>
          <w:rtl w:val="true"/>
        </w:rPr>
        <w:t>"</w:t>
      </w:r>
      <w:r>
        <w:rPr>
          <w:rtl w:val="true"/>
        </w:rPr>
        <w:t>ר תמרי בטרם יתחיל המערער לשאת בעונשו</w:t>
      </w:r>
      <w:r>
        <w:rPr>
          <w:rtl w:val="true"/>
        </w:rPr>
        <w:t xml:space="preserve">, </w:t>
      </w:r>
      <w:r>
        <w:rPr>
          <w:rtl w:val="true"/>
        </w:rPr>
        <w:t>כמפורט להלן</w:t>
      </w:r>
      <w:r>
        <w:rPr>
          <w:rtl w:val="true"/>
        </w:rPr>
        <w:t xml:space="preserve">. </w:t>
      </w:r>
      <w:r>
        <w:rPr>
          <w:rtl w:val="true"/>
        </w:rPr>
        <w:t>בפתח הדיון אציין כי לא ראיתי להיעתר לבקשת המדינה להחמיר בעונשו של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חומרתם של המעשים שבהם הורשע המערער רבה</w:t>
      </w:r>
      <w:r>
        <w:rPr>
          <w:rtl w:val="true"/>
        </w:rPr>
        <w:t xml:space="preserve">, </w:t>
      </w:r>
      <w:r>
        <w:rPr>
          <w:rtl w:val="true"/>
        </w:rPr>
        <w:t xml:space="preserve">וכפי שצוין בפרשה אחרת בתחום זה יש לנהוג </w:t>
      </w:r>
      <w:r>
        <w:rPr>
          <w:rtl w:val="true"/>
        </w:rPr>
        <w:t>"</w:t>
      </w:r>
      <w:r>
        <w:rPr>
          <w:rtl w:val="true"/>
        </w:rPr>
        <w:t>גישה מחמירה ברורה</w:t>
      </w:r>
      <w:r>
        <w:rPr>
          <w:rtl w:val="true"/>
        </w:rPr>
        <w:t xml:space="preserve">, </w:t>
      </w:r>
      <w:r>
        <w:rPr>
          <w:rtl w:val="true"/>
        </w:rPr>
        <w:t>המתבטאת בהטלתם של עונשי מאסר בפועל מאחורי סורג ובריח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דרור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46</w:t>
      </w:r>
      <w:r>
        <w:rPr>
          <w:rtl w:val="true"/>
        </w:rPr>
        <w:t xml:space="preserve"> (</w:t>
      </w:r>
      <w:r>
        <w:rPr/>
        <w:t>21.8.2018</w:t>
      </w:r>
      <w:r>
        <w:rPr>
          <w:rtl w:val="true"/>
        </w:rPr>
        <w:t xml:space="preserve">)). </w:t>
      </w:r>
      <w:r>
        <w:rPr>
          <w:rtl w:val="true"/>
        </w:rPr>
        <w:t>חלקו של המערער היה בין המרכזיים ביותר בפרשה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אשר העלתה </w:t>
      </w:r>
      <w:r>
        <w:rPr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תמונה חמורה של קרטל מקיף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שיטתי ומתוחכם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במסגרתו יצרו המעורבים מראית עין של מכרזים תקינים ותחרותיים וזכו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כל אחד לפי חלקו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בתמורה לא מבוטלת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בלווא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לפרק גזר הדין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חשמל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רמזורים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13-12</w:t>
      </w:r>
      <w:r>
        <w:rPr>
          <w:rtl w:val="true"/>
        </w:rPr>
        <w:t xml:space="preserve"> (</w:t>
      </w:r>
      <w:r>
        <w:rPr/>
        <w:t>31.5.2007</w:t>
      </w:r>
      <w:r>
        <w:rPr>
          <w:rtl w:val="true"/>
        </w:rPr>
        <w:t xml:space="preserve">)). </w:t>
      </w: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מעורבותו של המערער במערך התיאומים המסועף הפיקה לו ולחברה תועלות אישיות פרטניות בדמות זכייה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מכרזים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שבגינם התקבלו תשלומים בהיקף של מעל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השוו לתקבולים שקיבל ארז מיארה</w:t>
      </w:r>
      <w:r>
        <w:rPr>
          <w:rtl w:val="true"/>
        </w:rPr>
        <w:t xml:space="preserve">, </w:t>
      </w:r>
      <w:r>
        <w:rPr>
          <w:rtl w:val="true"/>
        </w:rPr>
        <w:t>נאשם בתיק המקביל</w:t>
      </w:r>
      <w:r>
        <w:rPr>
          <w:rtl w:val="true"/>
        </w:rPr>
        <w:t xml:space="preserve">, </w:t>
      </w:r>
      <w:r>
        <w:rPr>
          <w:rtl w:val="true"/>
        </w:rPr>
        <w:t>אף הוא מהמרכזיים בפרשה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73-71</w:t>
      </w:r>
      <w:r>
        <w:rPr>
          <w:rtl w:val="true"/>
        </w:rPr>
        <w:t xml:space="preserve">). </w:t>
      </w:r>
      <w:r>
        <w:rPr>
          <w:rtl w:val="true"/>
        </w:rPr>
        <w:t>בהקשר זה אעיר</w:t>
      </w:r>
      <w:r>
        <w:rPr>
          <w:rtl w:val="true"/>
        </w:rPr>
        <w:t xml:space="preserve">, </w:t>
      </w:r>
      <w:r>
        <w:rPr>
          <w:rtl w:val="true"/>
        </w:rPr>
        <w:t xml:space="preserve">אף אם לא מקבלים את תזת המדינה שלפיה חלקו של המערער בפרשה כולה הוא הגדול ביותר </w:t>
      </w:r>
      <w:r>
        <w:rPr>
          <w:rtl w:val="true"/>
        </w:rPr>
        <w:t>(</w:t>
      </w:r>
      <w:r>
        <w:rPr>
          <w:rtl w:val="true"/>
        </w:rPr>
        <w:t xml:space="preserve">ראו למשל סעיף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), </w:t>
      </w:r>
      <w:r>
        <w:rPr>
          <w:rtl w:val="true"/>
        </w:rPr>
        <w:t>עיון בכתב האישום המתוקן שבעובדותיו הודה כאמור המערער מגלה כי מעורבותו הייתה למצער מהמרכזיות בקרטל</w:t>
      </w:r>
      <w:r>
        <w:rPr>
          <w:rtl w:val="true"/>
        </w:rPr>
        <w:t xml:space="preserve">, </w:t>
      </w:r>
      <w:r>
        <w:rPr>
          <w:rtl w:val="true"/>
        </w:rPr>
        <w:t xml:space="preserve">לצד מעורבים נוספים </w:t>
      </w:r>
      <w:r>
        <w:rPr>
          <w:rtl w:val="true"/>
        </w:rPr>
        <w:t>(</w:t>
      </w:r>
      <w:r>
        <w:rPr>
          <w:rtl w:val="true"/>
        </w:rPr>
        <w:t>וראו גם הבחינה שערך בית המשפט המחוזי בגזר הדין לגבי כל אחד מהאישומים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סעיף 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1"/>
        <w:spacing w:before="0" w:after="12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בגזירת עונשו של המערער יש להתחשב בעונשים שהוטלו בסופו של יום על מעורבים אחרים בפרשה</w:t>
      </w:r>
      <w:r>
        <w:rPr>
          <w:rtl w:val="true"/>
        </w:rPr>
        <w:t xml:space="preserve">, </w:t>
      </w:r>
      <w:r>
        <w:rPr>
          <w:rtl w:val="true"/>
        </w:rPr>
        <w:t>שחלקם בפרשה מתקרב לחלקו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שכללו תקופות קצרות יחסית של מאסר מאחורי סורג ובריח </w:t>
      </w:r>
      <w:r>
        <w:rPr>
          <w:rtl w:val="true"/>
        </w:rPr>
        <w:t>(</w:t>
      </w:r>
      <w:r>
        <w:rPr>
          <w:rtl w:val="true"/>
        </w:rPr>
        <w:t>בפרט בעניינם של ארז מיארה וירון בלווא</w:t>
      </w:r>
      <w:r>
        <w:rPr>
          <w:rtl w:val="true"/>
        </w:rPr>
        <w:t xml:space="preserve">, </w:t>
      </w:r>
      <w:r>
        <w:rPr>
          <w:rtl w:val="true"/>
        </w:rPr>
        <w:t>שעליהם נגזרו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). </w:t>
      </w:r>
      <w:r>
        <w:rPr>
          <w:rtl w:val="true"/>
        </w:rPr>
        <w:t xml:space="preserve">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בלווא</w:t>
      </w:r>
      <w:r>
        <w:rPr>
          <w:rtl w:val="true"/>
        </w:rPr>
        <w:t xml:space="preserve">, </w:t>
      </w:r>
      <w:r>
        <w:rPr>
          <w:rtl w:val="true"/>
        </w:rPr>
        <w:t>הוחלט כי עונשים אלה לא יוחמרו</w:t>
      </w:r>
      <w:r>
        <w:rPr>
          <w:rtl w:val="true"/>
        </w:rPr>
        <w:t xml:space="preserve">, </w:t>
      </w:r>
      <w:r>
        <w:rPr>
          <w:rtl w:val="true"/>
        </w:rPr>
        <w:t xml:space="preserve">הגם שנקבע כי הם מצויים על הצד המקל </w:t>
      </w:r>
      <w:r>
        <w:rPr>
          <w:rtl w:val="true"/>
        </w:rPr>
        <w:t>(</w:t>
      </w:r>
      <w:r>
        <w:rPr>
          <w:rtl w:val="true"/>
        </w:rPr>
        <w:t>ואעיר כי לא ראיתי להתערב באופן שבו סיווג בית המשפט את האישומים במקרה דנן כאירוע אחד</w:t>
      </w:r>
      <w:r>
        <w:rPr>
          <w:rtl w:val="true"/>
        </w:rPr>
        <w:t xml:space="preserve">, </w:t>
      </w:r>
      <w:r>
        <w:rPr>
          <w:rtl w:val="true"/>
        </w:rPr>
        <w:t>המתיישב עם הכללים שהותוו בנושא זה בפסיקה</w:t>
      </w:r>
      <w:r>
        <w:rPr>
          <w:rtl w:val="true"/>
        </w:rPr>
        <w:t xml:space="preserve">; </w:t>
      </w:r>
      <w:r>
        <w:rPr>
          <w:rtl w:val="true"/>
        </w:rPr>
        <w:t xml:space="preserve">ראו גם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בלווא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לפרק גזר הדין</w:t>
      </w:r>
      <w:r>
        <w:rPr>
          <w:rtl w:val="true"/>
        </w:rPr>
        <w:t xml:space="preserve">). </w:t>
      </w:r>
      <w:r>
        <w:rPr>
          <w:rtl w:val="true"/>
        </w:rPr>
        <w:t>זאת בין היתר בשל חלוף הזמן מאז ביצוע העבירות וכן בשל תקדימיות תמהיל העבירות שבו הועמדו הנאשמים שם לדין</w:t>
      </w:r>
      <w:r>
        <w:rPr>
          <w:rtl w:val="true"/>
        </w:rPr>
        <w:t xml:space="preserve">, </w:t>
      </w:r>
      <w:r>
        <w:rPr>
          <w:rtl w:val="true"/>
        </w:rPr>
        <w:t xml:space="preserve">שיקולים היפים גם לענייננו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63-62</w:t>
      </w:r>
      <w:r>
        <w:rPr>
          <w:rtl w:val="true"/>
        </w:rPr>
        <w:t xml:space="preserve"> </w:t>
      </w:r>
      <w:r>
        <w:rPr>
          <w:rtl w:val="true"/>
        </w:rPr>
        <w:t>לפרק גזר הדין</w:t>
      </w:r>
      <w:r>
        <w:rPr>
          <w:rtl w:val="true"/>
        </w:rPr>
        <w:t xml:space="preserve">). </w:t>
      </w:r>
      <w:r>
        <w:rPr>
          <w:rtl w:val="true"/>
        </w:rPr>
        <w:t>בעניין זה יובהר כי בניגוד לארז מיארה וירון בלווא</w:t>
      </w:r>
      <w:r>
        <w:rPr>
          <w:rtl w:val="true"/>
        </w:rPr>
        <w:t xml:space="preserve">, </w:t>
      </w:r>
      <w:r>
        <w:rPr>
          <w:rtl w:val="true"/>
        </w:rPr>
        <w:t>שאותם הזכרתי לעיל</w:t>
      </w:r>
      <w:r>
        <w:rPr>
          <w:rtl w:val="true"/>
        </w:rPr>
        <w:t xml:space="preserve">, </w:t>
      </w:r>
      <w:r>
        <w:rPr>
          <w:rtl w:val="true"/>
        </w:rPr>
        <w:t>המערער קיבל אחריות והודה בעובדות כתב האישום המתוקן במסגרת הסדר טיעון במהלך פרשת ההגנה</w:t>
      </w:r>
      <w:r>
        <w:rPr>
          <w:rtl w:val="true"/>
        </w:rPr>
        <w:t xml:space="preserve">. </w:t>
      </w:r>
      <w:r>
        <w:rPr>
          <w:rtl w:val="true"/>
        </w:rPr>
        <w:t>הגם שמבחינת החיסכון במשאבים ציבוריים שמניבות הסכמות בין רשויות התביעה לבין נאשמים</w:t>
      </w:r>
      <w:r>
        <w:rPr>
          <w:rtl w:val="true"/>
        </w:rPr>
        <w:t xml:space="preserve">, </w:t>
      </w:r>
      <w:r>
        <w:rPr>
          <w:rtl w:val="true"/>
        </w:rPr>
        <w:t>קיים הבדל בין הודאה שבאה לעולם בשלב מוקדם של ההליך לבין הודאה מאוחרת</w:t>
      </w:r>
      <w:r>
        <w:rPr>
          <w:rtl w:val="true"/>
        </w:rPr>
        <w:t xml:space="preserve">, </w:t>
      </w:r>
      <w:r>
        <w:rPr>
          <w:rtl w:val="true"/>
        </w:rPr>
        <w:t>איני סבור כי בענייננו ניתן משקל רב מדי להודאתו של המערער</w:t>
      </w:r>
      <w:r>
        <w:rPr>
          <w:rtl w:val="true"/>
        </w:rPr>
        <w:t xml:space="preserve">, </w:t>
      </w:r>
      <w:r>
        <w:rPr>
          <w:rtl w:val="true"/>
        </w:rPr>
        <w:t>אשר גם בשלב הדיוני שבו ניתנה</w:t>
      </w:r>
      <w:r>
        <w:rPr>
          <w:rtl w:val="true"/>
        </w:rPr>
        <w:t xml:space="preserve">, </w:t>
      </w:r>
      <w:r>
        <w:rPr>
          <w:rtl w:val="true"/>
        </w:rPr>
        <w:t xml:space="preserve">היא הובילה לחסכון לא מבוטל במשאבי התביעה ובית המשפט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, </w:t>
      </w:r>
      <w:r>
        <w:rPr>
          <w:rtl w:val="true"/>
        </w:rPr>
        <w:t>בבחינת קל וחומר</w:t>
      </w:r>
      <w:r>
        <w:rPr>
          <w:rtl w:val="true"/>
        </w:rPr>
        <w:t xml:space="preserve">, </w:t>
      </w:r>
      <w:r>
        <w:rPr>
          <w:rtl w:val="true"/>
        </w:rPr>
        <w:t>להתחשבות בקבלת אחריות של נאשם על מעשיו בשלב הערעור</w:t>
      </w:r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26.5.2019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איני סבור כי יש מקום להקלה נוספת בעונשו של המערער</w:t>
      </w:r>
      <w:r>
        <w:rPr>
          <w:rtl w:val="true"/>
        </w:rPr>
        <w:t xml:space="preserve">, </w:t>
      </w:r>
      <w:r>
        <w:rPr>
          <w:rtl w:val="true"/>
        </w:rPr>
        <w:t>כמבוקש על ידו</w:t>
      </w:r>
      <w:r>
        <w:rPr>
          <w:rtl w:val="true"/>
        </w:rPr>
        <w:t xml:space="preserve">. </w:t>
      </w:r>
      <w:r>
        <w:rPr>
          <w:rtl w:val="true"/>
        </w:rPr>
        <w:t>תחילה יש לומר כי חלקו של המערער אמנם קרוב לזה של חלק מהנאשמים בפרשה שציינתי</w:t>
      </w:r>
      <w:r>
        <w:rPr>
          <w:rtl w:val="true"/>
        </w:rPr>
        <w:t xml:space="preserve">, </w:t>
      </w:r>
      <w:r>
        <w:rPr>
          <w:rtl w:val="true"/>
        </w:rPr>
        <w:t>אולם בהשוואה ביניהם קיימות הבחנות העומדות לחובתו של 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בניגוד לבלווא</w:t>
      </w:r>
      <w:r>
        <w:rPr>
          <w:rtl w:val="true"/>
        </w:rPr>
        <w:t xml:space="preserve">, </w:t>
      </w:r>
      <w:r>
        <w:rPr>
          <w:rtl w:val="true"/>
        </w:rPr>
        <w:t>שפעולותיו התמקדו בעיקר במכרזי ירושלים</w:t>
      </w:r>
      <w:r>
        <w:rPr>
          <w:rtl w:val="true"/>
        </w:rPr>
        <w:t xml:space="preserve">, </w:t>
      </w:r>
      <w:r>
        <w:rPr>
          <w:rtl w:val="true"/>
        </w:rPr>
        <w:t>פועלו של המערער ניכר בתיאומים שנערכו במכרזים שונים בכל רחבי הארץ</w:t>
      </w:r>
      <w:r>
        <w:rPr>
          <w:rtl w:val="true"/>
        </w:rPr>
        <w:t xml:space="preserve">, </w:t>
      </w:r>
      <w:r>
        <w:rPr>
          <w:rtl w:val="true"/>
        </w:rPr>
        <w:t>אף מעבר לאלה שבהם היה לו אינטרס אישי כי החברה תזכה</w:t>
      </w:r>
      <w:r>
        <w:rPr>
          <w:rtl w:val="true"/>
        </w:rPr>
        <w:t xml:space="preserve">, </w:t>
      </w:r>
      <w:r>
        <w:rPr>
          <w:rtl w:val="true"/>
        </w:rPr>
        <w:t xml:space="preserve">ועבור חלקו בשניים מההסדרים </w:t>
      </w:r>
      <w:r>
        <w:rPr>
          <w:rtl w:val="true"/>
        </w:rPr>
        <w:t>–</w:t>
      </w:r>
      <w:r>
        <w:rPr>
          <w:rtl w:val="true"/>
        </w:rPr>
        <w:t xml:space="preserve"> קיבלה החברה תשלומים עבור אי התחרות </w:t>
      </w:r>
      <w:r>
        <w:rPr>
          <w:rtl w:val="true"/>
        </w:rPr>
        <w:t>(</w:t>
      </w:r>
      <w:r>
        <w:rPr>
          <w:rtl w:val="true"/>
        </w:rPr>
        <w:t>שבגינם הורשע המערער בעבירות הלבנת הון</w:t>
      </w:r>
      <w:r>
        <w:rPr>
          <w:rtl w:val="true"/>
        </w:rPr>
        <w:t xml:space="preserve">). </w:t>
      </w:r>
      <w:r>
        <w:rPr>
          <w:rtl w:val="true"/>
        </w:rPr>
        <w:t>לגבי ארז מיארה</w:t>
      </w:r>
      <w:r>
        <w:rPr>
          <w:rtl w:val="true"/>
        </w:rPr>
        <w:t xml:space="preserve">, </w:t>
      </w:r>
      <w:r>
        <w:rPr>
          <w:rtl w:val="true"/>
        </w:rPr>
        <w:t>כפי שציינתי בפסק הדין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הגם שפועלו בהסדרים </w:t>
      </w:r>
      <w:r>
        <w:rPr>
          <w:rFonts w:ascii="Century" w:hAnsi="Century" w:cs="Century"/>
          <w:sz w:val="22"/>
          <w:sz w:val="22"/>
          <w:rtl w:val="true"/>
        </w:rPr>
        <w:t>הכובלים הרבים היה מהמרכזיים בפרשה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ובעטיו זכה הוא לכינוי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אדריכל השלום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התועלות האישיות שהפיק במסגרת הקרטל היו פחותות במידת מה מאלו שהופקו על ידי האחרים </w:t>
      </w:r>
      <w:r>
        <w:rPr>
          <w:rtl w:val="true"/>
        </w:rPr>
        <w:t>(</w:t>
      </w:r>
      <w:r>
        <w:rPr>
          <w:rtl w:val="true"/>
        </w:rPr>
        <w:t>ובהם המערער שלפנינו</w:t>
      </w:r>
      <w:r>
        <w:rPr>
          <w:rtl w:val="true"/>
        </w:rPr>
        <w:t xml:space="preserve">), </w:t>
      </w:r>
      <w:r>
        <w:rPr>
          <w:rtl w:val="true"/>
        </w:rPr>
        <w:t xml:space="preserve">ואף לא יוחסו לו עבירות לפי 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כמו כן בעניינו של מיארה בית המשפט המחוזי ראה להתחשב במאמציו לשנות את מסלול חייו ונתן להם משקל נכבד </w:t>
      </w:r>
      <w:r>
        <w:rPr>
          <w:rtl w:val="true"/>
        </w:rPr>
        <w:t>(</w:t>
      </w:r>
      <w:r>
        <w:rPr>
          <w:rtl w:val="true"/>
        </w:rPr>
        <w:t>תוצאה שבה לא נמצא להתערב בשלב הערעור</w:t>
      </w:r>
      <w:r>
        <w:rPr>
          <w:rtl w:val="true"/>
        </w:rPr>
        <w:t xml:space="preserve">). </w:t>
      </w:r>
      <w:r>
        <w:rPr>
          <w:rtl w:val="true"/>
        </w:rPr>
        <w:t>בהקשר זה אציין כי לא מצאתי גם לקבל את טענותיו של המערער שלפיה מעורבות עד המדינה בקרטל בנסיבות העניין מצדיקה הקלה בעונשו</w:t>
      </w:r>
      <w:r>
        <w:rPr>
          <w:rtl w:val="true"/>
        </w:rPr>
        <w:t xml:space="preserve">, </w:t>
      </w:r>
      <w:r>
        <w:rPr>
          <w:rtl w:val="true"/>
        </w:rPr>
        <w:t>וזאת נוכח המיוחס למערער</w:t>
      </w:r>
      <w:r>
        <w:rPr>
          <w:rtl w:val="true"/>
        </w:rPr>
        <w:t>-</w:t>
      </w:r>
      <w:r>
        <w:rPr>
          <w:rtl w:val="true"/>
        </w:rPr>
        <w:t>עצמו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שבעובדותיו הודה</w:t>
      </w:r>
      <w:r>
        <w:rPr>
          <w:rtl w:val="true"/>
        </w:rPr>
        <w:t xml:space="preserve">, </w:t>
      </w:r>
      <w:r>
        <w:rPr>
          <w:rtl w:val="true"/>
        </w:rPr>
        <w:t>וכן בשים לב לעונש שנגזר עליו בסופו של יום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מעבר להבחנות שעליהן עמדתי בין המערער לבין נאשמים אחרים בפרשה </w:t>
      </w:r>
      <w:r>
        <w:rPr>
          <w:rtl w:val="true"/>
        </w:rPr>
        <w:t>(</w:t>
      </w:r>
      <w:r>
        <w:rPr>
          <w:rtl w:val="true"/>
        </w:rPr>
        <w:t>ויוער כי לא ראיתי לקבל את ההשוואה שביקש המערער לערוך בין עניינו לבין גיל מיארה</w:t>
      </w:r>
      <w:r>
        <w:rPr>
          <w:rtl w:val="true"/>
        </w:rPr>
        <w:t xml:space="preserve">, </w:t>
      </w:r>
      <w:r>
        <w:rPr>
          <w:rtl w:val="true"/>
        </w:rPr>
        <w:t>נוכח חלקו המצומצם יותר של האחרון בפרשה</w:t>
      </w:r>
      <w:r>
        <w:rPr>
          <w:rtl w:val="true"/>
        </w:rPr>
        <w:t xml:space="preserve">), </w:t>
      </w:r>
      <w:r>
        <w:rPr>
          <w:rtl w:val="true"/>
        </w:rPr>
        <w:t xml:space="preserve">אני סבור כי בצדק שקל בית המשפט </w:t>
      </w:r>
      <w:r>
        <w:rPr>
          <w:rtl w:val="true"/>
        </w:rPr>
        <w:t>–</w:t>
      </w:r>
      <w:r>
        <w:rPr>
          <w:rtl w:val="true"/>
        </w:rPr>
        <w:t xml:space="preserve"> בכף החומרה </w:t>
      </w:r>
      <w:r>
        <w:rPr>
          <w:rtl w:val="true"/>
        </w:rPr>
        <w:t>–</w:t>
      </w:r>
      <w:r>
        <w:rPr>
          <w:rtl w:val="true"/>
        </w:rPr>
        <w:t xml:space="preserve"> את עברו הפלילי של המערער</w:t>
      </w:r>
      <w:r>
        <w:rPr>
          <w:rtl w:val="true"/>
        </w:rPr>
        <w:t xml:space="preserve">.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בגדרי התיק הקודם הורשע המערער בעבירות של מתן שוחד</w:t>
      </w:r>
      <w:r>
        <w:rPr>
          <w:rtl w:val="true"/>
        </w:rPr>
        <w:t xml:space="preserve">, </w:t>
      </w:r>
      <w:r>
        <w:rPr>
          <w:rtl w:val="true"/>
        </w:rPr>
        <w:t>הלבנת הון</w:t>
      </w:r>
      <w:r>
        <w:rPr>
          <w:rtl w:val="true"/>
        </w:rPr>
        <w:t xml:space="preserve">, </w:t>
      </w:r>
      <w:r>
        <w:rPr>
          <w:rtl w:val="true"/>
        </w:rPr>
        <w:t>שיבוש מהלכי משפט והטרדת עד</w:t>
      </w:r>
      <w:r>
        <w:rPr>
          <w:rtl w:val="true"/>
        </w:rPr>
        <w:t xml:space="preserve">. </w:t>
      </w:r>
      <w:r>
        <w:rPr>
          <w:rtl w:val="true"/>
        </w:rPr>
        <w:t>עבירות אלו בוצעו זמן קצר לפני הפעולות שביצע המערער בקרטל הגיזום</w:t>
      </w:r>
      <w:r>
        <w:rPr>
          <w:rtl w:val="true"/>
        </w:rPr>
        <w:t xml:space="preserve">, </w:t>
      </w:r>
      <w:r>
        <w:rPr>
          <w:rtl w:val="true"/>
        </w:rPr>
        <w:t xml:space="preserve">וכפי שטענה המדינה </w:t>
      </w:r>
      <w:r>
        <w:rPr>
          <w:rtl w:val="true"/>
        </w:rPr>
        <w:t>–</w:t>
      </w:r>
      <w:r>
        <w:rPr>
          <w:rtl w:val="true"/>
        </w:rPr>
        <w:t xml:space="preserve"> מעצרו של המערער וחקירתו בגין החשדות בתיק הקודם לא הביאו להרתעתו מפני ביצוע העבירות נושא ההליך דנן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איני סבור כי הונחה עילה להתערבותנו באופן שבו שקל בית המשפט את יתר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לרבות הנדבכים בהן שוודאי נזקפים לזכותו </w:t>
      </w:r>
      <w:r>
        <w:rPr>
          <w:rtl w:val="true"/>
        </w:rPr>
        <w:t>(</w:t>
      </w:r>
      <w:r>
        <w:rPr>
          <w:rtl w:val="true"/>
        </w:rPr>
        <w:t>כפעולות ההתנדבות שבהן עסק המערער לאורך השנים</w:t>
      </w:r>
      <w:r>
        <w:rPr>
          <w:rtl w:val="true"/>
        </w:rPr>
        <w:t xml:space="preserve">, </w:t>
      </w:r>
      <w:r>
        <w:rPr>
          <w:rtl w:val="true"/>
        </w:rPr>
        <w:t xml:space="preserve">ראו פירוט בסעיף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דברים אלה אמורים בכפוף להערותיי בנושא 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>שבעניינו חלה התפתחות מסוימת מאז ניתן גזר הדין</w:t>
      </w:r>
      <w:r>
        <w:rPr>
          <w:rtl w:val="true"/>
        </w:rPr>
        <w:t xml:space="preserve">, </w:t>
      </w:r>
      <w:r>
        <w:rPr>
          <w:rtl w:val="true"/>
        </w:rPr>
        <w:t>ושאליו אדרש כעת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הוא סובל ממחלת לב קשה וכי מצבו הרפואי בכי רע</w:t>
      </w:r>
      <w:r>
        <w:rPr>
          <w:rtl w:val="true"/>
        </w:rPr>
        <w:t xml:space="preserve">, </w:t>
      </w:r>
      <w:r>
        <w:rPr>
          <w:rtl w:val="true"/>
        </w:rPr>
        <w:t>באופן המצדיק הקלה בעונשו לעונש שאותו יוכל לשאת בעבודות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במסמך שכותרתו </w:t>
      </w:r>
      <w:r>
        <w:rPr>
          <w:rtl w:val="true"/>
        </w:rPr>
        <w:t>"</w:t>
      </w:r>
      <w:r>
        <w:rPr>
          <w:rtl w:val="true"/>
        </w:rPr>
        <w:t>אישור רפואי</w:t>
      </w:r>
      <w:r>
        <w:rPr>
          <w:rtl w:val="true"/>
        </w:rPr>
        <w:t xml:space="preserve">" </w:t>
      </w:r>
      <w:r>
        <w:rPr>
          <w:rtl w:val="true"/>
        </w:rPr>
        <w:t xml:space="preserve">מיום </w:t>
      </w:r>
      <w:r>
        <w:rPr/>
        <w:t>12.12.2019</w:t>
      </w:r>
      <w:r>
        <w:rPr>
          <w:rtl w:val="true"/>
        </w:rPr>
        <w:t xml:space="preserve"> </w:t>
      </w:r>
      <w:r>
        <w:rPr>
          <w:rtl w:val="true"/>
        </w:rPr>
        <w:t>מאת ד</w:t>
      </w:r>
      <w:r>
        <w:rPr>
          <w:rtl w:val="true"/>
        </w:rPr>
        <w:t>"</w:t>
      </w:r>
      <w:r>
        <w:rPr>
          <w:rtl w:val="true"/>
        </w:rPr>
        <w:t>ר לביא קליין</w:t>
      </w:r>
      <w:r>
        <w:rPr>
          <w:rtl w:val="true"/>
        </w:rPr>
        <w:t xml:space="preserve">, </w:t>
      </w:r>
      <w:r>
        <w:rPr>
          <w:rtl w:val="true"/>
        </w:rPr>
        <w:t xml:space="preserve">מומחה לגריאטריה </w:t>
      </w:r>
      <w:r>
        <w:rPr>
          <w:rtl w:val="true"/>
        </w:rPr>
        <w:t>(</w:t>
      </w:r>
      <w:r>
        <w:rPr>
          <w:rtl w:val="true"/>
        </w:rPr>
        <w:t>הוא המסמך שהוצג לשירות המבחן</w:t>
      </w:r>
      <w:r>
        <w:rPr>
          <w:rtl w:val="true"/>
        </w:rPr>
        <w:t xml:space="preserve">, </w:t>
      </w:r>
      <w:r>
        <w:rPr>
          <w:rtl w:val="true"/>
        </w:rPr>
        <w:t>והוגש אף לעיוננו</w:t>
      </w:r>
      <w:r>
        <w:rPr>
          <w:rtl w:val="true"/>
        </w:rPr>
        <w:t xml:space="preserve">), </w:t>
      </w:r>
      <w:r>
        <w:rPr>
          <w:rtl w:val="true"/>
        </w:rPr>
        <w:t>צוין כי המערער סובל ממחלת לב סופנית</w:t>
      </w:r>
      <w:r>
        <w:rPr>
          <w:rtl w:val="true"/>
        </w:rPr>
        <w:t xml:space="preserve">, </w:t>
      </w:r>
      <w:r>
        <w:rPr>
          <w:rtl w:val="true"/>
        </w:rPr>
        <w:t>שבגללה יזדקק בעוד שנים ספורות להשתלת לב</w:t>
      </w:r>
      <w:r>
        <w:rPr>
          <w:rtl w:val="true"/>
        </w:rPr>
        <w:t xml:space="preserve">, </w:t>
      </w:r>
      <w:r>
        <w:rPr>
          <w:rtl w:val="true"/>
        </w:rPr>
        <w:t>וכי התגלתה אצלו אף מחלת ריאות חסימתית בדרגת חומרה בינונית קשה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המערער </w:t>
      </w:r>
      <w:r>
        <w:rPr>
          <w:rtl w:val="true"/>
        </w:rPr>
        <w:t>"</w:t>
      </w:r>
      <w:r>
        <w:rPr>
          <w:rtl w:val="true"/>
        </w:rPr>
        <w:t>לא ישרוד בתנאי כלא</w:t>
      </w:r>
      <w:r>
        <w:rPr>
          <w:rtl w:val="true"/>
        </w:rPr>
        <w:t xml:space="preserve">, </w:t>
      </w:r>
      <w:r>
        <w:rPr>
          <w:rtl w:val="true"/>
        </w:rPr>
        <w:t>ומרפאת הכלא אינה מסוגלת לתת מענה לצרכיו הרפואיים</w:t>
      </w:r>
      <w:r>
        <w:rPr>
          <w:rtl w:val="true"/>
        </w:rPr>
        <w:t xml:space="preserve">". </w:t>
      </w:r>
      <w:r>
        <w:rPr>
          <w:rtl w:val="true"/>
        </w:rPr>
        <w:t>בהמשך לדברים אלה הורינו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על קבלת עמדת שירות בתי הסוהר בשאלה אם הוא ערוך למתן טיפול רפואי הולם למצבו הרפואי של המערער</w:t>
      </w:r>
      <w:r>
        <w:rPr>
          <w:rtl w:val="true"/>
        </w:rPr>
        <w:t xml:space="preserve">. </w:t>
      </w:r>
      <w:r>
        <w:rPr>
          <w:rtl w:val="true"/>
        </w:rPr>
        <w:t>בחוות דעת תמרי עמד המומחה על תולדות מחלת הלב אצל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וכן על ממצאי בדיקות גופניות שערך לו </w:t>
      </w:r>
      <w:r>
        <w:rPr>
          <w:rtl w:val="true"/>
        </w:rPr>
        <w:t>(</w:t>
      </w:r>
      <w:r>
        <w:rPr>
          <w:rtl w:val="true"/>
        </w:rPr>
        <w:t>לרבות צנתור לב ימני שנערך בבית חולים רמב</w:t>
      </w:r>
      <w:r>
        <w:rPr>
          <w:rtl w:val="true"/>
        </w:rPr>
        <w:t>"</w:t>
      </w:r>
      <w:r>
        <w:rPr>
          <w:rtl w:val="true"/>
        </w:rPr>
        <w:t xml:space="preserve">ם ביום </w:t>
      </w:r>
      <w:r>
        <w:rPr/>
        <w:t>18.3.2020</w:t>
      </w:r>
      <w:r>
        <w:rPr>
          <w:rtl w:val="true"/>
        </w:rPr>
        <w:t xml:space="preserve">). </w:t>
      </w:r>
      <w:r>
        <w:rPr>
          <w:rtl w:val="true"/>
        </w:rPr>
        <w:t>צוין כי המערער סובל מאי ספיקת לב שמאלית סופנית עקב מחלת לב כלילית איסכמית</w:t>
      </w:r>
      <w:r>
        <w:rPr>
          <w:rtl w:val="true"/>
        </w:rPr>
        <w:t xml:space="preserve">, </w:t>
      </w:r>
      <w:r>
        <w:rPr>
          <w:rtl w:val="true"/>
        </w:rPr>
        <w:t>וכי מהמהלך הרפואי לאורך השנים עולה כי המחלה מתקדמת לאיטה</w:t>
      </w:r>
      <w:r>
        <w:rPr>
          <w:rtl w:val="true"/>
        </w:rPr>
        <w:t xml:space="preserve">. </w:t>
      </w:r>
      <w:r>
        <w:rPr>
          <w:rtl w:val="true"/>
        </w:rPr>
        <w:t>צוין כי המערער לא ילקה במוות פתאומי עקב הפרעת קצב קטלנית</w:t>
      </w:r>
      <w:r>
        <w:rPr>
          <w:rtl w:val="true"/>
        </w:rPr>
        <w:t xml:space="preserve">, </w:t>
      </w:r>
      <w:r>
        <w:rPr>
          <w:rtl w:val="true"/>
        </w:rPr>
        <w:t>בשל השתלת קוצב לב</w:t>
      </w:r>
      <w:r>
        <w:rPr>
          <w:rtl w:val="true"/>
        </w:rPr>
        <w:t xml:space="preserve">; </w:t>
      </w:r>
      <w:r>
        <w:rPr>
          <w:rtl w:val="true"/>
        </w:rPr>
        <w:t>וכי כיום אי ספיקת הלב מאוזנת באמצעות תרופות</w:t>
      </w:r>
      <w:r>
        <w:rPr>
          <w:rtl w:val="true"/>
        </w:rPr>
        <w:t xml:space="preserve">, </w:t>
      </w:r>
      <w:r>
        <w:rPr>
          <w:rtl w:val="true"/>
        </w:rPr>
        <w:t xml:space="preserve">אולם הוא ייזקק </w:t>
      </w:r>
      <w:r>
        <w:rPr>
          <w:rtl w:val="true"/>
        </w:rPr>
        <w:t>"</w:t>
      </w:r>
      <w:r>
        <w:rPr>
          <w:rtl w:val="true"/>
        </w:rPr>
        <w:t>בעתיד הלא רחוק</w:t>
      </w:r>
      <w:r>
        <w:rPr>
          <w:rtl w:val="true"/>
        </w:rPr>
        <w:t xml:space="preserve">" </w:t>
      </w:r>
      <w:r>
        <w:rPr>
          <w:rtl w:val="true"/>
        </w:rPr>
        <w:t xml:space="preserve">להשתלת לב או לפחות להשתלת מכשיר </w:t>
      </w:r>
      <w:r>
        <w:rPr>
          <w:rFonts w:cs="Miriam" w:ascii="Century" w:hAnsi="Century"/>
          <w:bCs/>
          <w:spacing w:val="0"/>
          <w:sz w:val="22"/>
          <w:szCs w:val="24"/>
        </w:rPr>
        <w:t>LVAD</w:t>
      </w:r>
      <w:r>
        <w:rPr>
          <w:rtl w:val="true"/>
        </w:rPr>
        <w:t xml:space="preserve">, </w:t>
      </w:r>
      <w:r>
        <w:rPr>
          <w:rtl w:val="true"/>
        </w:rPr>
        <w:t>אחרת תוחלת חייו תהיה קצרה מאוד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תמרי הדגיש כי תשובתו ביחס לשאלה אם תנאי המאסר עלולים להחמיר את מצבו של המערער ולקצר את תוחלת חייו ניתנת אך מבחינה קרדיאלית</w:t>
      </w:r>
      <w:r>
        <w:rPr>
          <w:rtl w:val="true"/>
        </w:rPr>
        <w:t xml:space="preserve">. </w:t>
      </w:r>
      <w:r>
        <w:rPr>
          <w:rtl w:val="true"/>
        </w:rPr>
        <w:t>תשובתו הייתה כי המערער יכול להיות אסיר בהתקיים התנאים 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/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הקרדיולוג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קרדיולוג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בטוב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-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ספיקת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שמאלית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באמבולנס</w:t>
      </w:r>
      <w:r>
        <w:rPr>
          <w:rtl w:val="true"/>
        </w:rPr>
        <w:t xml:space="preserve">. </w:t>
      </w:r>
      <w:r>
        <w:rPr>
          <w:rtl w:val="true"/>
        </w:rPr>
        <w:t>מרפאת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ספיקת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מיוני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אכו</w:t>
      </w:r>
      <w:r>
        <w:rPr>
          <w:rtl w:val="true"/>
        </w:rPr>
        <w:t xml:space="preserve">'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-</w:t>
      </w:r>
      <w:r>
        <w:rPr>
          <w:rtl w:val="true"/>
        </w:rPr>
        <w:t>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דחופה</w:t>
      </w:r>
      <w:r>
        <w:rPr>
          <w:rtl w:val="true"/>
        </w:rPr>
        <w:t xml:space="preserve">,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קרדיולוג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הקרדיולוג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דיאטה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)"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5-4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</w:t>
      </w:r>
      <w:r>
        <w:rPr>
          <w:rtl w:val="true"/>
        </w:rPr>
        <w:t>).</w:t>
      </w:r>
    </w:p>
    <w:p>
      <w:pPr>
        <w:pStyle w:val="Ruller41"/>
        <w:spacing w:before="0" w:after="12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בהודעת המדינה מיום </w:t>
      </w:r>
      <w:r>
        <w:rPr/>
        <w:t>1.4.2020</w:t>
      </w:r>
      <w:r>
        <w:rPr>
          <w:rtl w:val="true"/>
        </w:rPr>
        <w:t xml:space="preserve"> </w:t>
      </w:r>
      <w:r>
        <w:rPr>
          <w:rtl w:val="true"/>
        </w:rPr>
        <w:t>הוגשה התייחסותה של רע</w:t>
      </w:r>
      <w:r>
        <w:rPr>
          <w:rtl w:val="true"/>
        </w:rPr>
        <w:t>"</w:t>
      </w:r>
      <w:r>
        <w:rPr>
          <w:rtl w:val="true"/>
        </w:rPr>
        <w:t>ן רפואת אסירים בשירות בתי הסוהר לתנאים שמנה ד</w:t>
      </w:r>
      <w:r>
        <w:rPr>
          <w:rtl w:val="true"/>
        </w:rPr>
        <w:t>"</w:t>
      </w:r>
      <w:r>
        <w:rPr>
          <w:rtl w:val="true"/>
        </w:rPr>
        <w:t>ר תמרי</w:t>
      </w:r>
      <w:r>
        <w:rPr>
          <w:rtl w:val="true"/>
        </w:rPr>
        <w:t xml:space="preserve">, </w:t>
      </w:r>
      <w:r>
        <w:rPr>
          <w:rtl w:val="true"/>
        </w:rPr>
        <w:t>שהשיבה כי ככלל ניתן יהיה לעמוד בתנאים שמנה המומחה</w:t>
      </w:r>
      <w:r>
        <w:rPr>
          <w:rtl w:val="true"/>
        </w:rPr>
        <w:t xml:space="preserve">, </w:t>
      </w:r>
      <w:r>
        <w:rPr>
          <w:rtl w:val="true"/>
        </w:rPr>
        <w:t>תוך פירוט המענה לכל אחד מהסעיפים שלעיל</w:t>
      </w:r>
      <w:r>
        <w:rPr>
          <w:rtl w:val="true"/>
        </w:rPr>
        <w:t xml:space="preserve">. </w:t>
      </w:r>
      <w:r>
        <w:rPr>
          <w:rtl w:val="true"/>
        </w:rPr>
        <w:t>עוד צוין כי גורמי הרפואה בשירות בתי הסוהר</w:t>
      </w:r>
      <w:r>
        <w:rPr>
          <w:rtl w:val="true"/>
        </w:rPr>
        <w:t xml:space="preserve">, </w:t>
      </w:r>
      <w:r>
        <w:rPr>
          <w:rtl w:val="true"/>
        </w:rPr>
        <w:t>לצד גורמי רפואה בקהילה</w:t>
      </w:r>
      <w:r>
        <w:rPr>
          <w:rtl w:val="true"/>
        </w:rPr>
        <w:t xml:space="preserve">, </w:t>
      </w:r>
      <w:r>
        <w:rPr>
          <w:rtl w:val="true"/>
        </w:rPr>
        <w:t>מסוגלים להעניק למערער טיפול רפואי כנדרש</w:t>
      </w:r>
      <w:r>
        <w:rPr>
          <w:rtl w:val="true"/>
        </w:rPr>
        <w:t xml:space="preserve">. </w:t>
      </w:r>
      <w:r>
        <w:rPr>
          <w:rtl w:val="true"/>
        </w:rPr>
        <w:t>לאחר שעיינתי במסמכים אלה</w:t>
      </w:r>
      <w:r>
        <w:rPr>
          <w:rtl w:val="true"/>
        </w:rPr>
        <w:t xml:space="preserve">, </w:t>
      </w:r>
      <w:r>
        <w:rPr>
          <w:rtl w:val="true"/>
        </w:rPr>
        <w:t>אני סבור כי לא קמה עילה להקל הקלה נוספת בעונשו של המערער מחמת מצבו הרפואי</w:t>
      </w:r>
      <w:r>
        <w:rPr>
          <w:rtl w:val="true"/>
        </w:rPr>
        <w:t xml:space="preserve">, </w:t>
      </w:r>
      <w:r>
        <w:rPr>
          <w:rtl w:val="true"/>
        </w:rPr>
        <w:t xml:space="preserve">וכי שיקול זה זכה לביטוי מספק בגזר הדין של בית המשפט המחוזי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16-15</w:t>
      </w:r>
      <w:r>
        <w:rPr>
          <w:rtl w:val="true"/>
        </w:rPr>
        <w:t xml:space="preserve"> (</w:t>
      </w:r>
      <w:r>
        <w:rPr/>
        <w:t>16.3.2011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7023/12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21.1.2013</w:t>
      </w:r>
      <w:r>
        <w:rPr>
          <w:rtl w:val="true"/>
        </w:rPr>
        <w:t xml:space="preserve">)). </w:t>
      </w:r>
      <w:r>
        <w:rPr>
          <w:rtl w:val="true"/>
        </w:rPr>
        <w:t>בהינתן האמור בחוות דעת תמרי</w:t>
      </w:r>
      <w:r>
        <w:rPr>
          <w:rtl w:val="true"/>
        </w:rPr>
        <w:t xml:space="preserve">, </w:t>
      </w:r>
      <w:r>
        <w:rPr>
          <w:rtl w:val="true"/>
        </w:rPr>
        <w:t>המומחה בתחום הרלוונטי למצבו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>אף לא מצאתי כי עניינו של האחרון בא בגדר המקרים שבהם נשיאה בעונש מאסר בפועל עלול לסכן את חיי נאשם שהורשע בדין או לקצר בצורה ניכרת את תוחלת חייו</w:t>
      </w:r>
      <w:r>
        <w:rPr>
          <w:rtl w:val="true"/>
        </w:rPr>
        <w:t xml:space="preserve">, </w:t>
      </w:r>
      <w:r>
        <w:rPr>
          <w:rtl w:val="true"/>
        </w:rPr>
        <w:t xml:space="preserve">ושבהם בית המשפט רשאי להטיל עונש החורג ממתחם העונש ההולם </w:t>
      </w:r>
      <w:r>
        <w:rPr>
          <w:rtl w:val="true"/>
        </w:rPr>
        <w:t>(</w:t>
      </w:r>
      <w:r>
        <w:rPr>
          <w:rtl w:val="true"/>
        </w:rPr>
        <w:t>וזאת מבלי שאקבע מסמרות בקשר לתקרת מתחם העונש ההולם שנקבעה על ידי בית המשפט המחוזי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223-221</w:t>
      </w:r>
      <w:r>
        <w:rPr>
          <w:rtl w:val="true"/>
        </w:rPr>
        <w:t xml:space="preserve"> (</w:t>
      </w:r>
      <w:r>
        <w:rPr/>
        <w:t>29.12.2015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כפי שהדגשתי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וייחודי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'[...]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' [...]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חסינות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222</w:t>
      </w:r>
      <w:r>
        <w:rPr>
          <w:rtl w:val="true"/>
        </w:rPr>
        <w:t>).</w:t>
      </w:r>
    </w:p>
    <w:p>
      <w:pPr>
        <w:pStyle w:val="Ruller41"/>
        <w:spacing w:before="0" w:after="12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מבלי להקל ראש במחלת הלב שממנה סובל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התיעוד הרפואי שהוגש לעיוני לא תומך במסקנה כי יש להימנע מהשתת עונש מאסר בפועל בעניינו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4506/15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לפרק גזר הדין בעניינו של בר ופסקה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לפרק גזר הדין בעניינו של לגזיאל </w:t>
      </w:r>
      <w:r>
        <w:rPr>
          <w:rtl w:val="true"/>
        </w:rPr>
        <w:t>(</w:t>
      </w:r>
      <w:r>
        <w:rPr/>
        <w:t>11.12.2016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(</w:t>
      </w:r>
      <w:r>
        <w:rPr/>
        <w:t>5.1.2016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190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224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בכפוף למילוי התנאים שצוינו בחוות דעתו של ד</w:t>
      </w:r>
      <w:r>
        <w:rPr>
          <w:rtl w:val="true"/>
        </w:rPr>
        <w:t>"</w:t>
      </w:r>
      <w:r>
        <w:rPr>
          <w:rtl w:val="true"/>
        </w:rPr>
        <w:t>ר תמרי בהתייחס לשהייתו של המערער מאחורי סורג ובריח</w:t>
      </w:r>
      <w:r>
        <w:rPr>
          <w:rtl w:val="true"/>
        </w:rPr>
        <w:t xml:space="preserve">, </w:t>
      </w:r>
      <w:r>
        <w:rPr>
          <w:rtl w:val="true"/>
        </w:rPr>
        <w:t>איני סבור כי גם בטענות אלו יש כדי להצדיק הקלה בעונשו</w:t>
      </w:r>
      <w:r>
        <w:rPr>
          <w:rtl w:val="true"/>
        </w:rPr>
        <w:t xml:space="preserve">. </w:t>
      </w:r>
      <w:r>
        <w:rPr>
          <w:rtl w:val="true"/>
        </w:rPr>
        <w:t>למותר לומר כי אם חלילה יוחמר מצבו המתואר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יהיה רשאי לפנות לוועדת השחרורים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המוסמכת להורות על שחרור זמני או מלא ממאסר של אסיר שעקב</w:t>
      </w:r>
      <w:r>
        <w:rPr>
          <w:rFonts w:ascii="Century" w:hAnsi="Century" w:cs="Century"/>
          <w:sz w:val="20"/>
          <w:sz w:val="20"/>
          <w:rtl w:val="true"/>
        </w:rPr>
        <w:t xml:space="preserve"> חולניותו ימיו ספורים או שבשל חולניותו המשך שהות במאסר עלולה לסכן את חייו באופן ממשי</w:t>
      </w:r>
      <w:r>
        <w:rPr>
          <w:rFonts w:cs="Century" w:ascii="Century" w:hAnsi="Century"/>
          <w:sz w:val="20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אציין כי לא ראיתי לקבל את טענותיו של העורר לגבי חומרת הקנס והחילוט שעליהם הורה בית המשפט המחוזי בגזר הדין</w:t>
      </w:r>
      <w:r>
        <w:rPr>
          <w:rtl w:val="true"/>
        </w:rPr>
        <w:t xml:space="preserve">. </w:t>
      </w:r>
      <w:r>
        <w:rPr>
          <w:rtl w:val="true"/>
        </w:rPr>
        <w:t>בכל הנוגע לחילוט</w:t>
      </w:r>
      <w:r>
        <w:rPr>
          <w:rtl w:val="true"/>
        </w:rPr>
        <w:t xml:space="preserve">, </w:t>
      </w:r>
      <w:r>
        <w:rPr>
          <w:rtl w:val="true"/>
        </w:rPr>
        <w:t xml:space="preserve">שיעורו נגזר מן הסכום שבו הורשע המערער </w:t>
      </w:r>
      <w:r>
        <w:rPr>
          <w:rtl w:val="true"/>
        </w:rPr>
        <w:t>–</w:t>
      </w:r>
      <w:r>
        <w:rPr>
          <w:rtl w:val="true"/>
        </w:rPr>
        <w:t xml:space="preserve"> על פי הודאתו </w:t>
      </w:r>
      <w:r>
        <w:rPr>
          <w:rtl w:val="true"/>
        </w:rPr>
        <w:t>–</w:t>
      </w:r>
      <w:r>
        <w:rPr>
          <w:rtl w:val="true"/>
        </w:rPr>
        <w:t xml:space="preserve"> בשתי עבירות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116,500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בגדרי האישום השני ו</w:t>
      </w:r>
      <w:r>
        <w:rPr>
          <w:rtl w:val="true"/>
        </w:rPr>
        <w:t>-</w:t>
      </w:r>
      <w:r>
        <w:rPr/>
        <w:t>57,500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בגדרי האישום החמישי</w:t>
      </w:r>
      <w:r>
        <w:rPr>
          <w:rtl w:val="true"/>
        </w:rPr>
        <w:t xml:space="preserve">). </w:t>
      </w:r>
      <w:r>
        <w:rPr>
          <w:rtl w:val="true"/>
        </w:rPr>
        <w:t>לא מצאתי כי בערעור הונחה עילה להתערב בהוראה זו</w:t>
      </w:r>
      <w:r>
        <w:rPr>
          <w:rtl w:val="true"/>
        </w:rPr>
        <w:t xml:space="preserve">. </w:t>
      </w:r>
      <w:r>
        <w:rPr>
          <w:rtl w:val="true"/>
        </w:rPr>
        <w:t>באשר לקנס</w:t>
      </w:r>
      <w:r>
        <w:rPr>
          <w:rtl w:val="true"/>
        </w:rPr>
        <w:t xml:space="preserve">, </w:t>
      </w:r>
      <w:r>
        <w:rPr>
          <w:rtl w:val="true"/>
        </w:rPr>
        <w:t>בית משפט זה עמד לא פעם על הצורך להטיל קנסות משמעותיים בעבירות כלכליות</w:t>
      </w:r>
      <w:r>
        <w:rPr>
          <w:rtl w:val="true"/>
        </w:rPr>
        <w:t xml:space="preserve">, </w:t>
      </w:r>
      <w:r>
        <w:rPr>
          <w:rtl w:val="true"/>
        </w:rPr>
        <w:t>כדי שאלו תיהפכנה לבלתי משתלמות גם מההיבט הכלכלי ואין צריך להכביר מילים בעניין זה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עונש הקנס על סכום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בהינתן הוראות </w:t>
      </w:r>
      <w:hyperlink r:id="rId3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</w:rPr>
          <w:t>47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ההגבלים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העסקיים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כנוסחם בתקופה הרלוונטית</w:t>
      </w:r>
      <w:r>
        <w:rPr>
          <w:rtl w:val="true"/>
        </w:rPr>
        <w:t xml:space="preserve">, </w:t>
      </w:r>
      <w:r>
        <w:rPr>
          <w:rtl w:val="true"/>
        </w:rPr>
        <w:t xml:space="preserve">ראו הערתי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בלווא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13-12</w:t>
      </w:r>
      <w:r>
        <w:rPr>
          <w:rtl w:val="true"/>
        </w:rPr>
        <w:t xml:space="preserve">), </w:t>
      </w:r>
      <w:r>
        <w:rPr>
          <w:rtl w:val="true"/>
        </w:rPr>
        <w:t xml:space="preserve">שלפיהן עונש הקנס המרבי בגין עבירת צד להסדר כובל עומד על פי עשרה מהקנס כאמור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וכן בשל היקף התיאומים שבגינם הורשע המערער </w:t>
      </w:r>
      <w:r>
        <w:rPr>
          <w:rtl w:val="true"/>
        </w:rPr>
        <w:t>(</w:t>
      </w:r>
      <w:r>
        <w:rPr>
          <w:rtl w:val="true"/>
        </w:rPr>
        <w:t>ובכלל זאת התיאומים שנועדו להבטיח את זכיית החברה</w:t>
      </w:r>
      <w:r>
        <w:rPr>
          <w:rtl w:val="true"/>
        </w:rPr>
        <w:t xml:space="preserve">), </w:t>
      </w:r>
      <w:r>
        <w:rPr>
          <w:rtl w:val="true"/>
        </w:rPr>
        <w:t>לא מצאתי כי יש מקום להתערב בעונש הקנס שהושת על המערער</w:t>
      </w:r>
      <w:r>
        <w:rPr>
          <w:rtl w:val="true"/>
        </w:rPr>
        <w:t xml:space="preserve">, </w:t>
      </w:r>
      <w:r>
        <w:rPr>
          <w:rtl w:val="true"/>
        </w:rPr>
        <w:t>הנוטה ממילא לדעתי לקולה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בכפוף לעמידת שירות בתי הסוהר בתנאים שמנה ד</w:t>
      </w:r>
      <w:r>
        <w:rPr>
          <w:rtl w:val="true"/>
        </w:rPr>
        <w:t>"</w:t>
      </w:r>
      <w:r>
        <w:rPr>
          <w:rtl w:val="true"/>
        </w:rPr>
        <w:t>ר תמרי בחוות דעתו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כלשונם</w:t>
      </w:r>
      <w:r>
        <w:rPr>
          <w:rtl w:val="true"/>
        </w:rPr>
        <w:t xml:space="preserve">, </w:t>
      </w:r>
      <w:r>
        <w:rPr>
          <w:rtl w:val="true"/>
        </w:rPr>
        <w:t>אציע לחבריי כי נותיר את גזר הדין בעניינו של המערער על כנו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0"/>
          <w:szCs w:val="24"/>
        </w:rPr>
      </w:pPr>
      <w:r>
        <w:rPr>
          <w:rFonts w:cs="Century" w:ascii="Century" w:hAnsi="Century"/>
          <w:sz w:val="20"/>
          <w:szCs w:val="24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0"/>
          <w:szCs w:val="24"/>
        </w:rPr>
      </w:pPr>
      <w:r>
        <w:rPr>
          <w:rFonts w:cs="Century" w:ascii="Century" w:hAnsi="Century"/>
          <w:sz w:val="20"/>
          <w:szCs w:val="24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0"/>
          <w:szCs w:val="24"/>
        </w:rPr>
      </w:pPr>
      <w:r>
        <w:rPr>
          <w:rFonts w:cs="Century" w:ascii="Century" w:hAnsi="Century"/>
          <w:sz w:val="20"/>
          <w:szCs w:val="24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28.6.2020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בבימ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3.5.2020</w:t>
      </w:r>
      <w:r>
        <w:rPr>
          <w:rFonts w:cs="Century" w:ascii="Century" w:hAnsi="Century"/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19027700</w:t>
      </w:r>
      <w:r>
        <w:rPr>
          <w:sz w:val="16"/>
          <w:rtl w:val="true"/>
        </w:rPr>
        <w:t>_</w:t>
      </w:r>
      <w:r>
        <w:rPr>
          <w:sz w:val="16"/>
        </w:rPr>
        <w:t>M09.docx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54678313-2770/19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2770/19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זוהר כץ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93784" TargetMode="External"/><Relationship Id="rId3" Type="http://schemas.openxmlformats.org/officeDocument/2006/relationships/hyperlink" Target="http://www.nevo.co.il/law/71600" TargetMode="External"/><Relationship Id="rId4" Type="http://schemas.openxmlformats.org/officeDocument/2006/relationships/hyperlink" Target="http://www.nevo.co.il/law/71600/47.a" TargetMode="External"/><Relationship Id="rId5" Type="http://schemas.openxmlformats.org/officeDocument/2006/relationships/hyperlink" Target="http://www.nevo.co.il/law/71600/47a" TargetMode="External"/><Relationship Id="rId6" Type="http://schemas.openxmlformats.org/officeDocument/2006/relationships/hyperlink" Target="http://www.nevo.co.il/law/74345" TargetMode="External"/><Relationship Id="rId7" Type="http://schemas.openxmlformats.org/officeDocument/2006/relationships/hyperlink" Target="http://www.nevo.co.il/law/74345/3.a" TargetMode="External"/><Relationship Id="rId8" Type="http://schemas.openxmlformats.org/officeDocument/2006/relationships/hyperlink" Target="http://www.nevo.co.il/law/74345/21.a" TargetMode="External"/><Relationship Id="rId9" Type="http://schemas.openxmlformats.org/officeDocument/2006/relationships/hyperlink" Target="http://www.nevo.co.il/law/75025" TargetMode="External"/><Relationship Id="rId10" Type="http://schemas.openxmlformats.org/officeDocument/2006/relationships/hyperlink" Target="http://www.nevo.co.il/law/75025/7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61.a.4" TargetMode="External"/><Relationship Id="rId13" Type="http://schemas.openxmlformats.org/officeDocument/2006/relationships/hyperlink" Target="http://www.nevo.co.il/case/25633308" TargetMode="External"/><Relationship Id="rId14" Type="http://schemas.openxmlformats.org/officeDocument/2006/relationships/hyperlink" Target="http://www.nevo.co.il/law/71600" TargetMode="External"/><Relationship Id="rId15" Type="http://schemas.openxmlformats.org/officeDocument/2006/relationships/hyperlink" Target="http://www.nevo.co.il/law/71600" TargetMode="External"/><Relationship Id="rId16" Type="http://schemas.openxmlformats.org/officeDocument/2006/relationships/hyperlink" Target="http://www.nevo.co.il/case/24966863" TargetMode="External"/><Relationship Id="rId17" Type="http://schemas.openxmlformats.org/officeDocument/2006/relationships/hyperlink" Target="http://www.nevo.co.il/law/74345/3.a" TargetMode="External"/><Relationship Id="rId18" Type="http://schemas.openxmlformats.org/officeDocument/2006/relationships/hyperlink" Target="http://www.nevo.co.il/law/74345" TargetMode="External"/><Relationship Id="rId19" Type="http://schemas.openxmlformats.org/officeDocument/2006/relationships/hyperlink" Target="http://www.nevo.co.il/law/71600" TargetMode="External"/><Relationship Id="rId20" Type="http://schemas.openxmlformats.org/officeDocument/2006/relationships/hyperlink" Target="http://www.nevo.co.il/law/74345/21.a" TargetMode="External"/><Relationship Id="rId21" Type="http://schemas.openxmlformats.org/officeDocument/2006/relationships/hyperlink" Target="http://www.nevo.co.il/law/74345" TargetMode="External"/><Relationship Id="rId22" Type="http://schemas.openxmlformats.org/officeDocument/2006/relationships/hyperlink" Target="http://www.nevo.co.il/law/71600" TargetMode="External"/><Relationship Id="rId23" Type="http://schemas.openxmlformats.org/officeDocument/2006/relationships/hyperlink" Target="http://www.nevo.co.il/law/74345" TargetMode="External"/><Relationship Id="rId24" Type="http://schemas.openxmlformats.org/officeDocument/2006/relationships/hyperlink" Target="http://www.nevo.co.il/case/23750595" TargetMode="External"/><Relationship Id="rId25" Type="http://schemas.openxmlformats.org/officeDocument/2006/relationships/hyperlink" Target="http://www.nevo.co.il/case/6094500" TargetMode="External"/><Relationship Id="rId26" Type="http://schemas.openxmlformats.org/officeDocument/2006/relationships/hyperlink" Target="http://www.nevo.co.il/case/24263370" TargetMode="External"/><Relationship Id="rId27" Type="http://schemas.openxmlformats.org/officeDocument/2006/relationships/hyperlink" Target="http://www.nevo.co.il/law/74345" TargetMode="External"/><Relationship Id="rId28" Type="http://schemas.openxmlformats.org/officeDocument/2006/relationships/hyperlink" Target="http://www.nevo.co.il/case/6247807" TargetMode="External"/><Relationship Id="rId29" Type="http://schemas.openxmlformats.org/officeDocument/2006/relationships/hyperlink" Target="http://www.nevo.co.il/case/5598702" TargetMode="External"/><Relationship Id="rId30" Type="http://schemas.openxmlformats.org/officeDocument/2006/relationships/hyperlink" Target="http://www.nevo.co.il/case/17954217" TargetMode="External"/><Relationship Id="rId31" Type="http://schemas.openxmlformats.org/officeDocument/2006/relationships/hyperlink" Target="http://www.nevo.co.il/case/20402459" TargetMode="External"/><Relationship Id="rId32" Type="http://schemas.openxmlformats.org/officeDocument/2006/relationships/hyperlink" Target="http://www.nevo.co.il/case/20371840" TargetMode="External"/><Relationship Id="rId33" Type="http://schemas.openxmlformats.org/officeDocument/2006/relationships/hyperlink" Target="http://www.nevo.co.il/law/75025/7" TargetMode="External"/><Relationship Id="rId34" Type="http://schemas.openxmlformats.org/officeDocument/2006/relationships/hyperlink" Target="http://www.nevo.co.il/law/75025" TargetMode="External"/><Relationship Id="rId35" Type="http://schemas.openxmlformats.org/officeDocument/2006/relationships/hyperlink" Target="http://www.nevo.co.il/law/74345/3.a" TargetMode="External"/><Relationship Id="rId36" Type="http://schemas.openxmlformats.org/officeDocument/2006/relationships/hyperlink" Target="http://www.nevo.co.il/law/74345" TargetMode="External"/><Relationship Id="rId37" Type="http://schemas.openxmlformats.org/officeDocument/2006/relationships/hyperlink" Target="http://www.nevo.co.il/law/71600/47.a" TargetMode="External"/><Relationship Id="rId38" Type="http://schemas.openxmlformats.org/officeDocument/2006/relationships/hyperlink" Target="http://www.nevo.co.il/law/71600/47a" TargetMode="External"/><Relationship Id="rId39" Type="http://schemas.openxmlformats.org/officeDocument/2006/relationships/hyperlink" Target="http://www.nevo.co.il/law/71600" TargetMode="External"/><Relationship Id="rId40" Type="http://schemas.openxmlformats.org/officeDocument/2006/relationships/hyperlink" Target="http://www.nevo.co.il/law/70301/61.a.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supreme.court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2020-05-04T07:39:00Z</dcterms:created>
  <dc:creator>h4</dc:creator>
  <dc:description/>
  <cp:keywords/>
  <dc:language>en-IL</dc:language>
  <cp:lastModifiedBy>orly</cp:lastModifiedBy>
  <cp:lastPrinted>2020-05-03T09:20:00Z</cp:lastPrinted>
  <dcterms:modified xsi:type="dcterms:W3CDTF">2020-05-04T07:39:00Z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זוהר כץ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7793784;24966863;23750595;6094500;24263370;6247807;5598702;17954217;20402459;20371840</vt:lpwstr>
  </property>
  <property fmtid="{D5CDD505-2E9C-101B-9397-08002B2CF9AE}" pid="9" name="CITY">
    <vt:lpwstr/>
  </property>
  <property fmtid="{D5CDD505-2E9C-101B-9397-08002B2CF9AE}" pid="10" name="DATE">
    <vt:lpwstr>20200503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מזוז;ג' קרא</vt:lpwstr>
  </property>
  <property fmtid="{D5CDD505-2E9C-101B-9397-08002B2CF9AE}" pid="14" name="LAWLISTTMP1">
    <vt:lpwstr>71600/047.a;047a</vt:lpwstr>
  </property>
  <property fmtid="{D5CDD505-2E9C-101B-9397-08002B2CF9AE}" pid="15" name="LAWLISTTMP2">
    <vt:lpwstr>74345/003.a:2;021.a</vt:lpwstr>
  </property>
  <property fmtid="{D5CDD505-2E9C-101B-9397-08002B2CF9AE}" pid="16" name="LAWLISTTMP3">
    <vt:lpwstr>75025/007</vt:lpwstr>
  </property>
  <property fmtid="{D5CDD505-2E9C-101B-9397-08002B2CF9AE}" pid="17" name="LAWLISTTMP4">
    <vt:lpwstr>70301/061.a.4</vt:lpwstr>
  </property>
  <property fmtid="{D5CDD505-2E9C-101B-9397-08002B2CF9AE}" pid="18" name="LAWYER">
    <vt:lpwstr>אייל פרזון;עמרי קופלר;אשר גושן;חי הבר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הגבלים עסקיים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77;77;77;23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הסדר כובל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1446;1446;1446;534</vt:lpwstr>
  </property>
  <property fmtid="{D5CDD505-2E9C-101B-9397-08002B2CF9AE}" pid="51" name="NOSE31">
    <vt:lpwstr>מדיניות ענישה: הגבלים עסקיים</vt:lpwstr>
  </property>
  <property fmtid="{D5CDD505-2E9C-101B-9397-08002B2CF9AE}" pid="52" name="NOSE310">
    <vt:lpwstr/>
  </property>
  <property fmtid="{D5CDD505-2E9C-101B-9397-08002B2CF9AE}" pid="53" name="NOSE32">
    <vt:lpwstr>אחדות הענישה</vt:lpwstr>
  </property>
  <property fmtid="{D5CDD505-2E9C-101B-9397-08002B2CF9AE}" pid="54" name="NOSE33">
    <vt:lpwstr>מדיניות ענישה: מצב בריאותי</vt:lpwstr>
  </property>
  <property fmtid="{D5CDD505-2E9C-101B-9397-08002B2CF9AE}" pid="55" name="NOSE34">
    <vt:lpwstr>נסיבות מחמירות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17337;12547;15686;17336</vt:lpwstr>
  </property>
  <property fmtid="{D5CDD505-2E9C-101B-9397-08002B2CF9AE}" pid="62" name="PADIDATE">
    <vt:lpwstr>20200504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2770;2771</vt:lpwstr>
  </property>
  <property fmtid="{D5CDD505-2E9C-101B-9397-08002B2CF9AE}" pid="68" name="PROCYEAR">
    <vt:lpwstr>19;19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410120200503</vt:lpwstr>
  </property>
  <property fmtid="{D5CDD505-2E9C-101B-9397-08002B2CF9AE}" pid="72" name="TYPE_N_DATE">
    <vt:lpwstr>41020200503</vt:lpwstr>
  </property>
  <property fmtid="{D5CDD505-2E9C-101B-9397-08002B2CF9AE}" pid="73" name="VOLUME">
    <vt:lpwstr/>
  </property>
  <property fmtid="{D5CDD505-2E9C-101B-9397-08002B2CF9AE}" pid="74" name="WORDNUMPAGES">
    <vt:lpwstr>14</vt:lpwstr>
  </property>
</Properties>
</file>