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279/19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6"/>
          <w:szCs w:val="22"/>
        </w:rPr>
      </w:pPr>
      <w:r>
        <w:rPr>
          <w:rFonts w:cs="Miriam"/>
          <w:b/>
          <w:bCs/>
          <w:sz w:val="16"/>
          <w:szCs w:val="2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6"/>
          <w:szCs w:val="22"/>
        </w:rPr>
      </w:pPr>
      <w:r>
        <w:rPr>
          <w:rFonts w:cs="Miriam"/>
          <w:b/>
          <w:bCs/>
          <w:sz w:val="16"/>
          <w:szCs w:val="2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6"/>
          <w:szCs w:val="22"/>
        </w:rPr>
      </w:pPr>
      <w:r>
        <w:rPr>
          <w:rFonts w:cs="Miriam"/>
          <w:b/>
          <w:bCs/>
          <w:sz w:val="16"/>
          <w:szCs w:val="22"/>
          <w:rtl w:val="true"/>
        </w:rPr>
        <w:tab/>
        <w:tab/>
        <w:tab/>
        <w:t xml:space="preserve">     </w:t>
      </w:r>
      <w:r>
        <w:rPr>
          <w:rFonts w:cs="Miriam"/>
          <w:b/>
          <w:bCs/>
          <w:sz w:val="16"/>
          <w:szCs w:val="22"/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הכרעת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וגזר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חיפה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תפ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"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7343-08-18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6.9.2019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28.11.2018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אליקים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נאות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פרי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בש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6"/>
          <w:szCs w:val="22"/>
        </w:rPr>
      </w:pPr>
      <w:r>
        <w:rPr>
          <w:rFonts w:cs="Miriam"/>
          <w:b/>
          <w:bCs/>
          <w:sz w:val="16"/>
          <w:szCs w:val="22"/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11.09.2019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6"/>
          <w:szCs w:val="22"/>
        </w:rPr>
      </w:pPr>
      <w:r>
        <w:rPr>
          <w:rFonts w:cs="Miriam"/>
          <w:b/>
          <w:bCs/>
          <w:sz w:val="16"/>
          <w:szCs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זכי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כמאל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6"/>
          <w:szCs w:val="22"/>
        </w:rPr>
      </w:pPr>
      <w:r>
        <w:rPr>
          <w:rFonts w:cs="Miriam"/>
          <w:b/>
          <w:bCs/>
          <w:sz w:val="16"/>
          <w:szCs w:val="22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2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1982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153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דחיית ערעור במרכזו בקשת המערער לאפשר לו לחזור בו מהודייתו בביצוע מספר עבירות מין בשתי קטינות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ולחילופין להקל בעונשו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קיומו של רצון חופשי בשעת ההודיה נבחן לא אחת במועד הבקשה לחזרה מהודיה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ככל שבקשת הנאשם לחזרה מהודיה תוגש בשלב מאוחר יותר בהליך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כך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ייטה שלא להיענות לבקשתו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בפרט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מקום שבו הטענה הועלתה לראשונה לאחר גזה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 ובמיוחד במקרים כבענייננו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שבהם לא הושגה הסכמה לעניין העונש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בשל החשש כי בקשת הנאשם נובעת מאכזבתו מחומרת העונש שנגזר עליו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ולא מאמונתו הכנה בחפותו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דיון פלילי – הודאה – חזרה מהודאה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דיון פלילי – הודאה – חופשית ומרצון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עבירות מין בקטינים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ערעור על הכרעת דין וגז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 של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מחוזי בגדרו הורשע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עפ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 הודאתו במסגרת הסדר טיעון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בביצוע מספר עבירות מין בשתי קטינות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בנות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8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שנים המתגוררת בסמיכות לביתו והוטל עליו עונש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 מאסר 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תנאי ותשלום פיצויים למתלוננות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-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לאחת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70,000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ולשניה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30,000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במסגרת הערעור מבקש המערער לראשונה לחזור בו מהודייתו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בשל כשל בייצוג אשר הביא להודיית שווא ולחילופין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להקל בעונשו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לטענתו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הסכמתו להסדר הטיעון והודייתו הן תולדה של תרמית הטעיה והצגת מצג שווא של בא כוחו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דאז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בהליך בביהמ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אלרון בהסכמת השופטים 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פוגלמן וע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ברון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בהתאם ל</w:t>
      </w:r>
      <w:hyperlink r:id="rId4"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Cs w:val="26"/>
          </w:rPr>
          <w:t>153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Cs w:val="26"/>
            <w:rtl w:val="true"/>
          </w:rPr>
          <w:t>)</w:t>
        </w:r>
      </w:hyperlink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</w:t>
      </w:r>
      <w:hyperlink r:id="rId5"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 xml:space="preserve"> סדר הדין הפלילי</w:t>
        </w:r>
      </w:hyperlink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נאשם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רשאי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בכל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שלב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המשפט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לחזור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בו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מן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ההודיה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כולה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מקצתה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אם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הרשה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זאת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מנימוקים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מיוחדים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שיירשמו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בהתאם לסעיף זה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נקבע כי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חזרה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מהוד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יה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אשר ניתנה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במסגרת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הסדר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טיעון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תותר במקרים חריגים בלבד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עוד נקבע כי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סוגיה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המרכזית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אליה יידרש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בבחינת בקשה לחזרה מהודיה היא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קיומו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רצון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חופשי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והבנת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הנאשם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בשעת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ההודיה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את משמעות הודייתו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קיומו של רצון חופשי בשעת ההודיה נבחן לא אחת במועד הבקשה לחזרה מהודיה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ככל שבקשת הנאשם לחזרה מהודיה תוגש בשלב מאוחר יותר בהליך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כך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ייטה שלא להיענות לבקשתו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בפרט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מקום שבו טענתו הועלתה לראשונה לאחר מתן גזר דינו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ובמיוחד במקרים שבהם לא הושגה הסכמה באשר למסגרת העונשית שתוטל על הנאשם בהסדר הטיעון כבנסיבות ענייננו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בשל האפשרות כי במקרים אלו בקשת הנאשם לחזרה מהודיה נובעת מאכזבתו מחומרת העונש שנגזר עליו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ולא מאמונתו הכנה בחפותו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כפי שנפסק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לאחר מתן 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טענת כשל בייצוג תיבחן בזהירות רבה ותתקבל רק במקרים חריגים ונדירים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בהם הוכח כי האופן בו נוהלה ההגנה הביא לעיוות דין של ממש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לעניין זה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הטוען להוכיח כי אלמלא הייצוג הכושל אפשר שתוצאתו של ההליך הייתה משתנה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במקרה דנן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עיון במכלול החומרים שהונחו בפני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מלמד כי המערער הודה במיוחס לו במסגרת הסדר הטיעון לאחר תהליך ממושך במסגרתו בחן את הסיכונים והסיכויים הצפונים בתיק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הבין את האמור בכתב האישום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ואף הבין את השלכות הודייתו במיוחס 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כן אין ממש בטענתו כי הודייתו נכפתה עליו ולא ניתנה מרצונו החופשי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זאת ועוד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המערער ביקש כי תינתן לו אפשרות לחזור בו מהודייתו רק בשלב הערעור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לאחר שנגזר דינו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וזאת אף שהיו לו מספר הזדמנויות שונות לכפור בה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בנסיבות אלו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מתעורר חשש כבד כי מדובר בצעד הנובע מאכזבתו מהעונש שנגזר עליו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ואשר מטרתו היא להביא להקלה בעונשו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מטעמים דומים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אף טענת המערער לכשל בייצוג אין בה ממש ואין בה כדי להועיל 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דין הערעור על הכרעת דינו של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להידחות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לערעור על חומרת העונש שהוטל על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הרי שכידוע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זה מדרכה של ערכאת הערעור להתערב בגזר הדין של הערכאה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למעט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במקרים חריגים שבהם נפלה טעות מהותית ובולטת בגזר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 כאשר העונש שהוטל חורג באופן קיצוני מהענישה המקובלת במקרים דומים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עניינו של המערער אינו נמנה עם מקרים חריגים אלה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ומשכך אף דין הערעור על גזר הדין להידחות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העונש הראוי לעברייני מין הפוגעים פעם אחר פעם בקטינים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תוך ניצול תמימותם וחולשתם הוא עונש מאסר בפועל לתקופה ממושכת אשר הולם את הפגיעה העמוקה הנגרמת לקורבנותיהם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ואשר יש בו כדי להרחיקם מהציבור ולמנוע פגיעה באחרים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ואף להרתיע אותם ומפגעים פוטנציאליים אחרים מביצוע עבירות דומות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אופי הפגיעה אשר נגרמה למתלוננות כתוצאה ממעשי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האופן המחושב בו פעל תוך שבחר בקפידה מקומות מסתור מתאימים לביצוע המעשים ועשה שימוש בשם בדוי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והעובדה שאין מדובר באירוע חד פעמי אלא ברצף אירועים שבהם פעל בדפוס קבוע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מצדיקים כולם ענישה מחמירה ומרתיעה אשר תרחיק את המערער מהציבור לתקופה ממושכת ותמנע ממנו לפגוע באחרים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אף את העובדה כי המערער נמנע מלשלם למתלוננות את הפיצוי שהושת עליו יש לשקול לחובתו כנגד הנסיבה המקלה של הודייתו בכתב האישום המתוקן בביהמ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נזקפה לזכותו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עובדה זו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בצירוף בקשתו לחזור בו מהודייתו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מעידה על כך שהאחריות שנטל על מעשיו אינה מלאה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בנסיבות אלה העונש אשר הוטל על המערער אינו חמור כלל ועיקר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ואין בגילו המתקדם וביתר נסיבותיו האישיות כדי להצדיק הקלה בעונשו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  <w:bookmarkStart w:id="14" w:name="Start_Write"/>
      <w:bookmarkEnd w:id="14"/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במוקד הערעור שלפנינו בקשת המערער לאפשר לו לחזור בו מהודייתו בביצוע מספר עבירות מין בשתי קטינות</w:t>
      </w:r>
      <w:r>
        <w:rPr>
          <w:rtl w:val="true"/>
        </w:rPr>
        <w:t xml:space="preserve">, </w:t>
      </w:r>
      <w:r>
        <w:rPr>
          <w:rtl w:val="true"/>
        </w:rPr>
        <w:t xml:space="preserve">ולחילופין </w:t>
      </w:r>
      <w:r>
        <w:rPr>
          <w:rtl w:val="true"/>
        </w:rPr>
        <w:t>–</w:t>
      </w:r>
      <w:r>
        <w:rPr>
          <w:rtl w:val="true"/>
        </w:rPr>
        <w:t xml:space="preserve"> כי נקל בעונשו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7343-08-18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28.11.2018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eastAsia="Arial TUR;Arial" w:cs="Arial TUR;Arial"/>
          <w:rtl w:val="true"/>
        </w:rPr>
        <w:t xml:space="preserve"> </w:t>
      </w:r>
      <w:r>
        <w:rPr/>
        <w:t>6.9.2019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עיקרי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העובדות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מטעמים של צנעת הפרט ועל מנת שלא לחשוף את זהותן של המתלוננות</w:t>
      </w:r>
      <w:r>
        <w:rPr>
          <w:rtl w:val="true"/>
        </w:rPr>
        <w:t xml:space="preserve">, </w:t>
      </w:r>
      <w:r>
        <w:rPr>
          <w:rtl w:val="true"/>
        </w:rPr>
        <w:t>עובדות כתב האישום יתוארו בתמצית שבתמצית בלבד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המתגוררת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לבקשותיה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לסירוגין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ולהזהירו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להוריהן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קמא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כבר בשלביו המוקדמים של ההליך</w:t>
      </w:r>
      <w:r>
        <w:rPr>
          <w:rtl w:val="true"/>
        </w:rPr>
        <w:t xml:space="preserve">, </w:t>
      </w:r>
      <w:r>
        <w:rPr>
          <w:rtl w:val="true"/>
        </w:rPr>
        <w:t>ובטרם נקראו המתלוננות להעיד</w:t>
      </w:r>
      <w:r>
        <w:rPr>
          <w:rtl w:val="true"/>
        </w:rPr>
        <w:t xml:space="preserve">, </w:t>
      </w:r>
      <w:r>
        <w:rPr>
          <w:rtl w:val="true"/>
        </w:rPr>
        <w:t>הודיעו הצדדים לבית המשפט קמא כי הגיעו להסדר טיעון</w:t>
      </w:r>
      <w:r>
        <w:rPr>
          <w:rtl w:val="true"/>
        </w:rPr>
        <w:t xml:space="preserve">. </w:t>
      </w:r>
      <w:r>
        <w:rPr>
          <w:rtl w:val="true"/>
        </w:rPr>
        <w:t>במסגרת ההסדר תוקנו עובדות כתב האישום כך שהמעשים המיוחסים למערער רוככו</w:t>
      </w:r>
      <w:r>
        <w:rPr>
          <w:rtl w:val="true"/>
        </w:rPr>
        <w:t xml:space="preserve">, </w:t>
      </w:r>
      <w:r>
        <w:rPr>
          <w:rtl w:val="true"/>
        </w:rPr>
        <w:t xml:space="preserve">וצוין כי </w:t>
      </w:r>
      <w:r>
        <w:rPr>
          <w:rtl w:val="true"/>
        </w:rPr>
        <w:t>"</w:t>
      </w:r>
      <w:r>
        <w:rPr>
          <w:rtl w:val="true"/>
        </w:rPr>
        <w:t>כל צד יהא רשאי לטעון לעונש באופן חופשי</w:t>
      </w:r>
      <w:r>
        <w:rPr>
          <w:rtl w:val="true"/>
        </w:rPr>
        <w:t>".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ולאחר שהמערער ובא</w:t>
      </w:r>
      <w:r>
        <w:rPr>
          <w:rtl w:val="true"/>
        </w:rPr>
        <w:t>-</w:t>
      </w:r>
      <w:r>
        <w:rPr>
          <w:rtl w:val="true"/>
        </w:rPr>
        <w:t>כוחו ציינו כי כתב האישום המתוקן הוקרא לו וכי הוא מודה במיוחס לו</w:t>
      </w:r>
      <w:r>
        <w:rPr>
          <w:rtl w:val="true"/>
        </w:rPr>
        <w:t xml:space="preserve">, </w:t>
      </w:r>
      <w:r>
        <w:rPr>
          <w:rtl w:val="true"/>
        </w:rPr>
        <w:t>הרשיעוֹ בית המשפט קמא במיוחס לו בכתב האישום המתוקן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התייחס בית המשפט קמא למדיניות הענישה הנוהגת ועמד על החומרה הרבה שבביצוע עבירות מין כלפי קטינים ועל הערכים המוגנים אשר נפגעו כתוצאה ממעשים אלו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גופם</w:t>
      </w:r>
      <w:r>
        <w:rPr>
          <w:rtl w:val="true"/>
        </w:rPr>
        <w:t xml:space="preserve">, </w:t>
      </w:r>
      <w:r>
        <w:rPr>
          <w:rtl w:val="true"/>
        </w:rPr>
        <w:t>בתחושת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וביכולתם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ומחושבים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בקפידה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בדוי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tl w:val="true"/>
        </w:rPr>
        <w:t xml:space="preserve">: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ותמימותן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</w:t>
      </w:r>
      <w:r>
        <w:rPr>
          <w:rtl w:val="true"/>
        </w:rPr>
        <w:t xml:space="preserve">" </w:t>
      </w:r>
      <w:r>
        <w:rPr>
          <w:rtl w:val="true"/>
        </w:rPr>
        <w:t>בגילאי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ילדוּת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לאובייקט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בזוי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המבוגר</w:t>
      </w:r>
      <w:r>
        <w:rPr>
          <w:rtl w:val="true"/>
        </w:rPr>
        <w:t xml:space="preserve">, </w:t>
      </w:r>
      <w:r>
        <w:rPr>
          <w:rtl w:val="true"/>
        </w:rPr>
        <w:t>היעדרו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עוון</w:t>
      </w:r>
      <w:r>
        <w:rPr>
          <w:rtl w:val="true"/>
        </w:rPr>
        <w:t xml:space="preserve">"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70,000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טיעוני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בערעור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במסגרת הערעור מבקש המערער לראשונה לחזור בו מהודייתו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הסכמתו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תרמית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והטעיה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", </w:t>
      </w:r>
      <w:r>
        <w:rPr>
          <w:rtl w:val="true"/>
        </w:rPr>
        <w:t>כהגדרתו</w:t>
      </w:r>
      <w:r>
        <w:rPr>
          <w:rtl w:val="true"/>
        </w:rPr>
        <w:t xml:space="preserve">,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להקריא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להקריא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כנעלב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tl w:val="true"/>
        </w:rPr>
        <w:t xml:space="preserve">, </w:t>
      </w:r>
      <w:r>
        <w:rPr>
          <w:rtl w:val="true"/>
        </w:rPr>
        <w:t>ונקט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איים</w:t>
      </w:r>
      <w:r>
        <w:rPr>
          <w:rtl w:val="true"/>
        </w:rPr>
        <w:t xml:space="preserve">"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גורלו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</w:t>
      </w:r>
      <w:r>
        <w:rPr>
          <w:rtl w:val="true"/>
        </w:rPr>
        <w:t xml:space="preserve">"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>, "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ומשמעותה</w:t>
      </w:r>
      <w:r>
        <w:rPr>
          <w:rtl w:val="true"/>
        </w:rPr>
        <w:t xml:space="preserve">, </w:t>
      </w:r>
      <w:r>
        <w:rPr>
          <w:rtl w:val="true"/>
        </w:rPr>
        <w:t>והודאתו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כיאות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נשללה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ולטהר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" </w:t>
      </w:r>
      <w:r>
        <w:rPr>
          <w:rtl w:val="true"/>
        </w:rPr>
        <w:t>ועוות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מופנה הערעור כלפי חומרת עונש המאסר אשר נגזר על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מתוכננים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ומחושבים</w:t>
      </w:r>
      <w:r>
        <w:rPr>
          <w:rtl w:val="true"/>
        </w:rPr>
        <w:t xml:space="preserve">"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; </w:t>
      </w:r>
      <w:r>
        <w:rPr>
          <w:rtl w:val="true"/>
        </w:rPr>
        <w:t>ומדיניות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המבוגר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טוענת המשיבה כי יש לדחות את הערעור על שני חלקיו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>, 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"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השתלשלות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ולהשלכותיה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אקדים ואומר כי אני סבור שדין הערעורים 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מנימוקים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שיירשמו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</w:t>
      </w:r>
      <w:r>
        <w:rPr>
          <w:rtl w:val="true"/>
        </w:rPr>
        <w:t>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3914/08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עאסלה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8.9.2008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5401/18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/>
        <w:t>5.2.2019</w:t>
      </w:r>
      <w:r>
        <w:rPr>
          <w:rtl w:val="true"/>
        </w:rPr>
        <w:t xml:space="preserve">);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6028/13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20.3.2014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10478/09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24.6.2010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מהודיה</w:t>
      </w:r>
      <w:r>
        <w:rPr>
          <w:rtl w:val="true"/>
        </w:rPr>
        <w:t xml:space="preserve">: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763/03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שמואל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/>
        <w:t>14.04.2003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945/85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מא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572</w:t>
      </w:r>
      <w:r>
        <w:rPr>
          <w:rtl w:val="true"/>
        </w:rPr>
        <w:t xml:space="preserve">, </w:t>
      </w:r>
      <w:r>
        <w:rPr/>
        <w:t>580-579</w:t>
      </w:r>
      <w:r>
        <w:rPr>
          <w:rtl w:val="true"/>
        </w:rPr>
        <w:t xml:space="preserve"> (</w:t>
      </w:r>
      <w:r>
        <w:rPr/>
        <w:t>1987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מאכזבתו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בחפותו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14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5401/18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5.2.2019</w:t>
      </w:r>
      <w:r>
        <w:rPr>
          <w:rFonts w:cs="Century" w:ascii="Century" w:hAnsi="Century"/>
          <w:rtl w:val="true"/>
        </w:rPr>
        <w:t xml:space="preserve">); </w:t>
      </w:r>
      <w:hyperlink r:id="rId15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6349/11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שניידר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נשימוב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השופט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10.6.2013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16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3371/17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18-16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3.7.2018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ונדירים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הטוען כי נגרם לו עיוות דין להוכיח כי אלמלא הייצוג הכושל אפשר שתוצאתו של ההליך הייתה משתנה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3371/17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/>
        <w:t>3.7.2018</w:t>
      </w:r>
      <w:r>
        <w:rPr>
          <w:rtl w:val="true"/>
        </w:rPr>
        <w:t>)).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עיון במכלול החומרים שהונחו בפנינו מלמד כי המערער הודה במיוחס לו במסגרת הסדר הטיעון לאחר תהליך ממושך במסגרתו בחן את הסיכונים והסיכויים הצפונים בתיק</w:t>
      </w:r>
      <w:r>
        <w:rPr>
          <w:rtl w:val="true"/>
        </w:rPr>
        <w:t xml:space="preserve">, </w:t>
      </w:r>
      <w:r>
        <w:rPr>
          <w:rtl w:val="true"/>
        </w:rPr>
        <w:t xml:space="preserve">הבין את האמור בכתב האישום </w:t>
      </w:r>
      <w:r>
        <w:rPr>
          <w:rtl w:val="true"/>
        </w:rPr>
        <w:t>–</w:t>
      </w:r>
      <w:r>
        <w:rPr>
          <w:rtl w:val="true"/>
        </w:rPr>
        <w:t xml:space="preserve"> ואף הבין את השלכות הודייתו במיוחס לו</w:t>
      </w:r>
      <w:r>
        <w:rPr>
          <w:rtl w:val="true"/>
        </w:rPr>
        <w:t xml:space="preserve">. </w:t>
      </w:r>
      <w:r>
        <w:rPr>
          <w:rtl w:val="true"/>
        </w:rPr>
        <w:t>על כן אין ממש בטענתו כי הודייתו נכפתה עליו ולא ניתנה מרצונו החופשי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השתלשלות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ולהודיית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וביסודיות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ומדגישים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דופי</w:t>
      </w:r>
      <w:r>
        <w:rPr>
          <w:rtl w:val="true"/>
        </w:rPr>
        <w:t xml:space="preserve">;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הקפיד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חיפזון</w:t>
      </w:r>
      <w:r>
        <w:rPr>
          <w:rtl w:val="true"/>
        </w:rPr>
        <w:t xml:space="preserve">" </w:t>
      </w:r>
      <w:r>
        <w:rPr>
          <w:rtl w:val="true"/>
        </w:rPr>
        <w:t>ובטרם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מדברי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והחופשי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" 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באריכות</w:t>
      </w:r>
      <w:r>
        <w:rPr>
          <w:rtl w:val="true"/>
        </w:rPr>
        <w:t xml:space="preserve">" </w:t>
      </w:r>
      <w:r>
        <w:rPr>
          <w:rtl w:val="true"/>
        </w:rPr>
        <w:t>במפגש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" 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בפרוטוקול</w:t>
      </w:r>
      <w:r>
        <w:rPr>
          <w:rtl w:val="true"/>
        </w:rPr>
        <w:t>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באופן דומה</w:t>
      </w:r>
      <w:r>
        <w:rPr>
          <w:rtl w:val="true"/>
        </w:rPr>
        <w:t xml:space="preserve">, </w:t>
      </w:r>
      <w:r>
        <w:rPr>
          <w:rtl w:val="true"/>
        </w:rPr>
        <w:t>מתצהיר בא</w:t>
      </w:r>
      <w:r>
        <w:rPr>
          <w:rtl w:val="true"/>
        </w:rPr>
        <w:t>-</w:t>
      </w:r>
      <w:r>
        <w:rPr>
          <w:rtl w:val="true"/>
        </w:rPr>
        <w:t>כוחו דאז עולה כי המערער נתן את רשותו לנהל בשמו משא ומתן עם רשויות התביעה לשם גיבוש הסדר טיעון</w:t>
      </w:r>
      <w:r>
        <w:rPr>
          <w:rtl w:val="true"/>
        </w:rPr>
        <w:t xml:space="preserve">. </w:t>
      </w:r>
      <w:r>
        <w:rPr>
          <w:rtl w:val="true"/>
        </w:rPr>
        <w:t>זאת לאחר שהובהר לו כי הודאתו במשטרה במסגרתה הודה כי ביצע חלק מהמעשים שיוחסו לו וטען כי המגע עם המתלוננות נכפה עליו על</w:t>
      </w:r>
      <w:r>
        <w:rPr>
          <w:rtl w:val="true"/>
        </w:rPr>
        <w:t>-</w:t>
      </w:r>
      <w:r>
        <w:rPr>
          <w:rtl w:val="true"/>
        </w:rPr>
        <w:t>ידן</w:t>
      </w:r>
      <w:r>
        <w:rPr>
          <w:rtl w:val="true"/>
        </w:rPr>
        <w:t xml:space="preserve">, </w:t>
      </w:r>
      <w:r>
        <w:rPr>
          <w:rtl w:val="true"/>
        </w:rPr>
        <w:t>מעוררת קושי לקבל את גרסתו לאירועים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,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ומיקומם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מהתצהיר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ותורגם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לתצהיר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בתצהירו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וברוב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האישית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",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לתצהיר</w:t>
      </w:r>
      <w:r>
        <w:rPr>
          <w:rtl w:val="true"/>
        </w:rPr>
        <w:t>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האמור לעיל מלמד לטעמי כי המערער היה מודע היטב להשלכותיו של הסדר הטיעון </w:t>
      </w:r>
      <w:r>
        <w:rPr>
          <w:rtl w:val="true"/>
        </w:rPr>
        <w:t>–</w:t>
      </w:r>
      <w:r>
        <w:rPr>
          <w:rtl w:val="true"/>
        </w:rPr>
        <w:t xml:space="preserve"> ובחר להסכים לתנאיו לאחר שהוצגו בפניו הסיכונים הכרוכים בניהול הליך ההוכחות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המערער ביקש כי תינתן לו אפשרות לחזור בו מהודייתו רק בשלב הערעור </w:t>
      </w:r>
      <w:r>
        <w:rPr>
          <w:rtl w:val="true"/>
        </w:rPr>
        <w:t>–</w:t>
      </w:r>
      <w:r>
        <w:rPr>
          <w:rtl w:val="true"/>
        </w:rPr>
        <w:t xml:space="preserve"> לאחר שנגזר דינו </w:t>
      </w:r>
      <w:r>
        <w:rPr>
          <w:rtl w:val="true"/>
        </w:rPr>
        <w:t>–</w:t>
      </w:r>
      <w:r>
        <w:rPr>
          <w:rtl w:val="true"/>
        </w:rPr>
        <w:t xml:space="preserve"> וזאת אף שהיו לו מספר הזדמנויות שונות לכפור בה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בהודייתו</w:t>
      </w:r>
      <w:r>
        <w:rPr>
          <w:rtl w:val="true"/>
        </w:rPr>
        <w:t xml:space="preserve">. </w:t>
      </w:r>
      <w:r>
        <w:rPr>
          <w:rtl w:val="true"/>
        </w:rPr>
        <w:t>מדבריו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הודיית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הלחצים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מתעורר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מאכזבתו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מטעמים דומים</w:t>
      </w:r>
      <w:r>
        <w:rPr>
          <w:rtl w:val="true"/>
        </w:rPr>
        <w:t xml:space="preserve">, </w:t>
      </w:r>
      <w:r>
        <w:rPr>
          <w:rtl w:val="true"/>
        </w:rPr>
        <w:t>אף טענת המערער לכשל בייצוג אין בה ממש ואין בה כדי להועיל 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השתלשלות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טענת המערער שלפיה הובטח לו כי אם יודה באשמה ירצה חודשים ספורים במאסר נטענה בעלמא ללא כל תימוכין </w:t>
      </w:r>
      <w:r>
        <w:rPr>
          <w:rtl w:val="true"/>
        </w:rPr>
        <w:t>–</w:t>
      </w:r>
      <w:r>
        <w:rPr>
          <w:rtl w:val="true"/>
        </w:rPr>
        <w:t xml:space="preserve"> וסותרת את האמור בתצהיר בא</w:t>
      </w:r>
      <w:r>
        <w:rPr>
          <w:rtl w:val="true"/>
        </w:rPr>
        <w:t>-</w:t>
      </w:r>
      <w:r>
        <w:rPr>
          <w:rtl w:val="true"/>
        </w:rPr>
        <w:t>כוחו דאז</w:t>
      </w:r>
      <w:r>
        <w:rPr>
          <w:rtl w:val="true"/>
        </w:rPr>
        <w:t xml:space="preserve">. </w:t>
      </w:r>
      <w:r>
        <w:rPr>
          <w:rtl w:val="true"/>
        </w:rPr>
        <w:t>טענה זו אף אינה מתיישבת עם דברי המערער בפני בית המשפט קמא בשלב הטיעונים לעונש</w:t>
      </w:r>
      <w:r>
        <w:rPr>
          <w:rtl w:val="true"/>
        </w:rPr>
        <w:t xml:space="preserve">, </w:t>
      </w:r>
      <w:r>
        <w:rPr>
          <w:rtl w:val="true"/>
        </w:rPr>
        <w:t>מהם ניתן ללמוד כי היה מודע לאפשרות שיוטל עליו עונש מאסר בפועל לתקופה ממושכת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לנטען</w:t>
      </w:r>
      <w:r>
        <w:rPr>
          <w:rtl w:val="true"/>
        </w:rPr>
        <w:t xml:space="preserve">,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דהיום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סיכומו של דבר</w:t>
      </w:r>
      <w:r>
        <w:rPr>
          <w:rtl w:val="true"/>
        </w:rPr>
        <w:t xml:space="preserve">, </w:t>
      </w:r>
      <w:r>
        <w:rPr>
          <w:rtl w:val="true"/>
        </w:rPr>
        <w:t>אני סבור כי דין הערעור על הכרעת דינו של בית המשפט קמא 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לערעור על חומרת העונש שהוטל על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הרי שכידוע </w:t>
      </w:r>
      <w:r>
        <w:rPr>
          <w:rtl w:val="true"/>
        </w:rPr>
        <w:t>אין זה מדרכה של ערכאת הערעור להתערב בגזר הדין של הערכאה הדיונית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למעט </w:t>
      </w:r>
      <w:r>
        <w:rPr>
          <w:rtl w:val="true"/>
        </w:rPr>
        <w:t>במקרים חריגים שבהם נפלה טעות מהותית ובולטת בגזר הדין</w:t>
      </w:r>
      <w:r>
        <w:rPr>
          <w:rtl w:val="true"/>
        </w:rPr>
        <w:t xml:space="preserve">, </w:t>
      </w:r>
      <w:r>
        <w:rPr>
          <w:rtl w:val="true"/>
        </w:rPr>
        <w:t>או כאשר העונש שהוטל חורג באופן קיצוני מהענישה המקובלת במקרים דומים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779/19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26</w:t>
      </w:r>
      <w:r>
        <w:rPr>
          <w:rtl w:val="true"/>
        </w:rPr>
        <w:t xml:space="preserve"> (</w:t>
      </w:r>
      <w:r>
        <w:rPr/>
        <w:t>22.7.2019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משפט זה עמד לא אחת על החומרה הנודעת שבביצוע עבירות מין בקטינים</w:t>
      </w:r>
      <w:r>
        <w:rPr>
          <w:rtl w:val="true"/>
        </w:rPr>
        <w:t xml:space="preserve">, </w:t>
      </w:r>
      <w:r>
        <w:rPr>
          <w:rtl w:val="true"/>
        </w:rPr>
        <w:t>וזאת לנוכח מכלול שיקולים לחומרא המתלווים למעשים אלו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וחולשתם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לקורבנותיהם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9741/16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אסלן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19.7.2018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0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2433/18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2.12.2018</w:t>
      </w:r>
      <w:r>
        <w:rPr>
          <w:rFonts w:cs="Century" w:ascii="Century" w:hAnsi="Century"/>
          <w:rtl w:val="true"/>
        </w:rPr>
        <w:t xml:space="preserve">); 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2655/13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19.12.2013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המילים דלות מכדי לתאר את חומרת מעשי המערער ואת הנזק הפיזי והנפשי שהסב למתלוננות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קריאות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הועילו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מאוויי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ייצרו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ותזהרנה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חלחלה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בידיעה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בקפידה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בדוי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את טענות המערער שלפיהן ראוי היה לקבוע בעניינו מתחם ענישה אחד באופן אשר היה בו כדי להקל בעונשו יש לדחות בשתי ידיים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19.7.2018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אף את העובדה כי המערער נמנע מלשלם למתלוננות את הפיצוי שהושת עליו עד למועד הדיון בפנינו יש לשקול לחובתו כנגד הנסיבה המקלה של הודייתו בכתב האישום המתוקן בבית המשפט קמא</w:t>
      </w:r>
      <w:r>
        <w:rPr>
          <w:rtl w:val="true"/>
        </w:rPr>
        <w:t xml:space="preserve">, </w:t>
      </w:r>
      <w:r>
        <w:rPr>
          <w:rtl w:val="true"/>
        </w:rPr>
        <w:t>אשר נזקפה לזכותו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בנסיבות אלה איני סבור כי העונש אשר הוטל על המערער חמור כלל ועיקר </w:t>
      </w:r>
      <w:r>
        <w:rPr>
          <w:rtl w:val="true"/>
        </w:rPr>
        <w:t>–</w:t>
      </w:r>
      <w:r>
        <w:rPr>
          <w:rtl w:val="true"/>
        </w:rPr>
        <w:t xml:space="preserve"> ואין בגילו המתקדם וביתר נסיבותיו האישיות כדי להצדיק הקלה בעונשו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לנוכח כל האמור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על שני חלקיו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end"/>
        <w:rPr/>
      </w:pPr>
      <w:r>
        <w:rPr>
          <w:rtl w:val="true"/>
        </w:rPr>
        <w:t>ש ו פ ט</w:t>
      </w:r>
    </w:p>
    <w:p>
      <w:pPr>
        <w:pStyle w:val="Ruller4"/>
        <w:ind w:hanging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tl w:val="true"/>
        </w:rPr>
        <w:t>:</w:t>
      </w:r>
    </w:p>
    <w:p>
      <w:pPr>
        <w:pStyle w:val="Ruller4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hanging="0"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hanging="0" w:end="0"/>
        <w:jc w:val="both"/>
        <w:rPr/>
      </w:pPr>
      <w:r>
        <w:rPr>
          <w:rtl w:val="true"/>
        </w:rPr>
        <w:br/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tl w:val="true"/>
        </w:rPr>
        <w:t>:</w:t>
      </w:r>
    </w:p>
    <w:p>
      <w:pPr>
        <w:pStyle w:val="Ruller4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hanging="0"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bookmarkStart w:id="15" w:name="Nitan"/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25.9.2019</w:t>
      </w:r>
      <w:r>
        <w:rPr>
          <w:rtl w:val="true"/>
        </w:rPr>
        <w:t xml:space="preserve">). </w:t>
      </w:r>
      <w:bookmarkEnd w:id="15"/>
    </w:p>
    <w:p>
      <w:pPr>
        <w:pStyle w:val="Ruller4"/>
        <w:ind w:hanging="0" w:end="0"/>
        <w:jc w:val="both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ab/>
        <w:tab/>
        <w:tab/>
        <w:tab/>
        <w:tab/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ab/>
        <w:tab/>
        <w:t xml:space="preserve"> </w:t>
        <w:tab/>
        <w:tab/>
        <w:t xml:space="preserve">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19002790</w:t>
      </w:r>
      <w:r>
        <w:rPr>
          <w:sz w:val="16"/>
          <w:rtl w:val="true"/>
        </w:rPr>
        <w:t>_</w:t>
      </w:r>
      <w:r>
        <w:rPr>
          <w:sz w:val="16"/>
        </w:rPr>
        <w:t>J04.docx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פוגלמן </w:t>
      </w:r>
      <w:r>
        <w:rPr>
          <w:rFonts w:cs="David;Times New Roman" w:ascii="David;Times New Roman" w:hAnsi="David;Times New Roman"/>
          <w:color w:val="000000"/>
          <w:szCs w:val="22"/>
        </w:rPr>
        <w:t>54678313-279/19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16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279/19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 w:before="240" w:after="240"/>
      <w:outlineLvl w:val="0"/>
    </w:pPr>
    <w:rPr>
      <w:rFonts w:ascii="Century" w:hAnsi="Century" w:cs="Miriam"/>
      <w:b/>
      <w:sz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entury" w:hAnsi="Century" w:cs="Miriam"/>
      <w:b/>
      <w:sz w:val="22"/>
      <w:szCs w:val="24"/>
    </w:rPr>
  </w:style>
  <w:style w:type="character" w:styleId="title">
    <w:name w:val="title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 w:before="0" w:after="420"/>
      <w:ind w:firstLine="799" w:start="0" w:end="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spacing w:before="0" w:after="420"/>
      <w:ind w:hanging="0" w:start="1644" w:end="1276"/>
      <w:contextualSpacing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Style13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903" TargetMode="External"/><Relationship Id="rId3" Type="http://schemas.openxmlformats.org/officeDocument/2006/relationships/hyperlink" Target="http://www.nevo.co.il/law/74903/153.a" TargetMode="External"/><Relationship Id="rId4" Type="http://schemas.openxmlformats.org/officeDocument/2006/relationships/hyperlink" Target="http://www.nevo.co.il/law/74903/153.a" TargetMode="External"/><Relationship Id="rId5" Type="http://schemas.openxmlformats.org/officeDocument/2006/relationships/hyperlink" Target="http://www.nevo.co.il/law/74903" TargetMode="External"/><Relationship Id="rId6" Type="http://schemas.openxmlformats.org/officeDocument/2006/relationships/hyperlink" Target="http://www.nevo.co.il/law/74903/153.a" TargetMode="External"/><Relationship Id="rId7" Type="http://schemas.openxmlformats.org/officeDocument/2006/relationships/hyperlink" Target="http://www.nevo.co.il/law/74903" TargetMode="External"/><Relationship Id="rId8" Type="http://schemas.openxmlformats.org/officeDocument/2006/relationships/hyperlink" Target="http://www.nevo.co.il/case/5880027" TargetMode="External"/><Relationship Id="rId9" Type="http://schemas.openxmlformats.org/officeDocument/2006/relationships/hyperlink" Target="http://www.nevo.co.il/case/24493087" TargetMode="External"/><Relationship Id="rId10" Type="http://schemas.openxmlformats.org/officeDocument/2006/relationships/hyperlink" Target="http://www.nevo.co.il/case/7985516" TargetMode="External"/><Relationship Id="rId11" Type="http://schemas.openxmlformats.org/officeDocument/2006/relationships/hyperlink" Target="http://www.nevo.co.il/case/6243239" TargetMode="External"/><Relationship Id="rId12" Type="http://schemas.openxmlformats.org/officeDocument/2006/relationships/hyperlink" Target="http://www.nevo.co.il/case/5724430" TargetMode="External"/><Relationship Id="rId13" Type="http://schemas.openxmlformats.org/officeDocument/2006/relationships/hyperlink" Target="http://www.nevo.co.il/case/17932850" TargetMode="External"/><Relationship Id="rId14" Type="http://schemas.openxmlformats.org/officeDocument/2006/relationships/hyperlink" Target="http://www.nevo.co.il/case/24493087" TargetMode="External"/><Relationship Id="rId15" Type="http://schemas.openxmlformats.org/officeDocument/2006/relationships/hyperlink" Target="http://www.nevo.co.il/case/5594324" TargetMode="External"/><Relationship Id="rId16" Type="http://schemas.openxmlformats.org/officeDocument/2006/relationships/hyperlink" Target="http://www.nevo.co.il/case/22546596" TargetMode="External"/><Relationship Id="rId17" Type="http://schemas.openxmlformats.org/officeDocument/2006/relationships/hyperlink" Target="http://www.nevo.co.il/case/22546596" TargetMode="External"/><Relationship Id="rId18" Type="http://schemas.openxmlformats.org/officeDocument/2006/relationships/hyperlink" Target="http://www.nevo.co.il/case/25388533" TargetMode="External"/><Relationship Id="rId19" Type="http://schemas.openxmlformats.org/officeDocument/2006/relationships/hyperlink" Target="http://www.nevo.co.il/case/22303201" TargetMode="External"/><Relationship Id="rId20" Type="http://schemas.openxmlformats.org/officeDocument/2006/relationships/hyperlink" Target="http://www.nevo.co.il/case/23825952" TargetMode="External"/><Relationship Id="rId21" Type="http://schemas.openxmlformats.org/officeDocument/2006/relationships/hyperlink" Target="http://www.nevo.co.il/case/10486279" TargetMode="External"/><Relationship Id="rId22" Type="http://schemas.openxmlformats.org/officeDocument/2006/relationships/hyperlink" Target="http://www.nevo.co.il/case/22303378" TargetMode="External"/><Relationship Id="rId23" Type="http://schemas.openxmlformats.org/officeDocument/2006/relationships/hyperlink" Target="http://supreme.court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2019-09-26T09:35:00Z</dcterms:created>
  <dc:creator>h4</dc:creator>
  <dc:description/>
  <cp:keywords/>
  <dc:language>en-IL</dc:language>
  <cp:lastModifiedBy>orly</cp:lastModifiedBy>
  <cp:lastPrinted>2019-09-25T09:03:00Z</cp:lastPrinted>
  <dcterms:modified xsi:type="dcterms:W3CDTF">2019-09-26T09:35:00Z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5880027;24493087:2;7985516;6243239;5724430;17932850;5594324;22546596:2;25388533;22303201;23825952;10486279;22303378</vt:lpwstr>
  </property>
  <property fmtid="{D5CDD505-2E9C-101B-9397-08002B2CF9AE}" pid="9" name="CITY">
    <vt:lpwstr/>
  </property>
  <property fmtid="{D5CDD505-2E9C-101B-9397-08002B2CF9AE}" pid="10" name="DATE">
    <vt:lpwstr>20190925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פוגלמן;ע' ברון;י' אלרון</vt:lpwstr>
  </property>
  <property fmtid="{D5CDD505-2E9C-101B-9397-08002B2CF9AE}" pid="14" name="LAWLISTTMP1">
    <vt:lpwstr>74903/153.a</vt:lpwstr>
  </property>
  <property fmtid="{D5CDD505-2E9C-101B-9397-08002B2CF9AE}" pid="15" name="LAWYER">
    <vt:lpwstr>רוני זלושינסקי;זכי כמאל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18;18;77;77</vt:lpwstr>
  </property>
  <property fmtid="{D5CDD505-2E9C-101B-9397-08002B2CF9AE}" pid="37" name="NOSE21">
    <vt:lpwstr>הודאה</vt:lpwstr>
  </property>
  <property fmtid="{D5CDD505-2E9C-101B-9397-08002B2CF9AE}" pid="38" name="NOSE210">
    <vt:lpwstr/>
  </property>
  <property fmtid="{D5CDD505-2E9C-101B-9397-08002B2CF9AE}" pid="39" name="NOSE22">
    <vt:lpwstr>הודאה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456;456;1446;1446</vt:lpwstr>
  </property>
  <property fmtid="{D5CDD505-2E9C-101B-9397-08002B2CF9AE}" pid="48" name="NOSE31">
    <vt:lpwstr>חזרה מהודאה</vt:lpwstr>
  </property>
  <property fmtid="{D5CDD505-2E9C-101B-9397-08002B2CF9AE}" pid="49" name="NOSE310">
    <vt:lpwstr/>
  </property>
  <property fmtid="{D5CDD505-2E9C-101B-9397-08002B2CF9AE}" pid="50" name="NOSE32">
    <vt:lpwstr>חופשית ומרצון</vt:lpwstr>
  </property>
  <property fmtid="{D5CDD505-2E9C-101B-9397-08002B2CF9AE}" pid="51" name="NOSE33">
    <vt:lpwstr>מדיניות ענישה: עבירות מין בקטינים</vt:lpwstr>
  </property>
  <property fmtid="{D5CDD505-2E9C-101B-9397-08002B2CF9AE}" pid="52" name="NOSE34">
    <vt:lpwstr>מדיניות ענישה: שיקולים לחומרה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3598;3597;16970;8995</vt:lpwstr>
  </property>
  <property fmtid="{D5CDD505-2E9C-101B-9397-08002B2CF9AE}" pid="59" name="PADIDATE">
    <vt:lpwstr>20190926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279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410120190925</vt:lpwstr>
  </property>
  <property fmtid="{D5CDD505-2E9C-101B-9397-08002B2CF9AE}" pid="69" name="TYPE_N_DATE">
    <vt:lpwstr>41020190925</vt:lpwstr>
  </property>
  <property fmtid="{D5CDD505-2E9C-101B-9397-08002B2CF9AE}" pid="70" name="VOLUME">
    <vt:lpwstr/>
  </property>
  <property fmtid="{D5CDD505-2E9C-101B-9397-08002B2CF9AE}" pid="71" name="WORDNUMPAGES">
    <vt:lpwstr>15</vt:lpwstr>
  </property>
</Properties>
</file>