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spacing w:lineRule="auto" w:line="48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2814/18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2827/18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2846/18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2849/18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2850/18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2917/18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2921/18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2814/18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2921/18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מנור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2827/18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2921/18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יצחקי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2846/18</w:t>
            </w:r>
            <w:r>
              <w:rPr>
                <w:rtl w:val="true"/>
              </w:rPr>
              <w:t>:</w:t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אביתר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2849/18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2921/18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דניאל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אלישייב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1"/>
        <w:gridCol w:w="5132"/>
      </w:tblGrid>
      <w:tr>
        <w:trPr/>
        <w:tc>
          <w:tcPr>
            <w:tcW w:w="32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2850/18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2921/18</w:t>
            </w:r>
            <w:r>
              <w:rPr>
                <w:rtl w:val="true"/>
              </w:rPr>
              <w:t>:</w:t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גדי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יחיאלוב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1"/>
        <w:gridCol w:w="5132"/>
      </w:tblGrid>
      <w:tr>
        <w:trPr/>
        <w:tc>
          <w:tcPr>
            <w:tcW w:w="32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2917/18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2921/18</w:t>
            </w:r>
            <w:r>
              <w:rPr>
                <w:rtl w:val="true"/>
              </w:rPr>
              <w:t>:</w:t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דור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מגידיש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4"/>
        <w:gridCol w:w="5129"/>
      </w:tblGrid>
      <w:tr>
        <w:trPr/>
        <w:tc>
          <w:tcPr>
            <w:tcW w:w="323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2814/18</w:t>
            </w:r>
            <w:r>
              <w:rPr>
                <w:rtl w:val="true"/>
              </w:rPr>
              <w:t xml:space="preserve">, </w:t>
            </w:r>
            <w:r>
              <w:rPr/>
              <w:t>2827/18</w:t>
            </w:r>
            <w:r>
              <w:rPr>
                <w:rtl w:val="true"/>
              </w:rPr>
              <w:t xml:space="preserve">, </w:t>
            </w:r>
            <w:r>
              <w:rPr/>
              <w:t>2846/18</w:t>
            </w:r>
            <w:r>
              <w:rPr>
                <w:rtl w:val="true"/>
              </w:rPr>
              <w:t xml:space="preserve">, </w:t>
            </w:r>
            <w:r>
              <w:rPr/>
              <w:t>2849/18</w:t>
            </w:r>
            <w:r>
              <w:rPr>
                <w:rtl w:val="true"/>
              </w:rPr>
              <w:t xml:space="preserve">, </w:t>
            </w:r>
            <w:r>
              <w:rPr/>
              <w:t>2850/18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/>
              <w:t>2917/18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2921/18</w:t>
            </w:r>
            <w:r>
              <w:rPr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16281-08-16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שגיא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</w:t>
            </w:r>
            <w:r>
              <w:rPr>
                <w:sz w:val="24"/>
                <w:sz w:val="24"/>
                <w:szCs w:val="24"/>
                <w:rtl w:val="true"/>
              </w:rPr>
              <w:t>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18"/>
                <w:sz w:val="18"/>
                <w:szCs w:val="24"/>
                <w:rtl w:val="true"/>
              </w:rPr>
              <w:t>כ</w:t>
            </w:r>
            <w:r>
              <w:rPr>
                <w:sz w:val="18"/>
                <w:szCs w:val="24"/>
                <w:rtl w:val="true"/>
              </w:rPr>
              <w:t>"</w:t>
            </w:r>
            <w:r>
              <w:rPr>
                <w:sz w:val="18"/>
                <w:sz w:val="18"/>
                <w:szCs w:val="24"/>
                <w:rtl w:val="true"/>
              </w:rPr>
              <w:t>ג</w:t>
            </w:r>
            <w:r>
              <w:rPr>
                <w:rFonts w:cs="Times New Roman;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בטבת</w:t>
            </w:r>
            <w:r>
              <w:rPr>
                <w:rFonts w:cs="Times New Roman;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התשע</w:t>
            </w:r>
            <w:r>
              <w:rPr>
                <w:sz w:val="18"/>
                <w:szCs w:val="24"/>
                <w:rtl w:val="true"/>
              </w:rPr>
              <w:t>"</w:t>
            </w:r>
            <w:r>
              <w:rPr>
                <w:sz w:val="18"/>
                <w:sz w:val="18"/>
                <w:szCs w:val="24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31.12.2018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5"/>
        <w:gridCol w:w="5128"/>
      </w:tblGrid>
      <w:tr>
        <w:trPr/>
        <w:tc>
          <w:tcPr>
            <w:tcW w:w="32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2814/18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2921/18</w:t>
            </w:r>
            <w:r>
              <w:rPr>
                <w:rtl w:val="true"/>
              </w:rPr>
              <w:t>:</w:t>
            </w:r>
          </w:p>
        </w:tc>
        <w:tc>
          <w:tcPr>
            <w:tcW w:w="51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כרמלי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2827/18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2921/18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יהודה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שמעוני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2846/18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שורר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2849/18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2921/18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אורן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2850/18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2921/18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רותם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2917/18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2921/18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זוהר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ארבל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אוחנה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2814/18</w:t>
            </w:r>
            <w:r>
              <w:rPr>
                <w:rtl w:val="true"/>
              </w:rPr>
              <w:t xml:space="preserve">, </w:t>
            </w:r>
            <w:r>
              <w:rPr/>
              <w:t>2827/18</w:t>
            </w:r>
            <w:r>
              <w:rPr>
                <w:rtl w:val="true"/>
              </w:rPr>
              <w:t xml:space="preserve">, </w:t>
            </w:r>
            <w:r>
              <w:rPr/>
              <w:t>2846/18</w:t>
            </w:r>
            <w:r>
              <w:rPr>
                <w:rtl w:val="true"/>
              </w:rPr>
              <w:t xml:space="preserve">, </w:t>
            </w:r>
            <w:r>
              <w:rPr/>
              <w:t>2849/18</w:t>
            </w:r>
            <w:r>
              <w:rPr>
                <w:rtl w:val="true"/>
              </w:rPr>
              <w:t xml:space="preserve">, </w:t>
            </w:r>
            <w:r>
              <w:rPr/>
              <w:t>2850/18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/>
              <w:t>2917/18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2921/18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בורנשטיין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רוט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איסור אלימות בספורט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הבטיחות במקומות ציבוריים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awTable_End"/>
      <w:bookmarkEnd w:id="6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17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נתנאל דגן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רות קנאי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ריבוי עברות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אתגרים והצעת פתרונות לאור עקרון ההלימה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ספר אדמונד לוי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אוהד גורדון עורך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</w:rPr>
          <w:t>2017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613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inks_Kitvei_End"/>
      <w:bookmarkStart w:id="8" w:name="Links_Kitvei_End"/>
      <w:bookmarkEnd w:id="8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העליון החמיר בעונשם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מתוך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6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אנשי ארגון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 פמיליה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שהורשעו בפרשת אלימות נרחבת וקשה במסגרתה הותקפו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אירועים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אוהדים של קבוצות יריבות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גזר הדין של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לא נתן משקל מספק להרתעת הרבים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כמו גם להישנות המעשים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עבירות המבוצעות בחבורה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באופן הסוחף קהל רב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גם כזה שאינו נמנה בדרך כלל על ציבור מפרי החוק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מצריך ענישה מחמירה ומרתיעה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עבירות אלימות על רקע אידיאולוגי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ערעורים מזה ומזה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המערערים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דניאל אלישייב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רן יצחקי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גדי יחיאלוב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ניב מנור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אביתר יוסף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ודור מגידיש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הורשעו בפעילות עבריינית במסגרת חברותם בארגון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 פמיליה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שהוקם כארגון אוהדים של קבוצת הכדורגל בית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 ירושלים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בפרשת אלימות נרחבת וקשה במסגרתה הותקפו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אירועים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אוהדים של קבוצות יריבות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זהותם של התוקפים הקרבנות והיקף האלימות בכל אחד מהאירועים שונה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המערערים מערערים על חומרת עונשי המאסר שנגזרו עליהם בביהמ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מנגד הגישה המדינה ערעור על קולת עונשיהם של חמישה מהמערערים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פרט לעונשו של אביתר יוסף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הוא היחיד מבין המערערים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שלא מוקם 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ידי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בתחתית המתחם שנקבע לגביו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זאת בשל העובדה שהוא היחיד שלחובתו עבר פלילי ממין הענין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).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מפי השופט נעם סולברג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בהסכמת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ים 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קרא וא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שטיין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דחה את ערעורי המערערים פרט לערעורו של אביתר יוסף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שהתקבל חלקית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וקיבל את ערעור המדינה ביחס 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מהמערערים מהטעמים הבאים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מעשי האלימות הנדונים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כפי שנעשו 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ידי המערערים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יחודיים המה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הם בוצעו 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ידי חבר בני אדם שנרתם כל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כולו למשימה פוגענית בחסותה של אידיאולוגיה משניאה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משסה ומפלגת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התלכדותם סימאה את העין ואטמה את הלב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צעירים שצמחו ובאו ממשפחות נורמטיביות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שירתו בצה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 ותרמו לחברה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נרתמו לביצוע מעשים מסמרי שֵׂיער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כפסע היו רחוקים מלשפוך דם נקי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להרוג אדם שכל חטאו באהדתו לקבוצת כדורגל יריבה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סכנה רבה גלומה אפוא 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משפחה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משחיתה זו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סכנה המעוררת חשש גם לבאות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הקלות שבה נסחפו רבים אחרי רעיונותיה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ופעלו להגשמתם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מחייבת גינוי תקיף ונוקב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 כבד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לבל ישנו מקרים שכאלה בעתיד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לבל יקומו ויתפתחו עוד משפחות דומות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לפיכך מקובלת על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באופן עקרוני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עמדת המדינה ולפיה יש להחמיר בעונשם של המערערים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מחמת שיקולי הרתעת הרבים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בענין דנן נכון היה ליתן משקל משמעותי יותר להרתעת הרבים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וזאת משעסקינן בתופעה חברתית סוחפת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ולה השלכות מעשיות קשות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טעם נוסף המצדיק ענישה מרתיעה 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נעוץ בכך שעסקינן בעבירות שבוצעו 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ידי ארגון אוהדים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וכוונו נגד קבוצות אוהדים אחרות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אלימות וגזענות במסגרת אירועי ספורט הפכו בשנים האחרונות לנגע ממאיר במקומותינו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מסיבה זו חוקקה הכנסת לפני כעשור את </w:t>
      </w:r>
      <w:hyperlink r:id="rId19">
        <w:r>
          <w:rPr>
            <w:rStyle w:val="Hyperlink"/>
            <w:rFonts w:ascii="Times New Roman;Times New Roman" w:hAnsi="Times New Roman;Times New Roman" w:cs="Times New Roman;Times New Roman"/>
            <w:spacing w:val="0"/>
            <w:sz w:val="24"/>
            <w:sz w:val="24"/>
            <w:szCs w:val="26"/>
            <w:rtl w:val="true"/>
          </w:rPr>
          <w:t>חוק איסור אלימות בספורט</w:t>
        </w:r>
      </w:hyperlink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המתייחס לעבירות ספציפיות המבוצעות במהלך אירועי ספורט או בסמוך להם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דוגמת הערות גזעניות המושמעות במגרשים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תקיפה בזמן אירוע ספורט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וכן הפרעה למהלכו התקין של האירוע באמצעות כניסה למגרש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במקרים שלפנינו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מדובר בעבירות מסוג זה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ענייננו בעבירות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רגילות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שהרקע לביצוען קשור להשתייכות לקהל אוהדים מסוים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זה עמד בעבר על הצורך בהחמרת הענישה גם לגבי אלו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הרתעת הרבים מחייבת אפוא להשית על המערערים שלפנינו עונשים כבדים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עסקינן בעבירות שמבוצעות 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ידי אנשים מן השורה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שלא גדלו בצלו של עולם הפשע ובחסותו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הסחף החברתי והלהט הספורטיבי הוא שצרף אותם וקיבצם יחדיו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 מול אנשים בעלי מאפיינים שכאלה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יכולה ענישה משמעותית להיות מרתיעה ואפקטיבית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גם הישנות המעשים 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ידי המערערים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מחייבת להחמיר בענישה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מבין המערערים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אביתר יוסף הוא היחיד שלא מוקם 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ידי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בתחתית המתחם שנקבע לגביו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זאת בשל העובדה שהוא היחיד שלחובתו עבר פלילי ממין הענין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אמת נכון הדבר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שרישומם הפלילי של המעורבים האחרים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נקי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ניתן להתעלם מכך שארבעה מתוכם היו שותפים לשני אירועים שונים בכתבי האישום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בייחוד אמורים הדברים כלפי דניאל אלישייב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רן יצחקי וגדי יחיאלוב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שחרף תוצאותיו העגומות של אירוע פלורנטין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שבו לחטאם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, 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כפשוטו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במסגרת אירוע פלורנטין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מעשים נשנים אלה מבטאים זלזול בחוק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ומעידים שלא היתה זו מעידה חד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פעמית חולפת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אם התנהגות פלילית מודעת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מחושבת ומתוכננת היטב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הנדון דידן בא בגדרם של אותם מצבים חריגים שבהם נדרשת ערכאת הערעור להתערב בעונש שנקבע 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ידי הערכאה המבררת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כאמור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גזר הדין של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לא נתן משקל מספק להרתעת הרבים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כמו גם להישנות המעשים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בהתחשב באירועים בהם נטל כל מערער חלק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היקף האלימות ונסיבותיהם האישיות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ונש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של דניאל אלישייב רן יצחקי וגדי יחיאלוב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חמר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 בפועל 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40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 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;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עונשו של דור מגידיש הו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חמר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 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עונשו של ניב מנור נשאר על כנו ואילו עונשו של אביתר יוסף הופחת 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26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 בפועל 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דניאל אלישייב רן יצחקי וגדי יחיאלוב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הם שלושת המערערים שלקחו חלק הן באירוע פלורנטין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הן באירוע פלורנטין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בין היתר נפסק לגביהם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אמנם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בכתבי האישום אין כדי ללמד באופן ברור מה היה חלקו המדויק של כל אחד מבני החבורה בביצוע המעשים באירוע פלורנטין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כתבי האישום אינם כוללים פירוט רב בקשר לשלביה השונים של התקיפה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ולכלי שהוחזק בידי כל אחד מהמעורבים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אלא שהעדר פירוט זה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הוא פועל יוצא של אירוע המבוצע בחבורה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לבטח כשמדובר בחבורה גדולה המבצעת את מעשיה באישון ליִל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חבריה לובשים שחורים ועוטים מסווים על פניהם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משפעלו בני החבורה כפי שפעלו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במפגיע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זה הולם להנוֹתם מאותה שיטת פעולה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זה ראוי שאותם חוטאים יֵצאו נשכרים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בייחוד אמורים הדברים מקום בו שלושת המערערים– אלישייב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יצחקי ויחיאלוב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חזרו במטרה לשחזר את המעשים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במסגרת אירוע פלורנטין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ניב מנור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השתתף באירוע פלורנטין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וכן באירוע חופים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בהקשרו נפסק בין היתר כי נסיבותיו של מנור שונות במידה רבה מנסיבותיהם של יתר המערערים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מנור לא נמנה על קושרי הקשר באירוע פלורנטין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והוא לא חזר בשנית לקחת חלק באירוע פלורנטין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אירוע חופים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עם כל חומרתו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הוא הקל שבאירועים באופן יחסי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ולכן הנסיבות המחמירות שהביאו להחמרה בעונשיהם של המערערים האחרים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מתקיימים במידה פחותה לגביו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נכון יהיה אפוא להותיר למנור פתח לתקווה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ולהותיר את תקופת המאסר שנקבעה 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ידי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בעינה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אביתר יוסף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הורשע באירוע חופים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בלבד ועונשו נגזר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26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נוכח עברו הפלילי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הכולל עבירות על רקע דומה לאלה שבוצעו 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ולאור העובדה שהעבירות דנן בוצעו כשלושה חודשים בלבד לאחר שחרורו המוקדם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ובתוך תקופת הרישיון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מוקם עונשו בתחילת השליש העליון של המתחם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ונגזרו עליו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בנוסף הופעל עונש מאסר 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תנאי של שמונה חודשים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חציו במצטבר וחציו בחופף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כך שעונש המאסר הכולל שהוטל עליו לבסוף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עמד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26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אביתר ערער על חומרת העונש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המדינה מצדה לא ערערה על גזר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בתסקירי שירות המבחן שהוכנו לגבי אביתר נסקרו נסיבות חייו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הסתבכויותיו בפלילים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זיקתו לארגון לה פמיליה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וכברת הדרך המשמעותית שעבר מאז שנעצר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למקרא הדברים ניכרים כנותו ונכונותו של אביתר לסור מרע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לסגת מדרך העבריינות ולעלות על דרך חדשה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אביתר נמצא עדיין בראשית הדרך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יש בכך כדי להפיח תקווה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בייחוד שעה שבהליכים הקודמים שנוהלו נגדו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ניכרו סימנים דומים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נוכח האמור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בשים לב להחלטת ועדת השחרורים משלשום על הפקעת רישיון האסיר של אביתר באופן שהתווספו כ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חודשים לעונש המאסר שהוא מרצה כיום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ומבלי להקל ראש בחומרת המעשים ובהישנותם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יש מקום לקבל באופן חלקי את ערעורו של אביתר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ולקבוע כי חודשיים נוספים מן התנאי שהופעל נגדו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ירוצו בחופף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בסך הכל יעמוד עונשו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דור מגידיש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הורשע בקשירת קשר לביצוע עבירה מסוג פשע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וכן בעבירה של חבלה בכוונה מחמירה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בגין מעורבותו באירוע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פלורנטין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סעיף העבירה שבו הורשע מגידיש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חבלה בכוונה מחמירה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שונה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וחמור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מסעיף העבירה שבו הורשעו המעורבים האחרים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חבלה חמורה בנסיבות מחמירות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חרך הנסיבות האישיות – גילו הצעיר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שירותו הצבאי ביחידה מובחרת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והעדר עבר פלילי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שהביאו את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למקם את עונשו בחלקו התחתון של המתחם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ולהשית עליו עונש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סבור כי יש להחמיר בעונשו ולהעמידו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דור הורשע בעבירה חמורה של חבלה בכוונה מחמירה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לאחר קשירת קשר מקדימה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זו עבירה חמורה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ובנסיבות שלפנינו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היא מחייבת הצבת רף ענישה מחמיר יותר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שיש בו כדי לשקף את מידת הסלידה החברתית ממעשים כגון דא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כפי שהובהר לעיל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עבירות המבוצעות בחבורה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באופן הסוחף קהל רב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גם כזה שאינו נמנה בדרך כלל על ציבור מפרי החוק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מצריך ענישה מחמירה ומרתיעה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 בפועל אינם מבטאים זאת באופן מספק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ואינם משקפים את תוצאותיו החמורות של האירוע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הוער כי ניהול משפטו של מגידיש עד תום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היווה נסיבה להחמרה בעונשו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לצד זאת היה בכך כדי לבטא את 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קבלת האחריות מצדו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 xml:space="preserve">.   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אלישייב</w:t>
      </w:r>
      <w:r>
        <w:rPr>
          <w:rtl w:val="true"/>
        </w:rPr>
        <w:t xml:space="preserve">, </w:t>
      </w:r>
      <w:r>
        <w:rPr>
          <w:rtl w:val="true"/>
        </w:rPr>
        <w:t>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יצחקי</w:t>
      </w:r>
      <w:r>
        <w:rPr>
          <w:rtl w:val="true"/>
        </w:rPr>
        <w:t xml:space="preserve">, </w:t>
      </w:r>
      <w:r>
        <w:rPr>
          <w:rtl w:val="true"/>
        </w:rPr>
        <w:t>גדי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יחיאלוב</w:t>
      </w:r>
      <w:r>
        <w:rPr>
          <w:rtl w:val="true"/>
        </w:rPr>
        <w:t xml:space="preserve">, </w:t>
      </w:r>
      <w:r>
        <w:rPr>
          <w:rtl w:val="true"/>
        </w:rPr>
        <w:t>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מנור</w:t>
      </w:r>
      <w:r>
        <w:rPr>
          <w:rtl w:val="true"/>
        </w:rPr>
        <w:t xml:space="preserve">, </w:t>
      </w:r>
      <w:r>
        <w:rPr>
          <w:rtl w:val="true"/>
        </w:rPr>
        <w:t>אביתר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ודור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Century" w:ascii="Century" w:hAnsi="Century"/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16281-08-16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שגיא</w:t>
      </w:r>
      <w:r>
        <w:rPr>
          <w:rtl w:val="true"/>
        </w:rPr>
        <w:t xml:space="preserve">); </w:t>
      </w:r>
      <w:r>
        <w:rPr>
          <w:rtl w:val="true"/>
        </w:rPr>
        <w:t>מנגד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המערערים הורשעו בפעילות עבריינית במסגרת חברותם בארגון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לה פמיליה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הארגון</w:t>
      </w:r>
      <w:r>
        <w:rPr>
          <w:rFonts w:ascii="Century" w:hAnsi="Century" w:cs="Century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פמיליה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פמיליה</w:t>
      </w:r>
      <w:r>
        <w:rPr>
          <w:rFonts w:ascii="Century" w:hAnsi="Century" w:cs="Century"/>
          <w:rtl w:val="true"/>
        </w:rPr>
        <w:t xml:space="preserve"> הוקם כארגון אוהדים של קבוצת הכדורגל בית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ירושלים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שבין מטרותיו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וונדליזם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אידיאולוגיה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אנרכיסטית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וגזענית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ושנאת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הערבי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מטרה זו מצאה את ביטויה בהמנון הארגון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היכונו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ובאים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יוקם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אדמות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יגן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בעדך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וימחק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האדמה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בדרכו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גזעני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ואכזר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שיקרא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אוהדי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למענך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פמיליה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לממש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מטר</w:t>
      </w:r>
      <w:r>
        <w:rPr>
          <w:rFonts w:ascii="Century" w:hAnsi="Century" w:cs="Century"/>
          <w:rtl w:val="true"/>
        </w:rPr>
        <w:t>ת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זו של הארגון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רכשו</w:t>
      </w:r>
      <w:r>
        <w:rPr>
          <w:rFonts w:ascii="Century" w:hAnsi="Century" w:cs="Century"/>
          <w:rtl w:val="true"/>
        </w:rPr>
        <w:t xml:space="preserve"> חלק מחבריו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תקיפה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מגוו</w:t>
      </w:r>
      <w:r>
        <w:rPr>
          <w:rFonts w:ascii="Century" w:hAnsi="Century" w:cs="Century"/>
          <w:rtl w:val="true"/>
        </w:rPr>
        <w:t>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ובמהלך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נהגו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לארוב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לאוהדי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קבוצות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יריבות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מצויידים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התקיפה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שברשותם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כתבי האישום מושא הערעורים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מתייחסים לאירועי אלימות שבמסגרתם הותקפו אוהדים של קבוצות יריבות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אירוע פלורנטין מיום </w:t>
      </w:r>
      <w:r>
        <w:rPr>
          <w:rFonts w:cs="Century" w:ascii="Century" w:hAnsi="Century"/>
        </w:rPr>
        <w:t>3.10.2015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אירוע פלורנטין מיום </w:t>
      </w:r>
      <w:r>
        <w:rPr>
          <w:rFonts w:cs="Century" w:ascii="Century" w:hAnsi="Century"/>
        </w:rPr>
        <w:t>29.5.2016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אירוע חניון רידינג מיום </w:t>
      </w:r>
      <w:r>
        <w:rPr>
          <w:rFonts w:cs="Century" w:ascii="Century" w:hAnsi="Century"/>
        </w:rPr>
        <w:t>24.8.2015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רידינג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אירוע חוף פולג מיום </w:t>
      </w:r>
      <w:r>
        <w:rPr>
          <w:rFonts w:cs="Century" w:ascii="Century" w:hAnsi="Century"/>
        </w:rPr>
        <w:t>26.6.2015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אירוע חוף פולג מיום </w:t>
      </w:r>
      <w:r>
        <w:rPr>
          <w:rFonts w:cs="Century" w:ascii="Century" w:hAnsi="Century"/>
        </w:rPr>
        <w:t>3.7.2015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בשלושה מחמשת האירועים דלעיל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נטלו חלק אחד או יותר מהמערערים שלפנינו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 אפרט בתמצית את אשר אירע בכל אחד מן האירועים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מכן אתייחס לחלקו של כל אחד מן המערערים באירועים השונים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במהלך שנת 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פרצה קטטה בין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אוהד קבוצת הפועל תל אביב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הפועל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לבין עומר גולן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אחד מחברי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פמיליה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אותה קטטה החליטו חלק מחברי הארגון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לבצע פעולת תגמול ונקם באוהדי הפועל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הם קשרו קשר לארוב לאוהדי הפועל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לתקוף אותם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ולחבול בהם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 תכניתם העלו לקבוצת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וואטספ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פמיליה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וקראו לחבריהם להיפגש ביום </w:t>
      </w:r>
      <w:r>
        <w:rPr>
          <w:rFonts w:cs="Century" w:ascii="Century" w:hAnsi="Century"/>
        </w:rPr>
        <w:t>3.10.2015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סמוך לאצטדיון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בלומפילד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כדי לממש את תכניתם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עשרות מחברי הארגון נענו לקריאה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והגיעו למקום המפגש כשרובם רעולי פנים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לבושי שחורים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ומצויידים באלות בייסבול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מקלות עץ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סכינים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בקבוקי זכוכית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מברגים וצינורות גומי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עומר גולן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שנמנה על חברי הארגון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הצטייד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פטיש תופסנים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מברזל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קצה אחד של ראשו שטוח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בקצהו האחר שיניים ארוכות ומחודדות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עומר הצהיר באוזני חלק מהנאספים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בכוונתו להרוג את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ק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עומר טמן את הפטיש תחת אחת מהמכוניות של חברי הארגון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והמתין לשעת כושר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מסוים החלו חברי הארגון לתור אחר אוהדי הפועל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במטרה לבצע בהם את זממם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 פנו לאדם שנדמה בעיניהם כאוהד הפועל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משהתברר כי שגו בזיהוי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הניחו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והמשיכו בחיפושיהם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הם שׂמו פעמיהם לכיוון מחסן אוהדי הפועל שברחוב פלורנטין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ובהגיעם למקום המתינו בדריכות לבואם של האוהדים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משהבחינו בכעשרים אוהדי הפועל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רצו לעברם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והחלו לתקפם בכלי המשחית שהביאו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באגרופים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וכסאות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אחד מחברי הארגון חבט בעוצמה בראשו של אחד מאוהדי הפועל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כשבידו לבנה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עומר רץ להביא את הפטיש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 לזירת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חבט בעוצמה בראשו של יורי סדלצקי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יורי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כשהוא מפנה לעברו את צידו המשונן של הפטיש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הפטיש ננעץ בראשו של יורי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וניסיונות להוציאו עלו בתוהו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יורי נפל שׂרוע על הקרקע ודם ניגר מראשו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יִצרם של התוקפים לא שקט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והם הוסיפו להפליא ביורי את מכותיהם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אחד השליך עליו אבן גדולה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ואחר הכהו במקל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יורי פּוּנה לבית החולים כשהפטיש עודנו מקובע בעצם גולגלתו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ובהגיעו הובהל בדחיפות לניתוח כשהוא בסכנת חיים מיידית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יורי נותח מספר ניתוחים מורכבים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לאחר שחרורו מבית החולים אושפז עוד מספר פעמים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ונדרש ניתוח נוסף לצורך שחזור עצם הגולגולת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יורי הוגדר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המוסד לביטוח לאומי כנכה בשיעור של </w:t>
      </w:r>
      <w:r>
        <w:rPr>
          <w:rFonts w:cs="Century" w:ascii="Century" w:hAnsi="Century"/>
        </w:rPr>
        <w:t>83%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ונקבעה לו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כשירות לצמיתות בשיעור של </w:t>
      </w:r>
      <w:r>
        <w:rPr>
          <w:rFonts w:cs="Century" w:ascii="Century" w:hAnsi="Century"/>
        </w:rPr>
        <w:t>100%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עד עצם היום הזה סובל יורי מכאבי ראש כרוניים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פגיעה בזיכרון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וקיים חשש מתמיד לזיהומים בראשו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קטטה אלימה נוספת שפרצה בין חברי הארגון לאוהדי הפועל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הובילה את חברי הארגון לרצות לשחזר את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הצלחת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הודעה נשלחה לחברי הקבוצה ובה קריאה להיפגש ביום </w:t>
      </w:r>
      <w:r>
        <w:rPr>
          <w:rFonts w:cs="Century" w:ascii="Century" w:hAnsi="Century"/>
        </w:rPr>
        <w:t>29.5.2016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21:45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הקודמת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הפטיש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שעברה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בפעם הזאת נענו חלק מחברי הארגון לקריאה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והגיעו למקום כשהם עוטים על גופם בגדים כהים ונושאים עמם מוטות ברזל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אלות בייסבול ואגרופן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חברי הקבוצה החלו לתור אחר אוהדי הפועל במטרה לבצע בהם את זממם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שאז הגיעו כוחות משטרה למקום ושיבשו את תכניותיהם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רידינג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24.8.2015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התקיים משחק כדורגל בין קבוצת </w:t>
      </w:r>
      <w:r>
        <w:rPr>
          <w:rFonts w:ascii="Century" w:hAnsi="Century" w:cs="Century"/>
          <w:rtl w:val="true"/>
        </w:rPr>
        <w:t>בית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ירושלים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</w:t>
      </w:r>
      <w:r>
        <w:rPr>
          <w:rFonts w:ascii="Century" w:hAnsi="Century" w:cs="Century"/>
          <w:rtl w:val="true"/>
        </w:rPr>
        <w:t xml:space="preserve"> קבוצת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באצטדיון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טדי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בירושלים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חלק מחברי הארגון תכננו להגיע לחניון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רידינג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שממנו עתידה היתה לצאת הסעה של אוהדי הפועל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ולפגוע בהם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הם הגיעו למקום מצויידים באלות בייסבול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מקלות עץ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לרבות מקל עם מסמרים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אבנים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בקבוקים וצינורות מגומי קשיח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חברי הארגון ארבו לאוהדי הפועל מאחורי כלי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רכב שחנו במקום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וכשהבחינו בקבוצה גדולה של אוהדי הפועל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רצו אליהם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קיללו אותם והשליכו לעברם בקבוקי זכוכית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האוהדים נסו על נפשם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למעט אוהד אחד שכשל בהימלטותו משום שהיה פצוע ברגלו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חברי הארגון קיללו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הפילו אותו ארצה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השליכו עליו בקבוקי זכוכית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ותקפו אותו בבעיטות ובאגרופים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שניים מחברי הארגון הכו אותו באמצעות צינורות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עובר אורח שהבחין במתרחש התערב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ומילט את המתלונן מידיהם של התוקפים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26.6.2015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החליטו כמה מחברי הארגון לתקוף את אוהדי קבוצת מכבי חיפה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ולגנוב מהם ציוד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לשם ביצוע התקיפה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הגיעו חלק מחברי הארגון לחוף פולג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שבו התקיימו בעת ההיא משחקי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כדורגל חופים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אחד מחברי הארגון הבחין באוהד מכבי חיפה שמכר חולצות של קבוצתו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וניסה לחטוף מידיו את שק החולצות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אוהדי חיפה שנכחו במקום ניסו להתנגד לחטיפה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אז התנפלו עליהם חברי הארגון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ותקפו אותם בכל חלקי גופם באגרופים ובעיטות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מעוצמת המכות נפלו ארצה חלק מאוהדי מכבי חיפה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וחברי הארגון הוסיפו להכות בהם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ומשכו את שק החולצות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השק נקרע והמה נמלטו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חברי הארגון חשו תחושה של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הצלחה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נוכח תוצאות 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קשרו קשר לתקוף פעם נוספת את אוהדי קבוצת מכבי חיפה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ושוב תוכננה התקיפה להעשות במהלך משחקי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כדורגל חופים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בחוף פולג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לשם קידום הקשר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נפגשו חברי הארגון בפאב בחוף פולג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כשכמה מהם שותים משקאות אלכוהוליים ומעשנים סמים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הם יצאו מהפאב מצויידים בבקבוקי זכוכית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אחד מהם נושא על גופו רימון הלם ורימון עשן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חברי הארגון המתינו לבואם של אוהדי מכבי חיפה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וכשהבחינו במכונית השייכת למי מאוהדי חיפה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ידו לעברה אבנים ובקבוקי זכוכית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האבנים פגעו במראות המכונית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ניפצו את הזכוכית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ופגעו בפח המכונית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אוהדי חיפה נמלטו מהמקום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חברי הארגון עדיין לא באו על סיפוקם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הם הצטיידו בבקבוקי זכוכית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מקלות ואבנים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ודלקו אחר כלי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רכב נוספים של אוהדי מכבי חיפה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כשהבחינו במכונית שנדמתה בעיניהם ככזו השייכת לאוהדי חיפה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ידו לעברה אבנים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בקבוקים ומקלות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שהבינו כי שגו בזיהוי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מדובר בעובר אורח תמים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התוקפים נמלטו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מפאת חששם מכוחות משטרה שיגיעו למקום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מעורבותם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באירועים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השונים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דניאל אלישייב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רן יצחקי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וגדי יחיאלוב הודו במסגרת הסדר 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בכתבי אישום מתוקנים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במעורבותם ב</w:t>
      </w:r>
      <w:r>
        <w:rPr>
          <w:rFonts w:ascii="Century" w:hAnsi="Century" w:cs="Century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כל אחד מהם הורשע בשתי עבירות של קשירת קשר לביצוע פשע לפי 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499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עבירה של חבלה חמורה בנסיבות מחמירות לפי 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ובנסיבות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5"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ובעבירה של ניסיון לחבלה בכוונה מחמירה לפי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בצירוף 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אביתר יוסף הודה במסגרת הסדר טיעון בכתב אישום מתוקן במעורבותו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 להודאתו הוא הורשע בעבירה של קשירת קשר לביצוע פשע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פי 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499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ובעבירת תקיפה לשם גניבה לפי 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בנסיבות 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ניב מנור הודה במסגרת הסדר טיעון במעורבותו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והורשע בביצוע עבירה של חבלה חמורה בנסיבות מחמירות לפי 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בנסיבות 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33"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ובעבירה של תקיפה לשם גניבה לפי 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בנסיבות 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דור מגידיש ניהל את משפטו עד תום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ואשמתו נקבעה בגין מעורבותו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המחוזי הרשיע אותו בעבירה של קשירת קשר לביצוע פשע בהתאם 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499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בעבירה של חבלה בכוונה מחמירה בהתאם 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מהאירועים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ביטחונו</w:t>
      </w:r>
      <w:r>
        <w:rPr>
          <w:rtl w:val="true"/>
        </w:rPr>
        <w:t xml:space="preserve">, </w:t>
      </w:r>
      <w:r>
        <w:rPr>
          <w:rtl w:val="true"/>
        </w:rPr>
        <w:t>שלומו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הוחמרה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בכך שבוצעה במסגרת ארגון אוהדים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דומיננטי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ומעשי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האלימות כוונו נגד אוהדי קבוצות ספורט אחרות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המחוזי עמד בהרחבה על אופיו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פמיליה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עמדותיו הגזעניות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פעולותיו האלימות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ומעשים שונים שנקט בהם לצורך סיכול הבאת שחקנים ממוצא ערבי לקבוצת בית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ירושלים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נסיבותיו הייחודיות של הארגון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אופי פעילותו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והצורך בהרתעה משמעותית בעבירות אשר מבוצעות במסגרת אירועי ספורט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הן נסיבות מחמירות שיש בהן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להפוך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נלקחו בחשבון התכנון שקדם לאירועים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והעובדה שבוצעו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חברים הדוגלים באידיאולוגיה אלימה וגזענית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עוד</w:t>
      </w:r>
      <w:r>
        <w:rPr>
          <w:rFonts w:ascii="Century" w:hAnsi="Century" w:cs="Century"/>
          <w:rtl w:val="true"/>
        </w:rPr>
        <w:t xml:space="preserve">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ליתן משקל רב לנזקים הקשים שנגרמו כתוצאה מאותם 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לנזקים ארוכי הטווח שנגרמו לחלק מקורבנות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הדגיש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בתקיפות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שבוצעו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בצוותא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לייחס </w:t>
      </w:r>
      <w:r>
        <w:rPr>
          <w:rFonts w:ascii="Century" w:hAnsi="Century" w:cs="Century"/>
          <w:rtl w:val="true"/>
        </w:rPr>
        <w:t>משקל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משמעותי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לחלקו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המדויק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ואחד </w:t>
      </w:r>
      <w:r>
        <w:rPr>
          <w:rFonts w:ascii="Century" w:hAnsi="Century" w:cs="Century"/>
          <w:rtl w:val="true"/>
        </w:rPr>
        <w:t>מהמעורבים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בתקיפה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זאת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במקרים מסוימים לא ניתן לשלול את ההבחנה בין חלקם של המערערים השונים במעשים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להגדיר מתחם ענישה נפרד לכל אחד מהאירועים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העובדה שזהותם של התוקפים והקרבנות בכל אחד מהם 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גם שישנם הבדלים מהותיים בהיקף האלימות שהופעלה בכל אחד מהמקרים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בחן בהרחבה את מדיניות הפסיקה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וציין כי המקרה הנדון מאופיין בהקשר ארגוני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יחודי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שיש ליתן לו ביטוי במתחמי הענישה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רקע האמור קבע בית המשפט המחוזי את מתחמי הענישה והעונשים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דניאל אלישייב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רן יצחקי וגדי יחיאלוב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הורשעו כאמור בגין מעורבותם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ביחס לאירוע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נקבע מתחם ענישה של </w:t>
      </w:r>
      <w:r>
        <w:rPr>
          <w:rFonts w:cs="Century" w:ascii="Century" w:hAnsi="Century"/>
        </w:rPr>
        <w:t>48-18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וביחס לאירוע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נקבע מתחם ענישה של </w:t>
      </w:r>
      <w:r>
        <w:rPr>
          <w:rFonts w:cs="Century" w:ascii="Century" w:hAnsi="Century"/>
        </w:rPr>
        <w:t>36-12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שלושת המערערים מוקמו בחלקו התחתון של המתחם בכל אחד מהאירועים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העדר עבר פלילי ממין הענין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גילם הצעיר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ומתוך התחשבות בנסיבותיהם האישיות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הטיל עליהם את 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מאסר על תנאי וקנס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כמו כן </w:t>
      </w:r>
      <w:r>
        <w:rPr>
          <w:rFonts w:ascii="Century" w:hAnsi="Century" w:cs="Century"/>
          <w:rtl w:val="true"/>
        </w:rPr>
        <w:t>חויבו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השלושה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בתשלום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פיצוי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למתלונן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והורחקו ממגרשי הכדורגל למשך חמש שנים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מתחם העונש שנקבע למערערים אביתר יוסף וניב מנור בגין 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הועמד על </w:t>
      </w:r>
      <w:r>
        <w:rPr>
          <w:rFonts w:cs="Century" w:ascii="Century" w:hAnsi="Century"/>
        </w:rPr>
        <w:t>30-10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עונשו של אביתר יוסף מוקם בחלקו העליון של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עבר פלילי מכביד שלחובתו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ומכיוון שעבירה זו בוצעה במהלך תקופת </w:t>
      </w:r>
      <w:r>
        <w:rPr>
          <w:rFonts w:ascii="Century" w:hAnsi="Century" w:cs="Century"/>
          <w:rtl w:val="true"/>
        </w:rPr>
        <w:t>הרישיון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המחוזי השית עליו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והרחקה ממגרשי כדורגל לתקופה של חמש שנים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הופעל לחובתו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במצטבר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מאסר על תנאי בן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וחודשיים נוספים בחופף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בסך הכל הועמד מאסרו של יוסף על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ניב מנור מוקם בחלק התחתון של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גילו הצעיר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העדר עבר פלילי ונסיבות אישיות נוספות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אשר למעורבותו של ניב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עניינו מובחן מעניינם של המעורבים האחרים באותו 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הוא לא היה מודע לקשירת הקשר בעת הגעתו למקום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ומשכך יש להעמיד את מתחם הענישה לגביו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42-12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גזר עליו את 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תנאי וקנס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חוייב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ניב</w:t>
      </w:r>
      <w:r>
        <w:rPr>
          <w:rFonts w:ascii="Century" w:hAnsi="Century" w:cs="Century"/>
          <w:rtl w:val="true"/>
        </w:rPr>
        <w:t xml:space="preserve"> מנור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בתשלום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פיצוי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למתלונן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והורחק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ממגרשי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הכדורגל</w:t>
      </w:r>
      <w:r>
        <w:rPr>
          <w:rFonts w:ascii="Century" w:hAnsi="Century" w:cs="Century"/>
          <w:rtl w:val="true"/>
        </w:rPr>
        <w:t xml:space="preserve"> למשך חמש שנים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דור מגידיש ניהל את ההליך בעניינו עד תום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ובהכרעת הדין של בית המשפט המחוזי נקבעה מעורבותו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בשונה מהמערערים האחרים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הורשע מגידיש בעבירה של חבלה בכוונה מחמירה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מתחם הענישה שנקבע בעניינו הועמד על </w:t>
      </w:r>
      <w:r>
        <w:rPr>
          <w:rFonts w:cs="Century" w:ascii="Century" w:hAnsi="Century"/>
        </w:rPr>
        <w:t>50-20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העדר עבר 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שירותו למען המדינה ועדויות אופי נוספות שנשמעו לפני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מוקם עונשו בחלקו התחתון של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ונגזרו עליו 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תנאי וקנס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כמו כן הוא חוייב בתשלום </w:t>
      </w:r>
      <w:r>
        <w:rPr>
          <w:rFonts w:ascii="Century" w:hAnsi="Century" w:cs="Century"/>
          <w:rtl w:val="true"/>
        </w:rPr>
        <w:t>פיצוי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למתלונן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והורחק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ממגרשי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הכדורגל</w:t>
      </w:r>
      <w:r>
        <w:rPr>
          <w:rFonts w:ascii="Century" w:hAnsi="Century" w:cs="Century"/>
          <w:rtl w:val="true"/>
        </w:rPr>
        <w:t xml:space="preserve"> למשך חמש שנים</w:t>
      </w:r>
      <w:r>
        <w:rPr>
          <w:rFonts w:cs="Century" w:ascii="Century" w:hAnsi="Century"/>
          <w:rtl w:val="true"/>
        </w:rPr>
        <w:t xml:space="preserve">.   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Miriam"/>
          <w:b/>
        </w:rPr>
      </w:pPr>
      <w:r>
        <w:rPr>
          <w:rFonts w:cs="Miriam"/>
          <w:b/>
          <w:b/>
          <w:rtl w:val="true"/>
        </w:rPr>
        <w:t>עיקרי</w:t>
      </w:r>
      <w:r>
        <w:rPr>
          <w:rFonts w:cs="Times New Roman;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טענות</w:t>
      </w:r>
      <w:r>
        <w:rPr>
          <w:rFonts w:cs="Times New Roman;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הצדדים</w:t>
      </w:r>
      <w:r>
        <w:rPr>
          <w:rFonts w:cs="Times New Roman;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). </w:t>
      </w:r>
      <w:r>
        <w:rPr>
          <w:rtl w:val="true"/>
        </w:rPr>
        <w:t>נפנה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דניאל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אלישייב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החיה</w:t>
      </w:r>
      <w:r>
        <w:rPr>
          <w:rtl w:val="true"/>
        </w:rPr>
        <w:t xml:space="preserve">'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אלישייב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יצחקי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. </w:t>
      </w:r>
      <w:r>
        <w:rPr>
          <w:rtl w:val="true"/>
        </w:rPr>
        <w:t>גדי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יחיאלוב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מנהיגי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הפטיש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וחדל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באבּו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ולהמלצת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20"/>
        </w:rPr>
      </w:pPr>
      <w:r>
        <w:rPr>
          <w:sz w:val="20"/>
        </w:rPr>
        <w:t>17</w:t>
      </w:r>
      <w:r>
        <w:rPr>
          <w:sz w:val="20"/>
          <w:rtl w:val="true"/>
        </w:rPr>
        <w:t>.</w:t>
        <w:tab/>
      </w:r>
      <w:r>
        <w:rPr>
          <w:rtl w:val="true"/>
        </w:rPr>
        <w:t>אביתר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ולהסתפק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ולסיכוייו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;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;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ופרק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ומפלה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tl w:val="true"/>
        </w:rPr>
        <w:t>-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אביתר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המורכבות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להימצאותו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הפטיש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באבנים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 xml:space="preserve">'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אֵלו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חופים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ופלורנטין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24-8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שתכליתה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במשׂורה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'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 xml:space="preserve">; </w:t>
      </w:r>
      <w:r>
        <w:rPr>
          <w:rtl w:val="true"/>
        </w:rPr>
        <w:t>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אגוז</w:t>
      </w:r>
      <w:r>
        <w:rPr>
          <w:rtl w:val="true"/>
        </w:rPr>
        <w:t xml:space="preserve">'; </w:t>
      </w:r>
      <w:r>
        <w:rPr>
          <w:rtl w:val="true"/>
        </w:rPr>
        <w:t>ועובדת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).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נקבעו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הנכבד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והעונשים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שנגזרו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שנידונו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[..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חוטאים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לעיקרון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הורשעו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לייחודיותן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חבורה</w:t>
      </w:r>
      <w:r>
        <w:rPr>
          <w:rtl w:val="true"/>
        </w:rPr>
        <w:t xml:space="preserve">';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; </w:t>
      </w:r>
      <w:r>
        <w:rPr>
          <w:rtl w:val="true"/>
        </w:rPr>
        <w:t>לתכנון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הקפדני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;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ספורט</w:t>
      </w:r>
      <w:r>
        <w:rPr>
          <w:rtl w:val="true"/>
        </w:rPr>
        <w:t xml:space="preserve">;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האידיאולוגיה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חבורה</w:t>
      </w:r>
      <w:r>
        <w:rPr>
          <w:rtl w:val="true"/>
        </w:rPr>
        <w:t xml:space="preserve">' </w:t>
      </w:r>
      <w:r>
        <w:rPr>
          <w:rtl w:val="true"/>
        </w:rPr>
        <w:t>המטילה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הקרבנות</w:t>
      </w:r>
      <w:r>
        <w:rPr>
          <w:rtl w:val="true"/>
        </w:rPr>
        <w:t xml:space="preserve">, </w:t>
      </w:r>
      <w:r>
        <w:rPr>
          <w:rtl w:val="true"/>
        </w:rPr>
        <w:t>מכניעה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ומפחיתה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לייחודיותם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לערכים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: </w:t>
      </w:r>
      <w:r>
        <w:rPr>
          <w:rtl w:val="true"/>
        </w:rPr>
        <w:t>לאלישייב</w:t>
      </w:r>
      <w:r>
        <w:rPr>
          <w:rtl w:val="true"/>
        </w:rPr>
        <w:t xml:space="preserve">, </w:t>
      </w:r>
      <w:r>
        <w:rPr>
          <w:rtl w:val="true"/>
        </w:rPr>
        <w:t>יצחקי</w:t>
      </w:r>
      <w:r>
        <w:rPr>
          <w:rtl w:val="true"/>
        </w:rPr>
        <w:t xml:space="preserve">, </w:t>
      </w:r>
      <w:r>
        <w:rPr>
          <w:rtl w:val="true"/>
        </w:rPr>
        <w:t>ויחיאלוב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לניב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;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מגידיש</w:t>
      </w:r>
      <w:r>
        <w:rPr>
          <w:rtl w:val="true"/>
        </w:rPr>
        <w:t xml:space="preserve">, </w:t>
      </w:r>
      <w:r>
        <w:rPr>
          <w:rtl w:val="true"/>
        </w:rPr>
        <w:t>שחלקו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),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).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בולט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מהאירועים</w:t>
      </w:r>
      <w:r>
        <w:rPr>
          <w:rtl w:val="true"/>
        </w:rPr>
        <w:t xml:space="preserve">.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color w:val="FF0000"/>
          <w:rtl w:val="true"/>
        </w:rPr>
        <w:t>.</w:t>
      </w:r>
      <w:r>
        <w:rPr>
          <w:rtl w:val="true"/>
        </w:rPr>
        <w:tab/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פמיליה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המשפחה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ביולוגית</w:t>
      </w:r>
      <w:r>
        <w:rPr>
          <w:rtl w:val="true"/>
        </w:rPr>
        <w:t>-</w:t>
      </w:r>
      <w:r>
        <w:rPr>
          <w:rtl w:val="true"/>
        </w:rPr>
        <w:t>אורגנית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שמאפיינות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. </w:t>
      </w:r>
      <w:r>
        <w:rPr>
          <w:rtl w:val="true"/>
        </w:rPr>
        <w:t>לדאבון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התלכדה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' </w:t>
      </w:r>
      <w:r>
        <w:rPr>
          <w:rtl w:val="true"/>
        </w:rPr>
        <w:t>בהתבסס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אנטי</w:t>
      </w:r>
      <w:r>
        <w:rPr>
          <w:rtl w:val="true"/>
        </w:rPr>
        <w:t>-</w:t>
      </w:r>
      <w:r>
        <w:rPr>
          <w:rtl w:val="true"/>
        </w:rPr>
        <w:t>סוציאליים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שנאה</w:t>
      </w:r>
      <w:r>
        <w:rPr>
          <w:rtl w:val="true"/>
        </w:rPr>
        <w:t xml:space="preserve">, </w:t>
      </w:r>
      <w:r>
        <w:rPr>
          <w:rtl w:val="true"/>
        </w:rPr>
        <w:t>גזענות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ובדלנות</w:t>
      </w:r>
      <w:r>
        <w:rPr>
          <w:rtl w:val="true"/>
        </w:rPr>
        <w:t xml:space="preserve">. </w:t>
      </w:r>
      <w:r>
        <w:rPr>
          <w:rtl w:val="true"/>
        </w:rPr>
        <w:t>שנאה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מאוויי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שחטאם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באהדתם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יריבות</w:t>
      </w:r>
      <w:r>
        <w:rPr>
          <w:rtl w:val="true"/>
        </w:rPr>
        <w:t xml:space="preserve">. </w:t>
      </w:r>
      <w:r>
        <w:rPr>
          <w:rtl w:val="true"/>
        </w:rPr>
        <w:t>שנאתם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לשמה</w:t>
      </w:r>
      <w:r>
        <w:rPr>
          <w:rtl w:val="true"/>
        </w:rPr>
        <w:t xml:space="preserve">, </w:t>
      </w:r>
      <w:r>
        <w:rPr>
          <w:rtl w:val="true"/>
        </w:rPr>
        <w:t>שנאת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חינם</w:t>
      </w:r>
      <w:r>
        <w:rPr>
          <w:rtl w:val="true"/>
        </w:rPr>
        <w:t xml:space="preserve">. </w:t>
      </w:r>
      <w:r>
        <w:rPr>
          <w:rtl w:val="true"/>
        </w:rPr>
        <w:t>התורה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מצווה</w:t>
      </w:r>
      <w:r>
        <w:rPr>
          <w:rtl w:val="true"/>
        </w:rPr>
        <w:t xml:space="preserve">: </w:t>
      </w:r>
      <w:r>
        <w:rPr>
          <w:rStyle w:val="hebrewquotation1"/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Style w:val="hebrewquotation1"/>
          <w:rFonts w:ascii="Century" w:hAnsi="Century" w:cs="Miriam"/>
          <w:b/>
          <w:b/>
          <w:spacing w:val="0"/>
          <w:szCs w:val="24"/>
          <w:rtl w:val="true"/>
        </w:rPr>
        <w:t>לֹא</w:t>
      </w:r>
      <w:r>
        <w:rPr>
          <w:rStyle w:val="hebrewquotation1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hebrewquotation1"/>
          <w:rFonts w:ascii="Century" w:hAnsi="Century" w:cs="Miriam"/>
          <w:b/>
          <w:b/>
          <w:spacing w:val="0"/>
          <w:szCs w:val="24"/>
          <w:rtl w:val="true"/>
        </w:rPr>
        <w:t>תִשְׂנָא</w:t>
      </w:r>
      <w:r>
        <w:rPr>
          <w:rStyle w:val="hebrewquotation1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hebrewquotation1"/>
          <w:rFonts w:ascii="Century" w:hAnsi="Century" w:cs="Miriam"/>
          <w:b/>
          <w:b/>
          <w:spacing w:val="0"/>
          <w:szCs w:val="24"/>
          <w:rtl w:val="true"/>
        </w:rPr>
        <w:t>אֶת</w:t>
      </w:r>
      <w:r>
        <w:rPr>
          <w:rStyle w:val="hebrewquotation1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hebrewquotation1"/>
          <w:rFonts w:ascii="Century" w:hAnsi="Century" w:cs="Miriam"/>
          <w:b/>
          <w:b/>
          <w:spacing w:val="0"/>
          <w:szCs w:val="24"/>
          <w:rtl w:val="true"/>
        </w:rPr>
        <w:t>אָחִיךָ</w:t>
      </w:r>
      <w:r>
        <w:rPr>
          <w:rStyle w:val="hebrewquotation1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hebrewquotation1"/>
          <w:rFonts w:ascii="Century" w:hAnsi="Century" w:cs="Miriam"/>
          <w:b/>
          <w:b/>
          <w:spacing w:val="0"/>
          <w:szCs w:val="24"/>
          <w:rtl w:val="true"/>
        </w:rPr>
        <w:t>בִּלְבָבֶךָ</w:t>
      </w:r>
      <w:r>
        <w:rPr>
          <w:rStyle w:val="hebrewquotation1"/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ויקרא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</w:t>
      </w:r>
      <w:r>
        <w:rPr>
          <w:rtl w:val="true"/>
        </w:rPr>
        <w:t xml:space="preserve">, </w:t>
      </w:r>
      <w:r>
        <w:rPr>
          <w:rtl w:val="true"/>
        </w:rPr>
        <w:t>יז</w:t>
      </w:r>
      <w:r>
        <w:rPr>
          <w:rtl w:val="true"/>
        </w:rPr>
        <w:t>). '</w:t>
      </w:r>
      <w:r>
        <w:rPr>
          <w:rtl w:val="true"/>
        </w:rPr>
        <w:t>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'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ידוע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גדולות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באחיו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ברעהו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הנעשות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הפחותה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והנמאסת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המיאוס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רלח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',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השׂנאה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תשריש</w:t>
      </w:r>
      <w:r>
        <w:rPr>
          <w:rtl w:val="true"/>
        </w:rPr>
        <w:t xml:space="preserve">, </w:t>
      </w:r>
      <w:r>
        <w:rPr>
          <w:rtl w:val="true"/>
        </w:rPr>
        <w:t>תצמיח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גידולי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פרא</w:t>
      </w:r>
      <w:r>
        <w:rPr>
          <w:rtl w:val="true"/>
        </w:rPr>
        <w:t xml:space="preserve">, </w:t>
      </w:r>
      <w:r>
        <w:rPr>
          <w:rtl w:val="true"/>
        </w:rPr>
        <w:t>ותוציא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באושים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קלים</w:t>
      </w:r>
      <w:r>
        <w:rPr>
          <w:rtl w:val="true"/>
        </w:rPr>
        <w:t xml:space="preserve">'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והתעצמו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ותוצאותיהם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החריפו</w:t>
      </w:r>
      <w:r>
        <w:rPr>
          <w:rtl w:val="true"/>
        </w:rPr>
        <w:t xml:space="preserve">. </w:t>
      </w:r>
      <w:r>
        <w:rPr>
          <w:rtl w:val="true"/>
        </w:rPr>
        <w:t>השׂנאה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נרתעו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יחודיותה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הנדונים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יחודיים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>-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בחסותה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אידיאולוגיה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משניאה</w:t>
      </w:r>
      <w:r>
        <w:rPr>
          <w:rtl w:val="true"/>
        </w:rPr>
        <w:t xml:space="preserve">, </w:t>
      </w:r>
      <w:r>
        <w:rPr>
          <w:rtl w:val="true"/>
        </w:rPr>
        <w:t>משסה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ומפלגת</w:t>
      </w:r>
      <w:r>
        <w:rPr>
          <w:rtl w:val="true"/>
        </w:rPr>
        <w:t xml:space="preserve">. </w:t>
      </w:r>
      <w:r>
        <w:rPr>
          <w:rtl w:val="true"/>
        </w:rPr>
        <w:t>התלכדותם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ואטמה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. </w:t>
      </w:r>
      <w:r>
        <w:rPr>
          <w:rtl w:val="true"/>
        </w:rPr>
        <w:t>צעירים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שצמחו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tl w:val="true"/>
        </w:rPr>
        <w:t xml:space="preserve">, </w:t>
      </w:r>
      <w:r>
        <w:rPr>
          <w:rtl w:val="true"/>
        </w:rPr>
        <w:t>שירתו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נרתמו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שֵׂיער</w:t>
      </w:r>
      <w:r>
        <w:rPr>
          <w:rtl w:val="true"/>
        </w:rPr>
        <w:t xml:space="preserve">. </w:t>
      </w:r>
      <w:r>
        <w:rPr>
          <w:rtl w:val="true"/>
        </w:rPr>
        <w:t>כפסע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23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פמיליה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רובם אינם משתייכים לקהל העבריינים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סיגלו לעצמם באחת התנהגות עבריינית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שהם מתנהלים ללא פחד ומורא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רצים ברחובה של 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מצויידים בכלי משחית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חדורי קרב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לפגוע בכל אוהד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יריב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שיקרה בדרכם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יחיד היה עוצר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מפחד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חושב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מסתייג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במסגרת הקבוצה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גברה התעוזה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הפחד התפוגג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השׂכל נאלם דום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הם נסחפו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התלהטו והתלכדו מאחורי רעיונות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פמיליה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ופעלו ללא חת כדי להגשים את מטרותיה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הרתעת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סכנה רבה גלומה אפוא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משפחה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משחיתה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סכנה המעוררת חשש גם לבאות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הקלות שבה נסחפו רבים אחרי רעיונותיה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ופעלו להגשמתם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מחייבת גינוי תקיף ונוקב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עונש כבד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לבל ישנו מקרים שכאלה בעתיד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לבל יקומו ויתפתחו עוד משפחות דומות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 מקובלת עלי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עקרוני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ולפיה יש להחמיר בעונשם של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מחמת שיקולי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הרתעת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במסגרת הוראת 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ז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נתן המחוקק דעתו על הצורך 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הרתעת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קבע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Style w:val="default"/>
          <w:sz w:val="26"/>
          <w:szCs w:val="26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spacing w:lineRule="auto" w:line="360"/>
        <w:ind w:end="1282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בהרתעת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שהחמרה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בעונשו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להרתעת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להתחשב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בבואו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יחרוג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ההולם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zCs w:val="24"/>
          <w:rtl w:val="true"/>
        </w:rPr>
        <w:t xml:space="preserve">   </w:t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Century" w:hAnsi="Century" w:cs="Century"/>
          <w:rtl w:val="true"/>
        </w:rPr>
        <w:t xml:space="preserve">במסגרת תיקון </w:t>
      </w:r>
      <w:r>
        <w:rPr>
          <w:rFonts w:cs="Century" w:ascii="Century" w:hAnsi="Century"/>
        </w:rPr>
        <w:t>113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בעת גזירת עונשו של נאשם יקבע תחילה מתחם ענישה המשקף את חומרת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 שביצע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ובשלב השני יקבע עונשו המתאים של הנאשם בתוך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גם 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האישיות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גזירת העונש נקבע באופן הזה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מנת שישקף עד כמה שניתן את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cs="Century"/>
          <w:rtl w:val="true"/>
        </w:rPr>
        <w:t xml:space="preserve"> העבירה תוך התחשבות בנסיבותיו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מבצעה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rtl w:val="true"/>
        </w:rPr>
        <w:t>מקרב מטרות הענישה השונות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 xml:space="preserve">תיקון </w:t>
      </w:r>
      <w:r>
        <w:rPr>
          <w:rFonts w:cs="Times New Roman;Times New Roman" w:ascii="Times New Roman;Times New Roman" w:hAnsi="Times New Roman;Times New Roman"/>
        </w:rPr>
        <w:t>113</w:t>
      </w:r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rtl w:val="true"/>
        </w:rPr>
        <w:t>מעניק בכורה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אם כי לא בלעדיות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ל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עקרון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ההלימה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 xml:space="preserve">הוא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עקרון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הגמול</w:t>
      </w:r>
      <w:r>
        <w:rPr>
          <w:rFonts w:ascii="Times New Roman;Times New Roman" w:hAnsi="Times New Roman;Times New Roman" w:cs="Times New Roman;Times New Roman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(</w:t>
      </w:r>
      <w:hyperlink r:id="rId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1523/10</w:t>
        </w:r>
      </w:hyperlink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פלונית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;Times New Roman" w:ascii="Times New Roman;Times New Roman" w:hAnsi="Times New Roman;Times New Roman"/>
          <w:rtl w:val="true"/>
        </w:rPr>
        <w:t>,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Times New Roman;Times New Roman" w:hAnsi="Times New Roman;Times New Roman" w:cs="Times New Roman;Times New Roman"/>
          <w:rtl w:val="true"/>
        </w:rPr>
        <w:t>פסקאות י</w:t>
      </w:r>
      <w:r>
        <w:rPr>
          <w:rFonts w:cs="Times New Roman;Times New Roman" w:ascii="Times New Roman;Times New Roman" w:hAnsi="Times New Roman;Times New Roman"/>
          <w:rtl w:val="true"/>
        </w:rPr>
        <w:t>"</w:t>
      </w:r>
      <w:r>
        <w:rPr>
          <w:rFonts w:ascii="Times New Roman;Times New Roman" w:hAnsi="Times New Roman;Times New Roman" w:cs="Times New Roman;Times New Roman"/>
          <w:rtl w:val="true"/>
        </w:rPr>
        <w:t>ז</w:t>
      </w:r>
      <w:r>
        <w:rPr>
          <w:rFonts w:cs="Times New Roman;Times New Roman" w:ascii="Times New Roman;Times New Roman" w:hAnsi="Times New Roman;Times New Roman"/>
          <w:rtl w:val="true"/>
        </w:rPr>
        <w:t>-</w:t>
      </w:r>
      <w:r>
        <w:rPr>
          <w:rFonts w:ascii="Times New Roman;Times New Roman" w:hAnsi="Times New Roman;Times New Roman" w:cs="Times New Roman;Times New Roman"/>
          <w:rtl w:val="true"/>
        </w:rPr>
        <w:t>י</w:t>
      </w:r>
      <w:r>
        <w:rPr>
          <w:rFonts w:cs="Times New Roman;Times New Roman" w:ascii="Times New Roman;Times New Roman" w:hAnsi="Times New Roman;Times New Roman"/>
          <w:rtl w:val="true"/>
        </w:rPr>
        <w:t>"</w:t>
      </w:r>
      <w:r>
        <w:rPr>
          <w:rFonts w:ascii="Times New Roman;Times New Roman" w:hAnsi="Times New Roman;Times New Roman" w:cs="Times New Roman;Times New Roman"/>
          <w:rtl w:val="true"/>
        </w:rPr>
        <w:t xml:space="preserve">ט </w:t>
      </w:r>
      <w:r>
        <w:rPr>
          <w:rFonts w:cs="Times New Roman;Times New Roman" w:ascii="Times New Roman;Times New Roman" w:hAnsi="Times New Roman;Times New Roman"/>
          <w:rtl w:val="true"/>
        </w:rPr>
        <w:t>(</w:t>
      </w:r>
      <w:r>
        <w:rPr>
          <w:rFonts w:cs="Times New Roman;Times New Roman" w:ascii="Times New Roman;Times New Roman" w:hAnsi="Times New Roman;Times New Roman"/>
        </w:rPr>
        <w:t>18.4.2012</w:t>
      </w:r>
      <w:r>
        <w:rPr>
          <w:rFonts w:cs="Times New Roman;Times New Roman" w:ascii="Times New Roman;Times New Roman" w:hAnsi="Times New Roman;Times New Roman"/>
          <w:rtl w:val="true"/>
        </w:rPr>
        <w:t xml:space="preserve">)). </w:t>
      </w:r>
      <w:r>
        <w:rPr>
          <w:rFonts w:ascii="Times New Roman;Times New Roman" w:hAnsi="Times New Roman;Times New Roman" w:cs="Times New Roman;Times New Roman"/>
          <w:rtl w:val="true"/>
        </w:rPr>
        <w:t>על</w:t>
      </w:r>
      <w:r>
        <w:rPr>
          <w:rFonts w:cs="Times New Roman;Times New Roman" w:ascii="Times New Roman;Times New Roman" w:hAnsi="Times New Roman;Times New Roman"/>
          <w:rtl w:val="true"/>
        </w:rPr>
        <w:t>-</w:t>
      </w:r>
      <w:r>
        <w:rPr>
          <w:rFonts w:ascii="Times New Roman;Times New Roman" w:hAnsi="Times New Roman;Times New Roman" w:cs="Times New Roman;Times New Roman"/>
          <w:rtl w:val="true"/>
        </w:rPr>
        <w:t>פי עקרון זה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העונש הראוי לעבריין נגזר ממידת אשמו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מחומרת מעשיו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 xml:space="preserve">ובלשונו של </w:t>
      </w:r>
      <w:hyperlink r:id="rId40">
        <w:r>
          <w:rPr>
            <w:rStyle w:val="Hyperlink"/>
            <w:rFonts w:ascii="Century" w:hAnsi="Century" w:cs="Century"/>
            <w:rtl w:val="true"/>
          </w:rPr>
          <w:t>חוק העונשין</w:t>
        </w:r>
      </w:hyperlink>
      <w:r>
        <w:rPr>
          <w:rFonts w:cs="Century" w:ascii="Century" w:hAnsi="Century"/>
          <w:rtl w:val="true"/>
        </w:rPr>
        <w:t>:</w:t>
      </w:r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>"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העיקרון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המנחה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בענישה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קיומו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יחס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הולם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חומרת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בנסיבותיו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ומידת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אשמו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ובין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סוג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ומידת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העונש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המוטל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עליו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>"</w:t>
      </w:r>
      <w:r>
        <w:rPr>
          <w:rFonts w:cs="Times New Roman;Times New Roman" w:ascii="Times New Roman;Times New Roman" w:hAnsi="Times New Roman;Times New Roman"/>
          <w:rtl w:val="true"/>
        </w:rPr>
        <w:t xml:space="preserve"> (</w:t>
      </w:r>
      <w:r>
        <w:rPr>
          <w:rFonts w:ascii="Times New Roman;Times New Roman" w:hAnsi="Times New Roman;Times New Roman" w:cs="Times New Roman;Times New Roman"/>
          <w:rtl w:val="true"/>
        </w:rPr>
        <w:t xml:space="preserve">סעיף </w:t>
      </w:r>
      <w:hyperlink r:id="rId41"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cs="Century" w:ascii="Century" w:hAnsi="Century"/>
          <w:rtl w:val="true"/>
        </w:rPr>
        <w:t>).</w:t>
      </w:r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rtl w:val="true"/>
        </w:rPr>
        <w:t>זהו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</w:t>
      </w:r>
      <w:r>
        <w:rPr>
          <w:rFonts w:ascii="Century" w:hAnsi="Century" w:cs="Century"/>
          <w:rtl w:val="true"/>
        </w:rPr>
        <w:t>י</w:t>
      </w:r>
      <w:r>
        <w:rPr>
          <w:rFonts w:ascii="Century" w:hAnsi="Century" w:cs="Century"/>
          <w:rtl w:val="true"/>
        </w:rPr>
        <w:t>קרון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המנחה</w:t>
      </w:r>
      <w:r>
        <w:rPr>
          <w:rFonts w:cs="Century" w:ascii="Century" w:hAnsi="Century"/>
          <w:rtl w:val="true"/>
        </w:rPr>
        <w:t>.</w:t>
      </w:r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hyperlink r:id="rId4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ז</w:t>
        </w:r>
      </w:hyperlink>
      <w:r>
        <w:rPr>
          <w:rFonts w:ascii="Century" w:hAnsi="Century" w:cs="Century"/>
          <w:rtl w:val="true"/>
        </w:rPr>
        <w:t xml:space="preserve"> לחוק כפוף לכלל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ומשמיענו כי פעמים יקבע מיקומו של הנאשם במתחם בהתאם לנסיבות שאינן נסיבותיו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מיקומו בתוך המתחם יקבע ברף גבוה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מקום שבו הגיע בית המשפט לכלל דעה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קיים צורך בהחמרת הענישה לשם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הרתעת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כך אמרתי בעבר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eastAsia="Century" w:cs="Century" w:ascii="Century" w:hAnsi="Century"/>
          <w:rtl w:val="true"/>
        </w:rPr>
        <w:t xml:space="preserve">  </w:t>
      </w:r>
    </w:p>
    <w:p>
      <w:pPr>
        <w:pStyle w:val="Ruller51"/>
        <w:spacing w:lineRule="auto" w:line="360"/>
        <w:ind w:end="1282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במקומותינו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גזירת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כורח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המציאות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המאזן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שאזרחים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תמימי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יִרְאו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ויִרָאו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יחששו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לבטחונם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העבריינים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עליהם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יֵרתעו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חיסול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חשבונות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בעשיית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המאזן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התמימים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באכיפה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 w:ascii="Century" w:hAnsi="Century"/>
          <w:b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8641/12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סעד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הדין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5.8.2013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בענין דנן נכון היה ליתן משקל משמעותי יותר להרתעת הרבים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משעסקינן בתופעה חברתית סוחפת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 השלכות מעשיות קשות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משפט זה לא אחת לגבי חומרת העונש שיש להשית על המורשעים בעבירות אלימות הנעשות תוך שימוש בנשק קר</w:t>
      </w:r>
      <w:r>
        <w:rPr>
          <w:rFonts w:cs="Century" w:ascii="Century" w:hAnsi="Century"/>
          <w:rtl w:val="true"/>
        </w:rPr>
        <w:t>: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בתופעה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רווחת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מכוערת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ומסוכנת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המחייבת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תגובה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אכיפת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לשיקולי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הרתעת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היחיד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והרבים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5980/15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23.3.2016</w:t>
      </w:r>
      <w:r>
        <w:rPr>
          <w:rFonts w:cs="Century" w:ascii="Century" w:hAnsi="Century"/>
          <w:rtl w:val="true"/>
        </w:rPr>
        <w:t>)).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FrankRuehl"/>
          <w:sz w:val="22"/>
          <w:szCs w:val="28"/>
        </w:rPr>
      </w:pPr>
      <w:r>
        <w:rPr>
          <w:rFonts w:cs="FrankRuehl" w:ascii="Arial TUR;Arial" w:hAnsi="Arial TUR;Arial"/>
          <w:sz w:val="22"/>
          <w:szCs w:val="28"/>
        </w:rPr>
        <w:t>27</w:t>
      </w:r>
      <w:r>
        <w:rPr>
          <w:rFonts w:cs="FrankRuehl" w:ascii="Arial TUR;Arial" w:hAnsi="Arial TUR;Arial"/>
          <w:sz w:val="22"/>
          <w:szCs w:val="28"/>
          <w:rtl w:val="true"/>
        </w:rPr>
        <w:t>.</w:t>
      </w:r>
      <w:r>
        <w:rPr>
          <w:rtl w:val="true"/>
        </w:rPr>
        <w:tab/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טעם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המצדיק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מרתיעה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בענייננו</w:t>
      </w:r>
      <w:r>
        <w:rPr>
          <w:rFonts w:cs="FrankRuehl" w:ascii="Arial TUR;Arial" w:hAnsi="Arial TUR;Arial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נעוץ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שעסקינן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שבוצעו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ארגון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אוהדים</w:t>
      </w:r>
      <w:r>
        <w:rPr>
          <w:rFonts w:cs="FrankRuehl" w:ascii="Arial TUR;Arial" w:hAnsi="Arial TUR;Arial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וכוונו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קבוצות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אוהדים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אחרות</w:t>
      </w:r>
      <w:r>
        <w:rPr>
          <w:rFonts w:cs="FrankRuehl" w:ascii="Arial TUR;Arial" w:hAnsi="Arial TUR;Arial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וגזענות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אירועי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ספורט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הפכו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בשנים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האחרונות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ממאיר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במקומותינו</w:t>
      </w:r>
      <w:r>
        <w:rPr>
          <w:rFonts w:cs="FrankRuehl" w:ascii="Arial TUR;Arial" w:hAnsi="Arial TUR;Arial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מסיבה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חוקקה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הכנסת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כעשור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hyperlink r:id="rId45">
        <w:r>
          <w:rPr>
            <w:rStyle w:val="Hyperlink"/>
            <w:rFonts w:ascii="Arial TUR;Arial" w:hAnsi="Arial TUR;Arial" w:cs="FrankRuehl"/>
            <w:color w:val="0000FF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z w:val="22"/>
            <w:sz w:val="22"/>
            <w:szCs w:val="28"/>
            <w:u w:val="single"/>
            <w:rtl w:val="true"/>
          </w:rPr>
          <w:t>איסור</w:t>
        </w:r>
        <w:r>
          <w:rPr>
            <w:rStyle w:val="Hyperlink"/>
            <w:rFonts w:ascii="Arial TUR;Arial" w:hAnsi="Arial TUR;Arial" w:eastAsia="Arial TUR;Arial" w:cs="Arial TUR;Arial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z w:val="22"/>
            <w:sz w:val="22"/>
            <w:szCs w:val="28"/>
            <w:u w:val="single"/>
            <w:rtl w:val="true"/>
          </w:rPr>
          <w:t>אלימות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z w:val="22"/>
            <w:sz w:val="22"/>
            <w:szCs w:val="28"/>
            <w:u w:val="single"/>
            <w:rtl w:val="true"/>
          </w:rPr>
          <w:t>בספורט</w:t>
        </w:r>
      </w:hyperlink>
      <w:r>
        <w:rPr>
          <w:rFonts w:cs="FrankRuehl" w:ascii="Arial TUR;Arial" w:hAnsi="Arial TUR;Arial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התשס</w:t>
      </w:r>
      <w:r>
        <w:rPr>
          <w:rFonts w:cs="FrankRuehl" w:ascii="Arial TUR;Arial" w:hAnsi="Arial TUR;Arial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z w:val="22"/>
          <w:szCs w:val="28"/>
        </w:rPr>
        <w:t>2008</w:t>
      </w:r>
      <w:r>
        <w:rPr>
          <w:rFonts w:cs="FrankRuehl" w:ascii="Century" w:hAnsi="Century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rtl w:val="true"/>
        </w:rPr>
        <w:t>בספורט</w:t>
      </w:r>
      <w:r>
        <w:rPr>
          <w:rFonts w:cs="FrankRuehl" w:ascii="Century" w:hAnsi="Century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z w:val="22"/>
          <w:sz w:val="22"/>
          <w:szCs w:val="28"/>
          <w:rtl w:val="true"/>
        </w:rPr>
        <w:t>בדברי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ההסבר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להצעת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החוק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נאמרו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הרקע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לחקיקתו</w:t>
      </w:r>
      <w:r>
        <w:rPr>
          <w:rFonts w:cs="FrankRuehl" w:ascii="Century" w:hAnsi="Century"/>
          <w:sz w:val="22"/>
          <w:szCs w:val="28"/>
          <w:rtl w:val="true"/>
        </w:rPr>
        <w:t xml:space="preserve">: 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z w:val="22"/>
          <w:szCs w:val="28"/>
        </w:rPr>
      </w:pPr>
      <w:r>
        <w:rPr>
          <w:rFonts w:cs="FrankRuehl" w:ascii="Century" w:hAnsi="Century"/>
          <w:sz w:val="22"/>
          <w:szCs w:val="28"/>
          <w:rtl w:val="true"/>
        </w:rPr>
      </w:r>
    </w:p>
    <w:p>
      <w:pPr>
        <w:pStyle w:val="Ruller51"/>
        <w:spacing w:lineRule="auto" w:line="360"/>
        <w:ind w:end="1282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התשס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ובשנת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התשס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4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הבטיחות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במקומות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ציבוריים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התשכ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1962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התיקונים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חוזרים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ונשנים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במגרשי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הספורט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ובהקשר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ספורט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התמודדות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תופעה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בהצעת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המתפרסמת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נפרד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בספורט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 w:ascii="Century" w:hAnsi="Century"/>
          <w:b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</w:t>
      </w:r>
      <w:r>
        <w:rPr>
          <w:rFonts w:cs="Century" w:ascii="Century" w:hAnsi="Century"/>
        </w:rPr>
        <w:t>224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266</w:t>
      </w:r>
      <w:r>
        <w:rPr>
          <w:rFonts w:cs="Century" w:ascii="Century" w:hAnsi="Century"/>
          <w:rtl w:val="true"/>
        </w:rPr>
        <w:t>).</w:t>
      </w:r>
      <w:r>
        <w:rPr>
          <w:rFonts w:cs="Miriam" w:ascii="Century" w:hAnsi="Century"/>
          <w:b/>
          <w:szCs w:val="24"/>
          <w:rtl w:val="true"/>
        </w:rPr>
        <w:t xml:space="preserve">  </w:t>
      </w:r>
    </w:p>
    <w:p>
      <w:pPr>
        <w:pStyle w:val="Ruller51"/>
        <w:spacing w:lineRule="auto" w:line="360"/>
        <w:ind w:end="1282"/>
        <w:jc w:val="both"/>
        <w:rPr>
          <w:rFonts w:ascii="Century" w:hAnsi="Century" w:cs="Miriam"/>
          <w:b/>
          <w:szCs w:val="24"/>
        </w:rPr>
      </w:pPr>
      <w:r>
        <w:rPr>
          <w:rFonts w:eastAsia="Century" w:cs="Century" w:ascii="Century" w:hAnsi="Century"/>
          <w:b/>
          <w:szCs w:val="24"/>
          <w:rtl w:val="true"/>
        </w:rPr>
        <w:t xml:space="preserve"> </w:t>
      </w:r>
      <w:r>
        <w:rPr>
          <w:rFonts w:cs="Miriam" w:ascii="Century" w:hAnsi="Century"/>
          <w:b/>
          <w:szCs w:val="24"/>
          <w:rtl w:val="true"/>
        </w:rPr>
        <w:tab/>
      </w:r>
      <w:r>
        <w:rPr>
          <w:rFonts w:cs="Miriam" w:ascii="Century" w:hAnsi="Century"/>
          <w:b/>
          <w:szCs w:val="24"/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אלימות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בספורט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ספורט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גזעניות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במגרשים</w:t>
      </w:r>
      <w:r>
        <w:rPr>
          <w:rtl w:val="true"/>
        </w:rPr>
        <w:t xml:space="preserve">;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ספורט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למגרש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ספורט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רגילות</w:t>
      </w:r>
      <w:r>
        <w:rPr>
          <w:rtl w:val="true"/>
        </w:rPr>
        <w:t xml:space="preserve">', </w:t>
      </w:r>
      <w:r>
        <w:rPr>
          <w:rtl w:val="true"/>
        </w:rPr>
        <w:t>שהרקע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להשתייכות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1"/>
        <w:spacing w:lineRule="auto" w:line="360"/>
        <w:ind w:end="1282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בבואנו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להגדיר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השיקולים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שנעשו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ספורטיבית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אהדה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לקבוצת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כדורגל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זוהי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ולסייע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התופעה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המכוערת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במגרשי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הספורט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להתפשט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לתוצאות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בהרבה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 w:ascii="Century" w:hAnsi="Century"/>
          <w:b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5972/12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פינטו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11.3.2013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פינטו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אלימות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בספורט</w:t>
        </w:r>
      </w:hyperlink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רגילות</w:t>
      </w:r>
      <w:r>
        <w:rPr>
          <w:rtl w:val="true"/>
        </w:rPr>
        <w:t xml:space="preserve">'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 "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ספורט</w:t>
      </w:r>
      <w:r>
        <w:rPr>
          <w:rtl w:val="true"/>
        </w:rPr>
        <w:t xml:space="preserve">" </w:t>
      </w:r>
      <w:r>
        <w:rPr>
          <w:rtl w:val="true"/>
        </w:rPr>
        <w:t>הנחיות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/>
        <w:t>2.36</w:t>
      </w:r>
      <w:r>
        <w:rPr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וטף</w:t>
      </w:r>
      <w:r>
        <w:rPr>
          <w:rtl w:val="true"/>
        </w:rPr>
        <w:t xml:space="preserve">, </w:t>
      </w:r>
      <w:r>
        <w:rPr>
          <w:rtl w:val="true"/>
        </w:rPr>
        <w:t>ופעמים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מתקבצת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  <w:r>
        <w:rPr>
          <w:rtl w:val="true"/>
        </w:rPr>
        <w:t>בענין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1"/>
        <w:spacing w:lineRule="auto" w:line="360"/>
        <w:ind w:end="1282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לזכור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בפעילות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תרבותית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נוטלים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צעירים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קשישים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רצונם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ליטול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בפעילות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הספורט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פעילותם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קומץ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אוהדים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זעום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מוטלת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ביטחונם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ביטחונם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האוהדים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 w:ascii="Century" w:hAnsi="Century"/>
          <w:b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  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</w:rPr>
      </w:pPr>
      <w:r>
        <w:rPr/>
        <w:t>30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), </w:t>
      </w:r>
      <w:r>
        <w:rPr>
          <w:rtl w:val="true"/>
        </w:rPr>
        <w:t>נעדרים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. </w:t>
      </w:r>
      <w:r>
        <w:rPr>
          <w:rtl w:val="true"/>
        </w:rPr>
        <w:t>רובם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תרמו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וחברי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השורה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ובחסותו</w:t>
      </w:r>
      <w:r>
        <w:rPr>
          <w:rtl w:val="true"/>
        </w:rPr>
        <w:t xml:space="preserve">. </w:t>
      </w:r>
      <w:r>
        <w:rPr>
          <w:rtl w:val="true"/>
        </w:rPr>
        <w:t>הסחף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הספורטיבי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וקיבצם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ואפקטיבית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דווקא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נורמטיביים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בבסיסם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המתכננים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מעשיהם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הסיכון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שבהעמדה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לדין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677/14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דנקנר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17.7.14</w:t>
      </w:r>
      <w:r>
        <w:rPr>
          <w:rtl w:val="true"/>
        </w:rPr>
        <w:t xml:space="preserve">, </w:t>
      </w:r>
      <w:r>
        <w:rPr>
          <w:rtl w:val="true"/>
        </w:rPr>
        <w:t>תוקן</w:t>
      </w:r>
      <w:r>
        <w:rPr>
          <w:rFonts w:eastAsia="Arial TUR;Arial" w:cs="Arial TUR;Arial"/>
          <w:rtl w:val="true"/>
        </w:rPr>
        <w:t xml:space="preserve"> </w:t>
      </w:r>
      <w:r>
        <w:rPr/>
        <w:t>6.8.14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</w:rPr>
      </w:pPr>
      <w:r>
        <w:rPr>
          <w:rFonts w:cs="Century" w:ascii="Century" w:hAnsi="Century"/>
          <w:b/>
          <w:spacing w:val="0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פעמיים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31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אביתר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.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שרישומם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בייחוד אמורים הדברים כלפי דניאל אלישייב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רן יצחקי וגדי יחיאלוב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שחרף תוצאותיו העגומות של 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 לחטאם</w:t>
      </w:r>
      <w:r>
        <w:rPr>
          <w:rFonts w:cs="Century" w:ascii="Century" w:hAnsi="Century"/>
          <w:rtl w:val="true"/>
        </w:rPr>
        <w:t>, '</w:t>
      </w:r>
      <w:r>
        <w:rPr>
          <w:rFonts w:ascii="Century" w:hAnsi="Century" w:cs="Century"/>
          <w:rtl w:val="true"/>
        </w:rPr>
        <w:t>כפשוטו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במסגרת 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השלושה חזרו לזירה שבה ביצעו את העבירה בראשונה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ותכננו לשוב ולפגוע באוהד הפועל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כשהאירוע הראשון משמש להם מודל והשראה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מעשים נשנים אלה מבטאים זלזול בחוק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ומעידים שלא היתה זו מעידה 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פעמית חולפת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התנהגות פלילית מודעת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מחושבת ומתוכננת היטב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רות קנאי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הערכת עבר פלילי</w:t>
      </w:r>
      <w:r>
        <w:rPr>
          <w:rFonts w:cs="Century" w:ascii="Century" w:hAnsi="Century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hyperlink r:id="rId51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מגמות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בקרימינולוגיה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;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תאוריה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,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מדיניות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ויישום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,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לכבוד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ד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ר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מנחם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הורוויץ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בהגיעו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לגבורות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287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292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חובב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אמיר עורכים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לא היו אלו מעשים שבוצעו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עידנא דריתחא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ומבלי שנשקלו הדברים בכובד ראש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הם בוצעו בהזדמנויות 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ובריחוק זמן משמעותי זה מזה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5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4910/13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29.10.2014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נתנאל דגן ורות </w:t>
      </w:r>
      <w:hyperlink r:id="rId5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קנאי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ריבוי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עברות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: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אתגרים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והצעת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rtl w:val="true"/>
        </w:rPr>
        <w:t xml:space="preserve"> פתרונות לאור עקרון ההלימה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בעקבות </w:t>
      </w:r>
      <w:hyperlink r:id="rId5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יג</w:t>
        </w:r>
      </w:hyperlink>
      <w:r>
        <w:rPr>
          <w:rFonts w:ascii="Century" w:hAnsi="Century" w:cs="Century"/>
          <w:rtl w:val="true"/>
        </w:rPr>
        <w:t xml:space="preserve"> ל</w:t>
      </w:r>
      <w:hyperlink r:id="rId5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)"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אדמונד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613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625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גורדון עורך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2017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במצבים מעין אלה יש לפקפק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האם הצבת הנאשמים בתחתית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העדר עבר 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במקומה היא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5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4875/11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26.1.2012</w:t>
      </w:r>
      <w:r>
        <w:rPr>
          <w:rFonts w:cs="Century" w:ascii="Century" w:hAnsi="Century"/>
          <w:rtl w:val="true"/>
        </w:rPr>
        <w:t xml:space="preserve">)).  </w:t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sz w:val="28"/>
          <w:rtl w:val="true"/>
        </w:rPr>
        <w:t xml:space="preserve">. </w:t>
      </w:r>
      <w:r>
        <w:rPr>
          <w:rFonts w:ascii="Century" w:hAnsi="Century" w:cs="Century"/>
          <w:rtl w:val="true"/>
        </w:rPr>
        <w:t>כך בכלל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ביתר שאת לגבי ערעור של המדינה על קולת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ולוּ מן הטעם שערכאת הערעור אינה נוטה למצות את מלוא חומרת הדין עם הנאשם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hyperlink r:id="rId5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4497/18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19.8.2018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אלא שהנדון דידן בא בגדרם של אותם מצבים חריגים שבהם נדרשת ערכאת הערעור להתערב בעונש שנקבע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הערכאה המבררת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גזר הדין של בית המשפט המחוזי לא נתן משקל מספק להרתעת הרבים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להישנות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מקובלת עלי עמדתה העקרונית של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ולפיה יש להציב רף ענישה מחמיר במקרים אלה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 בבד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כמצוות תיקון </w:t>
      </w:r>
      <w:r>
        <w:rPr>
          <w:rFonts w:cs="Century" w:ascii="Century" w:hAnsi="Century"/>
        </w:rPr>
        <w:t>113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קבלת עמדתה העקרונית של המדינה בדבר הצורך בהחמרת הענישה בנסיבות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נניח את ידינו מלהתחשב גם בנסיבותיהם האישיות של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נבחן אפוא את עניינו של כל אחד מבני החבורה כפי שהובא 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דניאל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אלישייב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בקביעת המתחם בעניינו של אלישייב התייחס בית המשפט המחוזי לאי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ידיעתו על הימצאות פטיש התופסנים בזירה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ולכך שלא שמע את עומר קורא כי יהרוג את יורי עוד באותו יום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יִחס משקל של ממש לעובדות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וקבע כי מתחם העונש לגביו יעמוד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48-18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בגין מעורבותו באירוע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בגין מעורבותו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לעומת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הועמד מתחם העונש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36-12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סקר בגזר הדין את נסיבות חייו של אלישייב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עלייתו בגיל צעיר מהקווקז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חוסר שייכותו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דימויו העצמי הירוד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העדר עבר פלילי ממין הענין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גילו הצעיר בעת ביצוע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ניתן משקל להודאתו בשלב מוקדם של ההליך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ולהבעת החרטה על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 מוקם אלישייב בחלק התחתון של כל אחד מהמתחמים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ועונשו הועמד על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כשבנוסף הושתו עליו עונשים נלווים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אלישייב התייחס בערעורו לחלקו הקטן יחסית בביצוע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ולכך שחדל מלבצעם בשלב מסוים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למקרא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 מזה ומזה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עיון בתסקירי שירות המבחן ולמשמע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 בעל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סבורני כי יש לדחות את טענותיו של אלישייב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לקבל את ערעורה של המדינה ולהחמיר בעונשו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בכתבי האישום אין כדי ללמד באופן ברור מה היה חלקו המדויק של כל אחד מבני החבורה בביצוע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כתבי האישום אינם כוללים פירוט רב בקשר לשלביה השונים של התקיפה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ולכלי שהוחזק בידי כל אחד מהמעורבים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שהעדר פירוט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פועל יוצא של אירוע המבוצע בחבורה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לבטח כשמדובר בחבורה גדולה המבצעת את מעשיה באישון ליִל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חבריה לובשים שחורים ועוטים מסווים על פניהם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משפעלו בני החבורה כפי שפעלו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במפגיע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זה הולם להנוֹתם מאותה שיטת פעולה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זה ראוי שאותם חוטאים יֵצאו נשכרים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בייחוד אמורים הדברים מקום בו אלישייב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שני מערערים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חזרו במטרה לשחזר את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במסגרת 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שלושת המערערים ראו את תוצאותיו הקשות של 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ולמרות זאת שאפו לשחזרו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ופעלו לשם 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דומני שביציאתם לאירוע השני גילו המערערים את דעתם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האירוע הראשון על כל חלקיו מקובל עליהם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ומצטייר בעיניהם כהישג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שוב לא יכולים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ובכללם אלישייב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לצמצם את מנת חלקם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תסקיר שירות המבחן שהוגש לגביו אכן מלמד על חרטה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רצונו להשתקם ולחזור למוטב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דברים אלה מעוררים תקווה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 לייחל כי אלישייב אכן יצטייד בכלים שניתנו לו בטיפולים המקצועיים ובתכניות המגוונות בבית הסוהר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ויפתח דף חדש בחייו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שיקולי ההלימה ושיקולי ההרתעה הכללית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גוברים בענייננו על שיקולי השיקום ומצדיקים החמרה בעונשו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בנסיבות הכוללות של הענין הייתי מחמיר בעונשו של אלישייב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ומעמידו על 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רכיבי הענישה שהושתו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המחוזי יוותרו על כנם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יצחקי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המחוזי קבע בעניינו של רן יצחקי מתחמי ענישה זהים לאלה שנקבעו בעניינו של אלישייב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יצחקי מוקם בתחתית המתחמים שנקבעו לגבי כל אחד מהאירועים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הודאתו בשלב מוקדם של ההליך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התקופה שבה שהה במעצר באיזוק אלקטרוני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גילו הצעיר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היותו נעדר עבר פלילי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פציעתו שגרמה לו לחדול ממשחק כדורגל מקצועי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המשבר שחווה בעקבות פציעתו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עמד על ההליך השיקומי שבו השתלב יצחקי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ציין כי ההליך מצוי בראשיתו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 אינו בא בגדרם של המקרים שבהם יחרוג בית המשפט לקולא ממתחם הענישה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בערעורו טען יצחקי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מאז מעצרו נרתם ביוזמתו לטיפול פרטי ופרטני שהתקיים במשך חודשים ארוכים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ונשא פרי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הוסיף וטען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מבין כלל המערערים הוא היחיד שהיה עצור באיזוק אלקטרוני עד למתן גזר הדין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בעניינו של יצחקי כמו בעניינו של אלישייב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סבורני כי יש לדחות את ערעורו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לקבל את ערעורה של המדינה ולהחמיר בעונשו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יצחקי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בדומה לאלישייב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לקח חלק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 יחד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שפורט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שיבתו לאותה זירת עבירה עם שותפיו לאירוע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משווה למעשיו חומרה יתירה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המצדיקה החמרה בעונשו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חזרתו למקום ביצוע העבירה לשם ביצוע עבירה דומה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מעידה על בחירה מושׂכלת מצדו של יצחקי לחזור ולבצע אותם 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סלידתו מן האירוע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והעדר רתיעה מתוצאותיו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יש להוסיף את האמור בתסקיר שירות המבחן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שמסקנותיו באשר לקבלת האחריות וההפנמה של המערער אינן 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משמעיות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את המלצת שירות המבחן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ולפיה יש להשית עליו ענישה מרתיעה ומוחשית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בנסיבות הענין הייתי מחמיר בעונשו של יצחקי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ומעמידו על 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רכיבי העונש שהושתו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המחוזי יוותרו על כנם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יחיאלוב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גדי יחיאלוב הוא השלישי מבין המערערים שלקח חלק הן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הן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מתחמי הענישה שנקבעו בעניינו זהים לאלה שנקבעו בעניינם של אלישייב ויצחקי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בהתייחס לעונשו המתאים בתוך המתחמים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למקמו בחלקו התחתון של כל אחד מהמתחמים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בשל הודאתו במעשיו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העדר עבר פלילי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שהייתו במעצר באיזוק אלקטרוני בתנאים מגבילים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לנוכח הערכת שירות המבחן במסגרת התסקיר שניתן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דבר קיומו של פוטנציאל שיקומי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התחשב בית המשפט המחוזי בשירותו הצבאי של יחיאלוב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בשלבים מסוימים שלו שירת כלוחם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בערעורו טען יחיאלוב על אודות מעורבותו הפחותה באירוע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ידיעתו על הימצאותו של הפטיש בזירה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על חדילתו ממעשיו בשלבים מוקדמים של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עבר הליך טיפולי משמעותי עובר לריצוי מאסרו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דברים שנאמרו ושנשנו ביחס למעורבים הקודמים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יפים גם בנוגע ליחיאלוב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מעורבותו הפחותה של יחיאלוב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מתגמדת לנוכח העובדה ששנה בחטאוֹ במסגרת מעורבותו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יש להוסיף את האמור בתסקיר שירות המבחן לגביו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ולפיו יחיאלוב צמצם בהתייחסותו את מידת מעורבותו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ומסר גרסאות שונות באשר לחלקו באירוע זה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בנסיבות הענין הייתי מחמיר בעונשו של יחיאלוב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ומעמידו על 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רכיבי גזר הדין שנקבעו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המחוזי יוותרו בעינם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אביתר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אביתר יוסף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הורשע כאמור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מתחם הענישה בעניינו יעמוד על </w:t>
      </w:r>
      <w:r>
        <w:rPr>
          <w:rFonts w:cs="Century" w:ascii="Century" w:hAnsi="Century"/>
        </w:rPr>
        <w:t>30-10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עברו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הכולל עבירות על רקע דומה לאלה שבוצעו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ולאור העובדה שהעבירות דנן בוצעו כשלושה חודשים בלבד לאחר שחרורו המוקדם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ובתוך תקופת הרישיון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מוקם עונשו בתחילת השליש העליון של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ונגזרו עליו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הדגיש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אלמלא הודאתו וחרטתו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מקום להעמיד את עונש המאסר בחלקו הגבוה של הרף העליון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ויתכן שאף היה נכון לחרוג מן המתחם לחומרא משיקולי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שלום הציבור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לחובת אביתר עמד 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תנאי של שמונה 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 ביקשה להפעילו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 המשפט המחוזי נעתר לבקשה בחלקה וקבע שחציו ירוצה במצטבר וחציו בחופף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נימק זאת באופן הבא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להותיר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תקווה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בהתחשב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הצפוי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רישיון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עונש המאסר הכולל שהוטל עליו 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עמד על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אביתר ערער על חומרת העונש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המדינה מצדה לא ערערה על 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בערעורו טען אביתר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העונש שהושת עליו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מופלג בחומרתו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וכי המלצותיו השיקומיות של שירות המבחן לא קיבלו ביטוי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הדגיש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אביתר עבר כברת דרך ארוכה מאז מעצרו בתיק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ונרתם בכל כוחו להשתתפות בקבוצות טיפוליות תובעניות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לעמדת אביתר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המתחמים שנקבעו בעניינו דומים למתחמים שנקבעו בעניינם של מעורבים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העובדה שמעשיו פחותים בחומרתם בהרבה ממעשיהם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בתסקירי שירות המבחן שהוכנו לגבי אביתר נסקרו נסיבות חייו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הסתבכויותיו בפלילים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זיקתו לארגון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פמיליה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וכברת הדרך המשמעותית שעבר מאז שנעצר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למקרא הדברים ניכרים כנותו ונכונותו של אביתר לסור מרע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לסגת מדרך העבריינות ולעלות על דרך חדשה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אביתר נמצא עדיין בראשית הדרך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יש בכך כדי להפיח תקווה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בייחוד שעה שבהליכים הקודמים שנוהלו נגדו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ניכרו סימנים דומים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בשים לב להחלטת ועדת השחרורים משלשום על הפקעת רישיון האסיר של אביתר באופן שהתווספו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לעונש המאסר שהוא מרצה כיום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ומבלי להקל ראש בחומרת המעשים ובהישנותם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דומני כי יש מקום לקבל באופן חלקי את ערעורו של אביתר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ולקבוע כי חודשיים נוספים מן התנאי שהופעל נגדו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ירוצו בחופף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בסך הכל יעמוד עונשו של אביתר על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מנור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ניב מנור הורשע בגין מעורבותו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מתחם הענישה שנקבע לו ביחס לאירוע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הועמד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42-12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מתחם זה נמוך מן המתחמים שנקבעו ליתר המעורבים שהורשעו באותן עבירות בגין מעורבותם באירוע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שניב לא ידע על קשירת הקשר עובר לאירוע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באשר לאירוע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נקבע מתחם ענישה בין </w:t>
      </w:r>
      <w:r>
        <w:rPr>
          <w:rFonts w:cs="Century" w:ascii="Century" w:hAnsi="Century"/>
        </w:rPr>
        <w:t>30-10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בקביעת העונש המתאים בתוך המתחם התחשב בית המשפט בנתונים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גילו הצעיר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העדר עבר פלילי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הודאתו בדין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והתקופה שבה שהה במעצר ובאיזוק אלקטרוני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התחשב בית המשפט בנתוניו האישיים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הכוללים שירות בצה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ותרומה לקהילה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מיקם את עונשו של ניב ברף התחתון של כל אחד מן המתחמים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וגזר עליו עונש של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בערעורו טען ניב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נכון היה לקבוע מתחם אחד לשני האירועים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מכיוון שמדובר באירוע אחד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חלקו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 קטן יחסית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 היה מעורב בקשירת הקשר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 ידע על הפטיש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וחדל ממעשיו בשלבים </w:t>
      </w:r>
      <w:r>
        <w:rPr>
          <w:rFonts w:ascii="Century" w:hAnsi="Century" w:cs="Century"/>
          <w:rtl w:val="true"/>
        </w:rPr>
        <w:t>מסוימים</w:t>
      </w:r>
      <w:r>
        <w:rPr>
          <w:rFonts w:ascii="Century" w:hAnsi="Century" w:cs="Century"/>
          <w:rtl w:val="true"/>
        </w:rPr>
        <w:t xml:space="preserve"> של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הדגיש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מאז שנכנס בשערי בית הסוהר חלה התקדמות של ממש בשיקומו של ניב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לקח חלק פעיל במספר קבוצות טיפוליות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ומתסקיר שירות המבחן ניתן ללמוד כי הוא נמצא כיום במקום שונה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 טענה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בערעורה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קיימת שניות בתסקיר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כשמצד אחד מצוינת הודאתו בביצוע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מן הצד השני הוא מצמצם את חלקו באירוע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הוסיפה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המלצה מעשית בתסקיר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ביצוען של עבירות שונות באירועים שונים מהווה נסיבה מחמירה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 יש להחמיר בעונשו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שקילת טענות הצדדים מזה ומזה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ולמקרא תסקיר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סבורני כי יש לדחות את ערעורו של מנור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 אציין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ראינו לקבל את טענותיו בדבר הצורך בקביעת מתחם ענישה אחד כולל לשני האירועים שבהם היה מעורב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הם אירועים שונים לחלוטין זה מזה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הם הופנו כלפי קרבנות שונים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בוצעו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תוקפים שונים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התרחשו במועדים שונים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וחשוב מכל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חומרתם ותוצאותיהם מובחנים מהותית זה מזה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השוו</w:t>
      </w:r>
      <w:r>
        <w:rPr>
          <w:rFonts w:cs="Century" w:ascii="Century" w:hAnsi="Century"/>
          <w:rtl w:val="true"/>
        </w:rPr>
        <w:t xml:space="preserve">: </w:t>
      </w:r>
      <w:hyperlink r:id="rId5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1261/15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3.9.2015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כל אחד מן האירועים הללו קובע פרק לעצמו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בדין קבע אפוא בית המשפט המחוזי מתחמים שונים לכל אחד מן האירועים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למתחמים גופם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הצדקה לשנות מהם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חלקו של ניב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פחוּת מחלקם של המעורבים האחרים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הדבר נלקח בחשבון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שעה שקבע מתחם שונה בענייננו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לערעור המדינה בעניינו של מנור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בלי התלבטות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באתי לכלל מסקנה כי יש לדחותו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בתסקירי שירות המבחן שהוגשו בראשונה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צוין כי מנור מצמצם את חלקו </w:t>
      </w:r>
      <w:r>
        <w:rPr>
          <w:rFonts w:ascii="Century" w:hAnsi="Century" w:cs="Century"/>
          <w:rtl w:val="true"/>
        </w:rPr>
        <w:t>באירועים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ואינו לוקח אחריות מלאה על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התסקיר העדכני שהוגש לעיוננו 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ונושבת ממנו רוח אחרת המצביעה על רצונו של ניב לעלות על דרך חדשה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נסיבותיו של מנור שונות במידה רבה מנסיבותיהם של יתר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מנור לא נמנה על קושרי הקשר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והוא לא חזר בשנית לקחת חלק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עם כל חומרתו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הקל שבאירועים באופן יחסי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הנסיבות המחמירות שהביאו להחמרה בעונשיהם של המערערים האחרים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מתקיימים במידה פחותה לגביו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נכון יהיה אפוא להותיר למנור פתח לתקווה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ולהותיר את תקופת המאסר שנקבעה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המחוזי בעינה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tabs>
          <w:tab w:val="clear" w:pos="720"/>
          <w:tab w:val="left" w:pos="6185" w:leader="none"/>
        </w:tabs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מגידיש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מגידיש הורשע בקשירת קשר לביצוע עבירה מסוג פשע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בעבירה של חבלה בכוונה מחמירה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בגין מעורבותו באירוע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סעיף העבירה שבו הורשע מגידיש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חבלה בכוונה מחמירה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שונה </w:t>
      </w:r>
      <w:r>
        <w:rPr>
          <w:rFonts w:ascii="Century" w:hAnsi="Century" w:cs="Century"/>
          <w:rtl w:val="true"/>
        </w:rPr>
        <w:t>וחמור</w:t>
      </w:r>
      <w:r>
        <w:rPr>
          <w:rFonts w:ascii="Century" w:hAnsi="Century" w:cs="Century"/>
          <w:rtl w:val="true"/>
        </w:rPr>
        <w:t xml:space="preserve"> מסעיף העבירה שבו הורשעו המעורבים האחרים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חבלה חמורה בנסיבות מחמירות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מתחם הענישה שנקבע בעניינו היה גבוה מן המתחם שנקבע בעניינם של האחרים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והועמד על </w:t>
      </w:r>
      <w:r>
        <w:rPr>
          <w:rFonts w:cs="Century" w:ascii="Century" w:hAnsi="Century"/>
        </w:rPr>
        <w:t>50-20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גילו הצעיר של מגידיש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שירותו הצבאי ביחידה מובחרת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העדר עבר 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הביאו את בית המשפט המחוזי למקם את עונשו בחלקו התחתון של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ולהשית עליו עונש של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עונשים נלווים כמפורט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בערעורו טוען מגידיש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לא נמנה על הנהגת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פמיליה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היה מעורב באירוע אחד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מגידיש ציין את תרומתו הרבה לקהילה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נסיבותיו האישיות שגם בהן יש כדי להצדיק הקלה בעונשו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ציינה בערעורה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דור כלל לא לקח אחריות על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וניהל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תום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עיון בטענות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 מזה ומזה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ושמיעת טיעוניהם בעל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באתי לכלל מסקנה כי נכון יהיה להחמיר בעונשו של דור מגידיש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ולהעמידו על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להקל ראש בשירותו הצבאי המרשים של דור ובעדויות האופי החיוביות והמרשימות לגביו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 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דור הורשע בעבירה חמורה של חבלה בכוונה מחמירה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קשירת קשר מקדימה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זו עבירה חמורה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ובנסיבות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מחייבת הצבת רף ענישה מחמיר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שיש בו כדי לשקף את מידת הסלידה החברתית ממעשים כגון דא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שהובהר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עבירות המבוצעות בחבורה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הסוחף קהל 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כזה שאינו נמנה בדרך כלל על ציבור מפרי החוק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מצריך ענישה מחמירה ומרתיעה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אינם מבטאים זאת באופן מספק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ואינם משקפים את תוצאותיו החמורות של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ניהול משפטו של מגידיש עד תום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היווה נסיבה להחמרה בעונשו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לצד זאת היה בכך כדי לבטא את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קבלת האחריות מצדו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בנסיבות הענין הייתי מחמיר בעונשו של מגידיש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ומעמידו על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רכיבי העונש שהוטלו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המחוזי יוותרו על כנם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entury" w:hAnsi="Century" w:cs="Century"/>
          <w:sz w:val="16"/>
          <w:szCs w:val="20"/>
        </w:rPr>
      </w:pPr>
      <w:r>
        <w:rPr>
          <w:rFonts w:cs="Century" w:ascii="Century" w:hAnsi="Century"/>
          <w:sz w:val="16"/>
          <w:szCs w:val="20"/>
          <w:rtl w:val="true"/>
        </w:rPr>
      </w:r>
    </w:p>
    <w:p>
      <w:pPr>
        <w:pStyle w:val="Ruller41"/>
        <w:spacing w:lineRule="auto" w:line="240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27.2.2019</w:t>
      </w:r>
      <w:r>
        <w:rPr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Fonts w:eastAsia="Arial TUR;Arial" w:cs="Arial TUR;Arial"/>
                <w:rtl w:val="true"/>
              </w:rPr>
              <w:t xml:space="preserve">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tabs>
                <w:tab w:val="clear" w:pos="720"/>
                <w:tab w:val="left" w:pos="566" w:leader="none"/>
              </w:tabs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18028140</w:t>
      </w:r>
      <w:r>
        <w:rPr>
          <w:sz w:val="16"/>
          <w:rtl w:val="true"/>
        </w:rPr>
        <w:t>_</w:t>
      </w:r>
      <w:r>
        <w:rPr>
          <w:sz w:val="16"/>
        </w:rPr>
        <w:t>O19.docx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  <w:u w:val="single"/>
        </w:rPr>
      </w:pPr>
      <w:r>
        <w:rPr>
          <w:rFonts w:cs="David;Times New Roman" w:ascii="David;Times New Roman" w:hAnsi="David;Times New Roman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54678313-2814/18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61"/>
      <w:footerReference w:type="default" r:id="rId6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2814/18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ניב מנור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;Times New Roman"/>
      <w:szCs w:val="24"/>
    </w:rPr>
  </w:style>
  <w:style w:type="character" w:styleId="CharChar3">
    <w:name w:val=" Char Char3"/>
    <w:qFormat/>
    <w:rPr>
      <w:rFonts w:cs="David;Times New Roman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hebrewquotation1">
    <w:name w:val="hebrewquotation1"/>
    <w:qFormat/>
    <w:rPr>
      <w:rFonts w:cs="David;Times New Roman"/>
      <w:sz w:val="29"/>
      <w:szCs w:val="29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default">
    <w:name w:val="defaul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Normal"/>
    <w:qFormat/>
    <w:pPr>
      <w:overflowPunct w:val="true"/>
      <w:autoSpaceDE w:val="true"/>
      <w:spacing w:lineRule="auto" w:line="360"/>
      <w:jc w:val="both"/>
      <w:textAlignment w:val="auto"/>
    </w:pPr>
    <w:rPr>
      <w:rFonts w:ascii="Garamond" w:hAnsi="Garamond" w:cs="Times New Roman;Times New Roman"/>
      <w:spacing w:val="10"/>
      <w:sz w:val="24"/>
    </w:rPr>
  </w:style>
  <w:style w:type="paragraph" w:styleId="Revision">
    <w:name w:val="Revision"/>
    <w:qFormat/>
    <w:pPr>
      <w:widowControl/>
      <w:bidi w:val="0"/>
    </w:pPr>
    <w:rPr>
      <w:rFonts w:ascii="Calibri" w:hAnsi="Calibri" w:eastAsia="Calibri" w:cs="Arial;Arial"/>
      <w:color w:val="auto"/>
      <w:sz w:val="22"/>
      <w:szCs w:val="22"/>
      <w:lang w:val="en-US" w:bidi="he-IL" w:eastAsia="zh-CN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48096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40g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/335.a.2" TargetMode="External"/><Relationship Id="rId11" Type="http://schemas.openxmlformats.org/officeDocument/2006/relationships/hyperlink" Target="http://www.nevo.co.il/law/70301/381.c" TargetMode="External"/><Relationship Id="rId12" Type="http://schemas.openxmlformats.org/officeDocument/2006/relationships/hyperlink" Target="http://www.nevo.co.il/law/70301/382.a.2" TargetMode="External"/><Relationship Id="rId13" Type="http://schemas.openxmlformats.org/officeDocument/2006/relationships/hyperlink" Target="http://www.nevo.co.il/law/70301/40jc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4083" TargetMode="External"/><Relationship Id="rId16" Type="http://schemas.openxmlformats.org/officeDocument/2006/relationships/hyperlink" Target="http://www.nevo.co.il/law/74466" TargetMode="External"/><Relationship Id="rId17" Type="http://schemas.openxmlformats.org/officeDocument/2006/relationships/hyperlink" Target="http://www.nevo.co.il/safrut/book/28745" TargetMode="External"/><Relationship Id="rId18" Type="http://schemas.openxmlformats.org/officeDocument/2006/relationships/hyperlink" Target="http://www.nevo.co.il/safrut/book/28745" TargetMode="External"/><Relationship Id="rId19" Type="http://schemas.openxmlformats.org/officeDocument/2006/relationships/hyperlink" Target="http://www.nevo.co.il/law/4083" TargetMode="External"/><Relationship Id="rId20" Type="http://schemas.openxmlformats.org/officeDocument/2006/relationships/hyperlink" Target="http://www.nevo.co.il/case/21480969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33" TargetMode="External"/><Relationship Id="rId24" Type="http://schemas.openxmlformats.org/officeDocument/2006/relationships/hyperlink" Target="http://www.nevo.co.il/law/70301/335.a.1" TargetMode="External"/><Relationship Id="rId25" Type="http://schemas.openxmlformats.org/officeDocument/2006/relationships/hyperlink" Target="http://www.nevo.co.il/law/70301/335.a.2" TargetMode="External"/><Relationship Id="rId26" Type="http://schemas.openxmlformats.org/officeDocument/2006/relationships/hyperlink" Target="http://www.nevo.co.il/law/70301/329.a.2" TargetMode="External"/><Relationship Id="rId27" Type="http://schemas.openxmlformats.org/officeDocument/2006/relationships/hyperlink" Target="http://www.nevo.co.il/law/70301/25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/381.c" TargetMode="External"/><Relationship Id="rId30" Type="http://schemas.openxmlformats.org/officeDocument/2006/relationships/hyperlink" Target="http://www.nevo.co.il/law/70301/382.a.2" TargetMode="External"/><Relationship Id="rId31" Type="http://schemas.openxmlformats.org/officeDocument/2006/relationships/hyperlink" Target="http://www.nevo.co.il/law/70301/333" TargetMode="External"/><Relationship Id="rId32" Type="http://schemas.openxmlformats.org/officeDocument/2006/relationships/hyperlink" Target="http://www.nevo.co.il/law/70301/335.a.1" TargetMode="External"/><Relationship Id="rId33" Type="http://schemas.openxmlformats.org/officeDocument/2006/relationships/hyperlink" Target="http://www.nevo.co.il/law/70301/335.a.2" TargetMode="External"/><Relationship Id="rId34" Type="http://schemas.openxmlformats.org/officeDocument/2006/relationships/hyperlink" Target="http://www.nevo.co.il/law/70301/381.c" TargetMode="External"/><Relationship Id="rId35" Type="http://schemas.openxmlformats.org/officeDocument/2006/relationships/hyperlink" Target="http://www.nevo.co.il/law/70301/382.a.2" TargetMode="External"/><Relationship Id="rId36" Type="http://schemas.openxmlformats.org/officeDocument/2006/relationships/hyperlink" Target="http://www.nevo.co.il/law/70301/499.a.1" TargetMode="External"/><Relationship Id="rId37" Type="http://schemas.openxmlformats.org/officeDocument/2006/relationships/hyperlink" Target="http://www.nevo.co.il/law/70301/329.a.1" TargetMode="External"/><Relationship Id="rId38" Type="http://schemas.openxmlformats.org/officeDocument/2006/relationships/hyperlink" Target="http://www.nevo.co.il/law/70301/40g" TargetMode="External"/><Relationship Id="rId39" Type="http://schemas.openxmlformats.org/officeDocument/2006/relationships/hyperlink" Target="http://www.nevo.co.il/case/6243627" TargetMode="External"/><Relationship Id="rId40" Type="http://schemas.openxmlformats.org/officeDocument/2006/relationships/hyperlink" Target="" TargetMode="External"/><Relationship Id="rId41" Type="http://schemas.openxmlformats.org/officeDocument/2006/relationships/hyperlink" Target="" TargetMode="External"/><Relationship Id="rId42" Type="http://schemas.openxmlformats.org/officeDocument/2006/relationships/hyperlink" Target="http://www.nevo.co.il/law/70301/40g" TargetMode="External"/><Relationship Id="rId43" Type="http://schemas.openxmlformats.org/officeDocument/2006/relationships/hyperlink" Target="http://www.nevo.co.il/case/5573417" TargetMode="External"/><Relationship Id="rId44" Type="http://schemas.openxmlformats.org/officeDocument/2006/relationships/hyperlink" Target="http://www.nevo.co.il/case/21055809" TargetMode="External"/><Relationship Id="rId45" Type="http://schemas.openxmlformats.org/officeDocument/2006/relationships/hyperlink" Target="http://www.nevo.co.il/law/4083" TargetMode="External"/><Relationship Id="rId46" Type="http://schemas.openxmlformats.org/officeDocument/2006/relationships/hyperlink" Target="http://www.nevo.co.il/law/74466" TargetMode="External"/><Relationship Id="rId47" Type="http://schemas.openxmlformats.org/officeDocument/2006/relationships/hyperlink" Target="http://www.nevo.co.il/law/4083" TargetMode="External"/><Relationship Id="rId48" Type="http://schemas.openxmlformats.org/officeDocument/2006/relationships/hyperlink" Target="http://www.nevo.co.il/case/5592168" TargetMode="External"/><Relationship Id="rId49" Type="http://schemas.openxmlformats.org/officeDocument/2006/relationships/hyperlink" Target="http://www.nevo.co.il/law/4083" TargetMode="External"/><Relationship Id="rId50" Type="http://schemas.openxmlformats.org/officeDocument/2006/relationships/hyperlink" Target="http://www.nevo.co.il/case/11273152" TargetMode="External"/><Relationship Id="rId51" Type="http://schemas.openxmlformats.org/officeDocument/2006/relationships/hyperlink" Target="javascript:open_window(%22http://aleph.nli.org.il:80/F/FYVEAAL645QTFQNPVNFMCBUVKESKHVLALE62XU54EVFJ25THEU-03792?func=service&amp;doc_number=000411845&amp;line_number=0019&amp;service_type=TAG%22);" TargetMode="External"/><Relationship Id="rId52" Type="http://schemas.openxmlformats.org/officeDocument/2006/relationships/hyperlink" Target="http://www.nevo.co.il/case/13093721" TargetMode="External"/><Relationship Id="rId53" Type="http://schemas.openxmlformats.org/officeDocument/2006/relationships/hyperlink" Target="http://www.nevo.co.il/safrut/book/28745" TargetMode="External"/><Relationship Id="rId54" Type="http://schemas.openxmlformats.org/officeDocument/2006/relationships/hyperlink" Target="http://www.nevo.co.il/law/70301/40jc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6245959" TargetMode="External"/><Relationship Id="rId57" Type="http://schemas.openxmlformats.org/officeDocument/2006/relationships/hyperlink" Target="http://www.nevo.co.il/case/24285475" TargetMode="External"/><Relationship Id="rId58" Type="http://schemas.openxmlformats.org/officeDocument/2006/relationships/hyperlink" Target="http://www.nevo.co.il/case/20033641" TargetMode="External"/><Relationship Id="rId59" Type="http://schemas.openxmlformats.org/officeDocument/2006/relationships/hyperlink" Target="http://supreme.court.gov.il/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2019-02-27T13:07:00Z</dcterms:created>
  <dc:creator>h3</dc:creator>
  <dc:description/>
  <cp:keywords/>
  <dc:language>en-IL</dc:language>
  <cp:lastModifiedBy>orly</cp:lastModifiedBy>
  <cp:lastPrinted>2019-02-27T10:19:00Z</cp:lastPrinted>
  <dcterms:modified xsi:type="dcterms:W3CDTF">2019-02-28T09:43:00Z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ניב מנור;רן יצחקי;אביתר יוסף;דניאל אלישייב;גדי יחיאלוב;דור מגידיש</vt:lpwstr>
  </property>
  <property fmtid="{D5CDD505-2E9C-101B-9397-08002B2CF9AE}" pid="3" name="APPELLEE">
    <vt:lpwstr>מדינת ישראל</vt:lpwstr>
  </property>
  <property fmtid="{D5CDD505-2E9C-101B-9397-08002B2CF9AE}" pid="4" name="BOOKLISTTMP1">
    <vt:lpwstr>28745</vt:lpwstr>
  </property>
  <property fmtid="{D5CDD505-2E9C-101B-9397-08002B2CF9AE}" pid="5" name="CASESLISTTMP1">
    <vt:lpwstr>21480969:2;6243627;5573417;21055809;5592168;11273152;13093721;6245959;24285475;20033641</vt:lpwstr>
  </property>
  <property fmtid="{D5CDD505-2E9C-101B-9397-08002B2CF9AE}" pid="6" name="DATE">
    <vt:lpwstr>20190227</vt:lpwstr>
  </property>
  <property fmtid="{D5CDD505-2E9C-101B-9397-08002B2CF9AE}" pid="7" name="ISABSTRACT">
    <vt:lpwstr>Y</vt:lpwstr>
  </property>
  <property fmtid="{D5CDD505-2E9C-101B-9397-08002B2CF9AE}" pid="8" name="JUDGE">
    <vt:lpwstr>נ' סולברג;ג' קרא;א' שטיין</vt:lpwstr>
  </property>
  <property fmtid="{D5CDD505-2E9C-101B-9397-08002B2CF9AE}" pid="9" name="LAWLISTTMP1">
    <vt:lpwstr>70301/499.a.1:3;333:2;335.a.1:2;335.a.2:2;329.a.2;025;381.c:2;382.a.2:2;329.a.1;040g:2;40jc</vt:lpwstr>
  </property>
  <property fmtid="{D5CDD505-2E9C-101B-9397-08002B2CF9AE}" pid="10" name="LAWLISTTMP2">
    <vt:lpwstr>4083:3</vt:lpwstr>
  </property>
  <property fmtid="{D5CDD505-2E9C-101B-9397-08002B2CF9AE}" pid="11" name="LAWLISTTMP3">
    <vt:lpwstr>74466</vt:lpwstr>
  </property>
  <property fmtid="{D5CDD505-2E9C-101B-9397-08002B2CF9AE}" pid="12" name="LAWYER">
    <vt:lpwstr>עדי כרמלי;יהודה שמעוני;שי שורר;איתי כהן;משה אורן;רותם כהן;זוהר ארבל;דנה אוחנה;תמר בורנשטיין;קרן רוט</vt:lpwstr>
  </property>
  <property fmtid="{D5CDD505-2E9C-101B-9397-08002B2CF9AE}" pid="13" name="METAKZER">
    <vt:lpwstr>נעה</vt:lpwstr>
  </property>
  <property fmtid="{D5CDD505-2E9C-101B-9397-08002B2CF9AE}" pid="14" name="NOSE11">
    <vt:lpwstr>עונשין</vt:lpwstr>
  </property>
  <property fmtid="{D5CDD505-2E9C-101B-9397-08002B2CF9AE}" pid="15" name="NOSE110">
    <vt:lpwstr/>
  </property>
  <property fmtid="{D5CDD505-2E9C-101B-9397-08002B2CF9AE}" pid="16" name="NOSE12">
    <vt:lpwstr>עונשין</vt:lpwstr>
  </property>
  <property fmtid="{D5CDD505-2E9C-101B-9397-08002B2CF9AE}" pid="17" name="NOSE13">
    <vt:lpwstr>עונשין</vt:lpwstr>
  </property>
  <property fmtid="{D5CDD505-2E9C-101B-9397-08002B2CF9AE}" pid="18" name="NOSE14">
    <vt:lpwstr/>
  </property>
  <property fmtid="{D5CDD505-2E9C-101B-9397-08002B2CF9AE}" pid="19" name="NOSE15">
    <vt:lpwstr/>
  </property>
  <property fmtid="{D5CDD505-2E9C-101B-9397-08002B2CF9AE}" pid="20" name="NOSE16">
    <vt:lpwstr/>
  </property>
  <property fmtid="{D5CDD505-2E9C-101B-9397-08002B2CF9AE}" pid="21" name="NOSE17">
    <vt:lpwstr/>
  </property>
  <property fmtid="{D5CDD505-2E9C-101B-9397-08002B2CF9AE}" pid="22" name="NOSE18">
    <vt:lpwstr/>
  </property>
  <property fmtid="{D5CDD505-2E9C-101B-9397-08002B2CF9AE}" pid="23" name="NOSE19">
    <vt:lpwstr/>
  </property>
  <property fmtid="{D5CDD505-2E9C-101B-9397-08002B2CF9AE}" pid="24" name="NOSE1ID">
    <vt:lpwstr>77;77;77</vt:lpwstr>
  </property>
  <property fmtid="{D5CDD505-2E9C-101B-9397-08002B2CF9AE}" pid="25" name="NOSE21">
    <vt:lpwstr>ענישה</vt:lpwstr>
  </property>
  <property fmtid="{D5CDD505-2E9C-101B-9397-08002B2CF9AE}" pid="26" name="NOSE210">
    <vt:lpwstr/>
  </property>
  <property fmtid="{D5CDD505-2E9C-101B-9397-08002B2CF9AE}" pid="27" name="NOSE22">
    <vt:lpwstr>ענישה</vt:lpwstr>
  </property>
  <property fmtid="{D5CDD505-2E9C-101B-9397-08002B2CF9AE}" pid="28" name="NOSE23">
    <vt:lpwstr>ענישה</vt:lpwstr>
  </property>
  <property fmtid="{D5CDD505-2E9C-101B-9397-08002B2CF9AE}" pid="29" name="NOSE24">
    <vt:lpwstr/>
  </property>
  <property fmtid="{D5CDD505-2E9C-101B-9397-08002B2CF9AE}" pid="30" name="NOSE25">
    <vt:lpwstr/>
  </property>
  <property fmtid="{D5CDD505-2E9C-101B-9397-08002B2CF9AE}" pid="31" name="NOSE26">
    <vt:lpwstr/>
  </property>
  <property fmtid="{D5CDD505-2E9C-101B-9397-08002B2CF9AE}" pid="32" name="NOSE27">
    <vt:lpwstr/>
  </property>
  <property fmtid="{D5CDD505-2E9C-101B-9397-08002B2CF9AE}" pid="33" name="NOSE28">
    <vt:lpwstr/>
  </property>
  <property fmtid="{D5CDD505-2E9C-101B-9397-08002B2CF9AE}" pid="34" name="NOSE29">
    <vt:lpwstr/>
  </property>
  <property fmtid="{D5CDD505-2E9C-101B-9397-08002B2CF9AE}" pid="35" name="NOSE2ID">
    <vt:lpwstr>1446;1446;1446</vt:lpwstr>
  </property>
  <property fmtid="{D5CDD505-2E9C-101B-9397-08002B2CF9AE}" pid="36" name="NOSE31">
    <vt:lpwstr>מדיניות ענישה: עבירות אלימות על רקע אידיאולוגי</vt:lpwstr>
  </property>
  <property fmtid="{D5CDD505-2E9C-101B-9397-08002B2CF9AE}" pid="37" name="NOSE310">
    <vt:lpwstr/>
  </property>
  <property fmtid="{D5CDD505-2E9C-101B-9397-08002B2CF9AE}" pid="38" name="NOSE32">
    <vt:lpwstr>מדיניות ענישה: התערבות ערכאת ערעור</vt:lpwstr>
  </property>
  <property fmtid="{D5CDD505-2E9C-101B-9397-08002B2CF9AE}" pid="39" name="NOSE33">
    <vt:lpwstr>מדיניות ענישה: שיקולים לחומרה</vt:lpwstr>
  </property>
  <property fmtid="{D5CDD505-2E9C-101B-9397-08002B2CF9AE}" pid="40" name="NOSE34">
    <vt:lpwstr/>
  </property>
  <property fmtid="{D5CDD505-2E9C-101B-9397-08002B2CF9AE}" pid="41" name="NOSE35">
    <vt:lpwstr/>
  </property>
  <property fmtid="{D5CDD505-2E9C-101B-9397-08002B2CF9AE}" pid="42" name="NOSE36">
    <vt:lpwstr/>
  </property>
  <property fmtid="{D5CDD505-2E9C-101B-9397-08002B2CF9AE}" pid="43" name="NOSE37">
    <vt:lpwstr/>
  </property>
  <property fmtid="{D5CDD505-2E9C-101B-9397-08002B2CF9AE}" pid="44" name="NOSE38">
    <vt:lpwstr/>
  </property>
  <property fmtid="{D5CDD505-2E9C-101B-9397-08002B2CF9AE}" pid="45" name="NOSE39">
    <vt:lpwstr/>
  </property>
  <property fmtid="{D5CDD505-2E9C-101B-9397-08002B2CF9AE}" pid="46" name="NOSE3ID">
    <vt:lpwstr>17645;8982;8995</vt:lpwstr>
  </property>
  <property fmtid="{D5CDD505-2E9C-101B-9397-08002B2CF9AE}" pid="47" name="PADIDATE">
    <vt:lpwstr>20190228</vt:lpwstr>
  </property>
  <property fmtid="{D5CDD505-2E9C-101B-9397-08002B2CF9AE}" pid="48" name="PADIMAIL">
    <vt:lpwstr>YES</vt:lpwstr>
  </property>
  <property fmtid="{D5CDD505-2E9C-101B-9397-08002B2CF9AE}" pid="49" name="PROCESS">
    <vt:lpwstr>עפ;עפ;עפ;עפ;עפ;עפ;עפ</vt:lpwstr>
  </property>
  <property fmtid="{D5CDD505-2E9C-101B-9397-08002B2CF9AE}" pid="50" name="PROCNUM">
    <vt:lpwstr>2814;2827;2846;2849;2850;2917;2921</vt:lpwstr>
  </property>
  <property fmtid="{D5CDD505-2E9C-101B-9397-08002B2CF9AE}" pid="51" name="PROCYEAR">
    <vt:lpwstr>18;18;18;18;18;18;18</vt:lpwstr>
  </property>
  <property fmtid="{D5CDD505-2E9C-101B-9397-08002B2CF9AE}" pid="52" name="PSAKDIN">
    <vt:lpwstr>פסק-דין</vt:lpwstr>
  </property>
  <property fmtid="{D5CDD505-2E9C-101B-9397-08002B2CF9AE}" pid="53" name="TYPE">
    <vt:lpwstr>1</vt:lpwstr>
  </property>
  <property fmtid="{D5CDD505-2E9C-101B-9397-08002B2CF9AE}" pid="54" name="TYPE_ABS_DATE">
    <vt:lpwstr>410120190227</vt:lpwstr>
  </property>
  <property fmtid="{D5CDD505-2E9C-101B-9397-08002B2CF9AE}" pid="55" name="TYPE_N_DATE">
    <vt:lpwstr>41020190227</vt:lpwstr>
  </property>
  <property fmtid="{D5CDD505-2E9C-101B-9397-08002B2CF9AE}" pid="56" name="WORDNUMPAGES">
    <vt:lpwstr>25</vt:lpwstr>
  </property>
</Properties>
</file>