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  <w:sz w:val="6"/>
          <w:szCs w:val="10"/>
        </w:rPr>
      </w:pPr>
      <w:r>
        <w:rPr>
          <w:rFonts w:cs="Miriam"/>
          <w:b/>
          <w:bCs/>
          <w:sz w:val="6"/>
          <w:szCs w:val="10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2858/23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napToGrid w:val="false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01"/>
        <w:gridCol w:w="4963"/>
      </w:tblGrid>
      <w:tr>
        <w:trPr>
          <w:trHeight w:val="287" w:hRule="atLeast"/>
        </w:trPr>
        <w:tc>
          <w:tcPr>
            <w:tcW w:w="3401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496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40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496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כבוב</w:t>
            </w:r>
          </w:p>
        </w:tc>
      </w:tr>
      <w:tr>
        <w:trPr>
          <w:trHeight w:val="287" w:hRule="atLeast"/>
        </w:trPr>
        <w:tc>
          <w:tcPr>
            <w:tcW w:w="340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496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רונן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1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346"/>
        <w:gridCol w:w="4966"/>
      </w:tblGrid>
      <w:tr>
        <w:trPr/>
        <w:tc>
          <w:tcPr>
            <w:tcW w:w="3346" w:type="dxa"/>
            <w:tcBorders/>
          </w:tcPr>
          <w:p>
            <w:pPr>
              <w:pStyle w:val="Normal"/>
              <w:tabs>
                <w:tab w:val="clear" w:pos="720"/>
                <w:tab w:val="left" w:pos="2552" w:leader="none"/>
              </w:tabs>
              <w:ind w:end="0"/>
              <w:jc w:val="start"/>
              <w:rPr>
                <w:sz w:val="28"/>
                <w:szCs w:val="28"/>
              </w:rPr>
            </w:pPr>
            <w:bookmarkStart w:id="3" w:name="FirstAppellant"/>
            <w:bookmarkEnd w:id="3"/>
            <w:r>
              <w:rPr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sz w:val="28"/>
                <w:szCs w:val="28"/>
                <w:rtl w:val="true"/>
              </w:rPr>
              <w:t>:</w:t>
            </w:r>
          </w:p>
        </w:tc>
        <w:tc>
          <w:tcPr>
            <w:tcW w:w="4966" w:type="dxa"/>
            <w:tcBorders/>
          </w:tcPr>
          <w:p>
            <w:pPr>
              <w:pStyle w:val="Normal"/>
              <w:tabs>
                <w:tab w:val="clear" w:pos="720"/>
                <w:tab w:val="left" w:pos="2552" w:leader="none"/>
              </w:tabs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שרון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שיר</w:t>
            </w:r>
          </w:p>
        </w:tc>
      </w:tr>
    </w:tbl>
    <w:p>
      <w:pPr>
        <w:pStyle w:val="Normal"/>
        <w:tabs>
          <w:tab w:val="clear" w:pos="720"/>
          <w:tab w:val="left" w:pos="1539" w:leader="none"/>
        </w:tabs>
        <w:ind w:end="0"/>
        <w:jc w:val="start"/>
        <w:rPr>
          <w:sz w:val="12"/>
          <w:szCs w:val="12"/>
        </w:rPr>
      </w:pPr>
      <w:r>
        <w:rPr>
          <w:sz w:val="28"/>
          <w:szCs w:val="28"/>
          <w:rtl w:val="true"/>
        </w:rPr>
        <w:tab/>
      </w:r>
    </w:p>
    <w:p>
      <w:pPr>
        <w:pStyle w:val="ruller311"/>
        <w:ind w:firstLine="720" w:start="2880" w:end="0"/>
        <w:jc w:val="star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נ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ג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ד</w:t>
      </w:r>
    </w:p>
    <w:p>
      <w:pPr>
        <w:pStyle w:val="Normal"/>
        <w:tabs>
          <w:tab w:val="clear" w:pos="720"/>
          <w:tab w:val="left" w:pos="1539" w:leader="none"/>
        </w:tabs>
        <w:ind w:end="0"/>
        <w:jc w:val="start"/>
        <w:rPr>
          <w:sz w:val="10"/>
          <w:szCs w:val="10"/>
        </w:rPr>
      </w:pPr>
      <w:r>
        <w:rPr>
          <w:sz w:val="10"/>
          <w:szCs w:val="10"/>
          <w:rtl w:val="true"/>
        </w:rPr>
      </w:r>
    </w:p>
    <w:tbl>
      <w:tblPr>
        <w:bidiVisual w:val="true"/>
        <w:tblW w:w="831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346"/>
        <w:gridCol w:w="4966"/>
      </w:tblGrid>
      <w:tr>
        <w:trPr/>
        <w:tc>
          <w:tcPr>
            <w:tcW w:w="3346" w:type="dxa"/>
            <w:tcBorders/>
          </w:tcPr>
          <w:p>
            <w:pPr>
              <w:pStyle w:val="Normal"/>
              <w:tabs>
                <w:tab w:val="clear" w:pos="720"/>
                <w:tab w:val="left" w:pos="2552" w:leader="none"/>
              </w:tabs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המשיב</w:t>
            </w:r>
            <w:r>
              <w:rPr>
                <w:sz w:val="28"/>
                <w:sz w:val="28"/>
                <w:szCs w:val="28"/>
                <w:rtl w:val="true"/>
              </w:rPr>
              <w:t>ים</w:t>
            </w:r>
            <w:r>
              <w:rPr>
                <w:sz w:val="28"/>
                <w:szCs w:val="28"/>
                <w:rtl w:val="true"/>
              </w:rPr>
              <w:t xml:space="preserve">: </w:t>
            </w:r>
          </w:p>
        </w:tc>
        <w:tc>
          <w:tcPr>
            <w:tcW w:w="4966" w:type="dxa"/>
            <w:tcBorders/>
          </w:tcPr>
          <w:p>
            <w:pPr>
              <w:pStyle w:val="Normal"/>
              <w:tabs>
                <w:tab w:val="clear" w:pos="720"/>
                <w:tab w:val="left" w:pos="2552" w:leader="none"/>
              </w:tabs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rtl w:val="true"/>
              </w:rPr>
              <w:t xml:space="preserve">. </w:t>
            </w:r>
            <w:r>
              <w:rPr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ישראל</w:t>
            </w:r>
          </w:p>
        </w:tc>
      </w:tr>
      <w:tr>
        <w:trPr/>
        <w:tc>
          <w:tcPr>
            <w:tcW w:w="3346" w:type="dxa"/>
            <w:tcBorders/>
          </w:tcPr>
          <w:p>
            <w:pPr>
              <w:pStyle w:val="Normal"/>
              <w:tabs>
                <w:tab w:val="clear" w:pos="720"/>
                <w:tab w:val="left" w:pos="2552" w:leader="none"/>
              </w:tabs>
              <w:snapToGrid w:val="false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4966" w:type="dxa"/>
            <w:tcBorders/>
          </w:tcPr>
          <w:p>
            <w:pPr>
              <w:pStyle w:val="Normal"/>
              <w:tabs>
                <w:tab w:val="clear" w:pos="720"/>
                <w:tab w:val="left" w:pos="2552" w:leader="none"/>
              </w:tabs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rtl w:val="true"/>
              </w:rPr>
              <w:t xml:space="preserve">. </w:t>
            </w:r>
            <w:r>
              <w:rPr>
                <w:sz w:val="28"/>
                <w:sz w:val="28"/>
                <w:szCs w:val="28"/>
                <w:rtl w:val="true"/>
              </w:rPr>
              <w:t>פרג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סוב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לבן</w:t>
            </w:r>
          </w:p>
        </w:tc>
      </w:tr>
      <w:tr>
        <w:trPr/>
        <w:tc>
          <w:tcPr>
            <w:tcW w:w="3346" w:type="dxa"/>
            <w:tcBorders/>
          </w:tcPr>
          <w:p>
            <w:pPr>
              <w:pStyle w:val="Normal"/>
              <w:tabs>
                <w:tab w:val="clear" w:pos="720"/>
                <w:tab w:val="left" w:pos="2552" w:leader="none"/>
              </w:tabs>
              <w:snapToGrid w:val="false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4966" w:type="dxa"/>
            <w:tcBorders/>
          </w:tcPr>
          <w:p>
            <w:pPr>
              <w:pStyle w:val="Normal"/>
              <w:tabs>
                <w:tab w:val="clear" w:pos="720"/>
                <w:tab w:val="left" w:pos="2552" w:leader="none"/>
              </w:tabs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rtl w:val="true"/>
              </w:rPr>
              <w:t xml:space="preserve">. </w:t>
            </w:r>
            <w:r>
              <w:rPr>
                <w:sz w:val="28"/>
                <w:sz w:val="28"/>
                <w:szCs w:val="28"/>
                <w:rtl w:val="true"/>
              </w:rPr>
              <w:t>מחמד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אמין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שלאלדה</w:t>
            </w:r>
          </w:p>
        </w:tc>
      </w:tr>
      <w:tr>
        <w:trPr/>
        <w:tc>
          <w:tcPr>
            <w:tcW w:w="3346" w:type="dxa"/>
            <w:tcBorders/>
          </w:tcPr>
          <w:p>
            <w:pPr>
              <w:pStyle w:val="Normal"/>
              <w:tabs>
                <w:tab w:val="clear" w:pos="720"/>
                <w:tab w:val="left" w:pos="2552" w:leader="none"/>
              </w:tabs>
              <w:snapToGrid w:val="false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4966" w:type="dxa"/>
            <w:tcBorders/>
          </w:tcPr>
          <w:p>
            <w:pPr>
              <w:pStyle w:val="Normal"/>
              <w:tabs>
                <w:tab w:val="clear" w:pos="720"/>
                <w:tab w:val="left" w:pos="2552" w:leader="none"/>
              </w:tabs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rtl w:val="true"/>
              </w:rPr>
              <w:t xml:space="preserve">. </w:t>
            </w:r>
            <w:r>
              <w:rPr>
                <w:sz w:val="28"/>
                <w:sz w:val="28"/>
                <w:szCs w:val="28"/>
                <w:rtl w:val="true"/>
              </w:rPr>
              <w:t>אחמד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ווזוז</w:t>
            </w:r>
          </w:p>
        </w:tc>
      </w:tr>
      <w:tr>
        <w:trPr/>
        <w:tc>
          <w:tcPr>
            <w:tcW w:w="3346" w:type="dxa"/>
            <w:tcBorders/>
          </w:tcPr>
          <w:p>
            <w:pPr>
              <w:pStyle w:val="Normal"/>
              <w:tabs>
                <w:tab w:val="clear" w:pos="720"/>
                <w:tab w:val="left" w:pos="2552" w:leader="none"/>
              </w:tabs>
              <w:snapToGrid w:val="false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4966" w:type="dxa"/>
            <w:tcBorders/>
          </w:tcPr>
          <w:p>
            <w:pPr>
              <w:pStyle w:val="Normal"/>
              <w:tabs>
                <w:tab w:val="clear" w:pos="720"/>
                <w:tab w:val="left" w:pos="2552" w:leader="none"/>
              </w:tabs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rtl w:val="true"/>
              </w:rPr>
              <w:t xml:space="preserve">. </w:t>
            </w:r>
            <w:r>
              <w:rPr>
                <w:sz w:val="28"/>
                <w:sz w:val="28"/>
                <w:szCs w:val="28"/>
                <w:rtl w:val="true"/>
              </w:rPr>
              <w:t>עבד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אלקאדר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מאדי</w:t>
            </w:r>
          </w:p>
        </w:tc>
      </w:tr>
      <w:tr>
        <w:trPr/>
        <w:tc>
          <w:tcPr>
            <w:tcW w:w="3346" w:type="dxa"/>
            <w:tcBorders/>
          </w:tcPr>
          <w:p>
            <w:pPr>
              <w:pStyle w:val="Normal"/>
              <w:tabs>
                <w:tab w:val="clear" w:pos="720"/>
                <w:tab w:val="left" w:pos="2552" w:leader="none"/>
              </w:tabs>
              <w:snapToGrid w:val="false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4966" w:type="dxa"/>
            <w:tcBorders/>
          </w:tcPr>
          <w:p>
            <w:pPr>
              <w:pStyle w:val="Normal"/>
              <w:tabs>
                <w:tab w:val="clear" w:pos="720"/>
                <w:tab w:val="left" w:pos="2552" w:leader="none"/>
              </w:tabs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rtl w:val="true"/>
              </w:rPr>
              <w:t xml:space="preserve">. </w:t>
            </w:r>
            <w:r>
              <w:rPr>
                <w:sz w:val="28"/>
                <w:sz w:val="28"/>
                <w:szCs w:val="28"/>
                <w:rtl w:val="true"/>
              </w:rPr>
              <w:t>אמג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עפאנה</w:t>
            </w:r>
          </w:p>
        </w:tc>
      </w:tr>
      <w:tr>
        <w:trPr/>
        <w:tc>
          <w:tcPr>
            <w:tcW w:w="3346" w:type="dxa"/>
            <w:tcBorders/>
          </w:tcPr>
          <w:p>
            <w:pPr>
              <w:pStyle w:val="Normal"/>
              <w:tabs>
                <w:tab w:val="clear" w:pos="720"/>
                <w:tab w:val="left" w:pos="2552" w:leader="none"/>
              </w:tabs>
              <w:snapToGrid w:val="false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4966" w:type="dxa"/>
            <w:tcBorders/>
          </w:tcPr>
          <w:p>
            <w:pPr>
              <w:pStyle w:val="Normal"/>
              <w:tabs>
                <w:tab w:val="clear" w:pos="720"/>
                <w:tab w:val="left" w:pos="2552" w:leader="none"/>
              </w:tabs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rtl w:val="true"/>
              </w:rPr>
              <w:t xml:space="preserve">. </w:t>
            </w:r>
            <w:r>
              <w:rPr>
                <w:sz w:val="28"/>
                <w:sz w:val="28"/>
                <w:szCs w:val="28"/>
                <w:rtl w:val="true"/>
              </w:rPr>
              <w:t>נאאל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דיאב</w:t>
            </w:r>
          </w:p>
        </w:tc>
      </w:tr>
    </w:tbl>
    <w:p>
      <w:pPr>
        <w:pStyle w:val="Heading1"/>
        <w:ind w:hanging="0" w:start="0" w:end="0"/>
        <w:jc w:val="start"/>
        <w:rPr>
          <w:rFonts w:cs="David"/>
          <w:sz w:val="2"/>
          <w:szCs w:val="2"/>
        </w:rPr>
      </w:pPr>
      <w:r>
        <w:rPr>
          <w:rFonts w:cs="David"/>
          <w:sz w:val="2"/>
          <w:szCs w:val="2"/>
          <w:rtl w:val="true"/>
        </w:rPr>
      </w:r>
    </w:p>
    <w:tbl>
      <w:tblPr>
        <w:bidiVisual w:val="true"/>
        <w:tblW w:w="8285" w:type="dxa"/>
        <w:jc w:val="start"/>
        <w:tblInd w:w="108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326"/>
        <w:gridCol w:w="4959"/>
      </w:tblGrid>
      <w:tr>
        <w:trPr>
          <w:trHeight w:val="261" w:hRule="atLeast"/>
        </w:trPr>
        <w:tc>
          <w:tcPr>
            <w:tcW w:w="3326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4959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tabs>
                <w:tab w:val="clear" w:pos="720"/>
                <w:tab w:val="left" w:pos="2552" w:leader="none"/>
              </w:tabs>
              <w:ind w:end="0"/>
              <w:jc w:val="start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בירושלים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</w:p>
          <w:p>
            <w:pPr>
              <w:pStyle w:val="Normal"/>
              <w:tabs>
                <w:tab w:val="clear" w:pos="720"/>
                <w:tab w:val="left" w:pos="2552" w:leader="none"/>
              </w:tabs>
              <w:ind w:end="0"/>
              <w:jc w:val="start"/>
              <w:rPr>
                <w:sz w:val="24"/>
              </w:rPr>
            </w:pPr>
            <w:r>
              <w:rPr>
                <w:sz w:val="24"/>
                <w:rtl w:val="true"/>
              </w:rPr>
              <w:t>(</w:t>
            </w:r>
            <w:r>
              <w:rPr>
                <w:sz w:val="24"/>
                <w:sz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 w:val="22"/>
                <w:sz w:val="22"/>
                <w:szCs w:val="22"/>
                <w:rtl w:val="true"/>
              </w:rPr>
              <w:t>ת</w:t>
            </w:r>
            <w:r>
              <w:rPr>
                <w:rFonts w:cs="Miriam" w:ascii="Century" w:hAnsi="Century"/>
                <w:b/>
                <w:sz w:val="22"/>
                <w:szCs w:val="22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 w:val="22"/>
                <w:sz w:val="22"/>
                <w:szCs w:val="22"/>
                <w:rtl w:val="true"/>
              </w:rPr>
              <w:t>בר</w:t>
            </w:r>
            <w:r>
              <w:rPr>
                <w:rFonts w:cs="Miriam" w:ascii="Century" w:hAnsi="Century"/>
                <w:b/>
                <w:sz w:val="22"/>
                <w:szCs w:val="22"/>
                <w:rtl w:val="true"/>
              </w:rPr>
              <w:t>-</w:t>
            </w:r>
            <w:r>
              <w:rPr>
                <w:rFonts w:ascii="Century" w:hAnsi="Century" w:cs="Miriam"/>
                <w:b/>
                <w:b/>
                <w:sz w:val="22"/>
                <w:sz w:val="22"/>
                <w:szCs w:val="22"/>
                <w:rtl w:val="true"/>
              </w:rPr>
              <w:t>אשר</w:t>
            </w:r>
            <w:r>
              <w:rPr>
                <w:sz w:val="24"/>
                <w:rtl w:val="true"/>
              </w:rPr>
              <w:t xml:space="preserve">) </w:t>
            </w:r>
            <w:r>
              <w:rPr>
                <w:sz w:val="24"/>
                <w:rtl w:val="true"/>
              </w:rPr>
              <w:t>[</w:t>
            </w:r>
            <w:r>
              <w:rPr>
                <w:sz w:val="24"/>
                <w:sz w:val="24"/>
                <w:rtl w:val="true"/>
              </w:rPr>
              <w:t>פורסם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בנבו</w:t>
            </w:r>
            <w:r>
              <w:rPr>
                <w:sz w:val="24"/>
                <w:rtl w:val="true"/>
              </w:rPr>
              <w:t>]</w:t>
            </w:r>
            <w:r>
              <w:rPr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</w:rPr>
              <w:t>6.3.2023</w:t>
            </w:r>
            <w:r>
              <w:rPr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</w:t>
            </w:r>
            <w:r>
              <w:rPr>
                <w:sz w:val="24"/>
                <w:rtl w:val="true"/>
              </w:rPr>
              <w:t>-</w:t>
            </w:r>
            <w:r>
              <w:rPr>
                <w:sz w:val="24"/>
                <w:sz w:val="24"/>
                <w:rtl w:val="true"/>
              </w:rPr>
              <w:t>ת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hyperlink r:id="rId2">
              <w:r>
                <w:rPr>
                  <w:rStyle w:val="Hyperlink"/>
                  <w:sz w:val="24"/>
                </w:rPr>
                <w:t>67113-02-20</w:t>
              </w:r>
            </w:hyperlink>
          </w:p>
        </w:tc>
      </w:tr>
      <w:tr>
        <w:trPr/>
        <w:tc>
          <w:tcPr>
            <w:tcW w:w="3326" w:type="dxa"/>
            <w:tcBorders/>
            <w:tcMar>
              <w:start w:w="108" w:type="dxa"/>
              <w:end w:w="108" w:type="dxa"/>
            </w:tcMar>
          </w:tcPr>
          <w:p>
            <w:pPr>
              <w:pStyle w:val="ruller311"/>
              <w:snapToGrid w:val="false"/>
              <w:ind w:end="0"/>
              <w:jc w:val="star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true"/>
              </w:rPr>
            </w:r>
          </w:p>
        </w:tc>
        <w:tc>
          <w:tcPr>
            <w:tcW w:w="4959" w:type="dxa"/>
            <w:tcBorders/>
            <w:tcMar>
              <w:start w:w="108" w:type="dxa"/>
              <w:end w:w="108" w:type="dxa"/>
            </w:tcMar>
          </w:tcPr>
          <w:p>
            <w:pPr>
              <w:pStyle w:val="precasestyle"/>
              <w:snapToGrid w:val="false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326" w:type="dxa"/>
            <w:tcBorders/>
            <w:tcMar>
              <w:start w:w="108" w:type="dxa"/>
              <w:end w:w="108" w:type="dxa"/>
            </w:tcMar>
          </w:tcPr>
          <w:p>
            <w:pPr>
              <w:pStyle w:val="ruller311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תאריך הישיבה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4959" w:type="dxa"/>
            <w:tcBorders/>
            <w:tcMar>
              <w:start w:w="108" w:type="dxa"/>
              <w:end w:w="108" w:type="dxa"/>
            </w:tcMar>
          </w:tcPr>
          <w:p>
            <w:pPr>
              <w:pStyle w:val="precasestyl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 w:cs="David"/>
                <w:sz w:val="26"/>
                <w:sz w:val="26"/>
                <w:szCs w:val="26"/>
                <w:rtl w:val="true"/>
              </w:rPr>
              <w:t>ג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 w:cs="David"/>
                <w:sz w:val="26"/>
                <w:sz w:val="26"/>
                <w:szCs w:val="26"/>
                <w:rtl w:val="true"/>
              </w:rPr>
              <w:t>באדר א התשפ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 w:cs="David"/>
                <w:sz w:val="26"/>
                <w:sz w:val="26"/>
                <w:szCs w:val="26"/>
                <w:rtl w:val="true"/>
              </w:rPr>
              <w:t xml:space="preserve">ד 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(</w:t>
            </w:r>
            <w:r>
              <w:rPr>
                <w:rFonts w:cs="David" w:ascii="David" w:hAnsi="David"/>
                <w:sz w:val="26"/>
                <w:szCs w:val="26"/>
              </w:rPr>
              <w:t>12.</w:t>
            </w:r>
            <w:r>
              <w:rPr>
                <w:rFonts w:cs="David" w:ascii="David" w:hAnsi="David"/>
                <w:sz w:val="26"/>
                <w:szCs w:val="26"/>
              </w:rPr>
              <w:t>2</w:t>
            </w:r>
            <w:r>
              <w:rPr>
                <w:rFonts w:cs="David" w:ascii="David" w:hAnsi="David"/>
                <w:sz w:val="26"/>
                <w:szCs w:val="26"/>
              </w:rPr>
              <w:t>.</w:t>
            </w:r>
            <w:r>
              <w:rPr>
                <w:rFonts w:cs="David" w:ascii="David" w:hAnsi="David"/>
                <w:sz w:val="26"/>
                <w:szCs w:val="26"/>
              </w:rPr>
              <w:t>2024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tbl>
      <w:tblPr>
        <w:bidiVisual w:val="true"/>
        <w:tblW w:w="8285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83"/>
        <w:gridCol w:w="5102"/>
      </w:tblGrid>
      <w:tr>
        <w:trPr/>
        <w:tc>
          <w:tcPr>
            <w:tcW w:w="3183" w:type="dxa"/>
            <w:tcBorders/>
          </w:tcPr>
          <w:p>
            <w:pPr>
              <w:pStyle w:val="ruller311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bookmarkStart w:id="4" w:name="lawyers_a_title"/>
            <w:bookmarkEnd w:id="4"/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בשם המערער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102" w:type="dxa"/>
            <w:tcBorders/>
          </w:tcPr>
          <w:p>
            <w:pPr>
              <w:pStyle w:val="precasestyle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 w:cs="David"/>
                <w:sz w:val="28"/>
                <w:sz w:val="28"/>
                <w:szCs w:val="28"/>
                <w:rtl w:val="true"/>
              </w:rPr>
              <w:t>ד סלב</w:t>
            </w:r>
            <w:r>
              <w:rPr>
                <w:rFonts w:ascii="David" w:hAnsi="David" w:cs="David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David" w:hAnsi="David" w:cs="David"/>
                <w:sz w:val="28"/>
                <w:sz w:val="28"/>
                <w:szCs w:val="28"/>
                <w:rtl w:val="true"/>
              </w:rPr>
              <w:t xml:space="preserve"> רודנקו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ab/>
            </w:r>
          </w:p>
        </w:tc>
      </w:tr>
      <w:tr>
        <w:trPr/>
        <w:tc>
          <w:tcPr>
            <w:tcW w:w="3183" w:type="dxa"/>
            <w:tcBorders/>
          </w:tcPr>
          <w:p>
            <w:pPr>
              <w:pStyle w:val="ruller311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bookmarkStart w:id="5" w:name="FirstLawyer"/>
            <w:bookmarkEnd w:id="5"/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בשם המשיבה </w:t>
            </w:r>
            <w:r>
              <w:rPr>
                <w:rFonts w:cs="David" w:ascii="David" w:hAnsi="David"/>
                <w:sz w:val="28"/>
                <w:szCs w:val="28"/>
              </w:rPr>
              <w:t>1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102" w:type="dxa"/>
            <w:tcBorders/>
          </w:tcPr>
          <w:p>
            <w:pPr>
              <w:pStyle w:val="precasestyle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 w:cs="David"/>
                <w:sz w:val="28"/>
                <w:sz w:val="28"/>
                <w:szCs w:val="28"/>
                <w:rtl w:val="true"/>
              </w:rPr>
              <w:t>ד עמרי כהן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ab/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284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416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9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מס הכנסה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 -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לא מרובד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220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5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1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תקנות סדר הדין הפלילי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21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1982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6"/>
          <w:szCs w:val="10"/>
        </w:rPr>
      </w:pPr>
      <w:r>
        <w:rPr>
          <w:rFonts w:cs="FrankRuehl" w:ascii="FrankRuehl" w:hAnsi="FrankRuehl"/>
          <w:color w:val="0000FF"/>
          <w:sz w:val="6"/>
          <w:szCs w:val="10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6"/>
          <w:szCs w:val="10"/>
        </w:rPr>
      </w:pPr>
      <w:r>
        <w:rPr>
          <w:sz w:val="6"/>
          <w:szCs w:val="10"/>
          <w:rtl w:val="true"/>
        </w:rPr>
      </w:r>
    </w:p>
    <w:p>
      <w:pPr>
        <w:pStyle w:val="Style1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  <w:shd w:fill="FFFFFF" w:val="clear"/>
        </w:rPr>
      </w:pPr>
      <w:bookmarkStart w:id="10" w:name="ABSTRACT_START"/>
      <w:bookmarkEnd w:id="10"/>
      <w:r>
        <w:rPr>
          <w:rFonts w:cs="FrankRuehl"/>
          <w:sz w:val="24"/>
          <w:sz w:val="24"/>
          <w:szCs w:val="26"/>
          <w:shd w:fill="FFFFFF" w:val="clear"/>
          <w:rtl w:val="true"/>
        </w:rPr>
        <w:t>מיני</w:t>
      </w:r>
      <w:r>
        <w:rPr>
          <w:rFonts w:cs="FrankRuehl"/>
          <w:sz w:val="24"/>
          <w:szCs w:val="26"/>
          <w:shd w:fill="FFFFFF" w:val="clear"/>
          <w:rtl w:val="true"/>
        </w:rPr>
        <w:t>-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רציו</w:t>
      </w:r>
      <w:r>
        <w:rPr>
          <w:rFonts w:cs="FrankRuehl"/>
          <w:sz w:val="24"/>
          <w:szCs w:val="26"/>
          <w:shd w:fill="FFFFFF" w:val="clear"/>
          <w:rtl w:val="true"/>
        </w:rPr>
        <w:t>:</w:t>
      </w:r>
    </w:p>
    <w:p>
      <w:pPr>
        <w:pStyle w:val="Style1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b/>
          <w:bCs/>
          <w:sz w:val="24"/>
          <w:szCs w:val="26"/>
          <w:shd w:fill="FFFFFF" w:val="clear"/>
        </w:rPr>
      </w:pPr>
      <w:r>
        <w:rPr>
          <w:rFonts w:cs="FrankRuehl"/>
          <w:sz w:val="24"/>
          <w:szCs w:val="26"/>
          <w:shd w:fill="FFFFFF" w:val="clear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לדעת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ההרכב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לחייבו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בהוצאות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לטובת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אוצר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בנוגע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לרכיב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שנפסקו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לטובת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77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14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השופטת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מיעוט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לשניים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הנדרשת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תשלומים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שילמו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העסקי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ביניהם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כלשהו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Style1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  <w:shd w:fill="FFFFFF" w:val="clear"/>
        </w:rPr>
      </w:pPr>
      <w:r>
        <w:rPr>
          <w:rFonts w:cs="FrankRuehl"/>
          <w:sz w:val="24"/>
          <w:szCs w:val="26"/>
          <w:shd w:fill="FFFFFF" w:val="clear"/>
          <w:rtl w:val="true"/>
        </w:rPr>
        <w:t xml:space="preserve">*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עונשין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פיצויים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והוצאות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פיצויים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לקורבן</w:t>
      </w:r>
    </w:p>
    <w:p>
      <w:pPr>
        <w:pStyle w:val="Style1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  <w:shd w:fill="FFFFFF" w:val="clear"/>
        </w:rPr>
      </w:pPr>
      <w:r>
        <w:rPr>
          <w:rFonts w:cs="FrankRuehl"/>
          <w:sz w:val="24"/>
          <w:szCs w:val="26"/>
          <w:shd w:fill="FFFFFF" w:val="clear"/>
          <w:rtl w:val="true"/>
        </w:rPr>
        <w:t xml:space="preserve">*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עונשין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ענישה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מדיניות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ענישה</w:t>
      </w:r>
      <w:r>
        <w:rPr>
          <w:rFonts w:cs="FrankRuehl"/>
          <w:sz w:val="24"/>
          <w:szCs w:val="26"/>
          <w:shd w:fill="FFFFFF" w:val="clear"/>
          <w:rtl w:val="true"/>
        </w:rPr>
        <w:t xml:space="preserve">: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התערבות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ערכאת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ערעור</w:t>
      </w:r>
    </w:p>
    <w:p>
      <w:pPr>
        <w:pStyle w:val="Style1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  <w:shd w:fill="FFFFFF" w:val="clear"/>
        </w:rPr>
      </w:pPr>
      <w:r>
        <w:rPr>
          <w:rFonts w:cs="FrankRuehl"/>
          <w:sz w:val="24"/>
          <w:szCs w:val="26"/>
          <w:shd w:fill="FFFFFF" w:val="clear"/>
          <w:rtl w:val="true"/>
        </w:rPr>
        <w:t xml:space="preserve">*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עונשין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ענישה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מדיניות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ענישה</w:t>
      </w:r>
      <w:r>
        <w:rPr>
          <w:rFonts w:cs="FrankRuehl"/>
          <w:sz w:val="24"/>
          <w:szCs w:val="26"/>
          <w:shd w:fill="FFFFFF" w:val="clear"/>
          <w:rtl w:val="true"/>
        </w:rPr>
        <w:t xml:space="preserve">: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מתחם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הענישה</w:t>
      </w:r>
    </w:p>
    <w:p>
      <w:pPr>
        <w:pStyle w:val="Style1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  <w:shd w:fill="FFFFFF" w:val="clear"/>
        </w:rPr>
      </w:pPr>
      <w:r>
        <w:rPr>
          <w:rFonts w:cs="FrankRuehl"/>
          <w:sz w:val="24"/>
          <w:szCs w:val="26"/>
          <w:shd w:fill="FFFFFF" w:val="clear"/>
          <w:rtl w:val="true"/>
        </w:rPr>
        <w:t xml:space="preserve">*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עונשין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עבירות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עבירות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כלכליות</w:t>
      </w:r>
    </w:p>
    <w:p>
      <w:pPr>
        <w:pStyle w:val="Style1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  <w:shd w:fill="FFFFFF" w:val="clear"/>
        </w:rPr>
      </w:pPr>
      <w:r>
        <w:rPr>
          <w:rFonts w:cs="FrankRuehl"/>
          <w:sz w:val="24"/>
          <w:szCs w:val="26"/>
          <w:shd w:fill="FFFFFF" w:val="clear"/>
          <w:rtl w:val="true"/>
        </w:rPr>
        <w:t xml:space="preserve">*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עונשין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עבירות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מירמה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והפרת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אמונים</w:t>
      </w:r>
    </w:p>
    <w:p>
      <w:pPr>
        <w:pStyle w:val="Style1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  <w:shd w:fill="FFFFFF" w:val="clear"/>
        </w:rPr>
      </w:pPr>
      <w:r>
        <w:rPr>
          <w:rFonts w:cs="FrankRuehl"/>
          <w:sz w:val="24"/>
          <w:szCs w:val="26"/>
          <w:shd w:fill="FFFFFF" w:val="clear"/>
          <w:rtl w:val="true"/>
        </w:rPr>
        <w:t xml:space="preserve">*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עונשין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עבירות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תחבולה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גזר דין ועל ההוצאות שהוטלו על 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רקע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פי כתב האישום המתוקן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פעל כ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מאכער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בקרב תושבי מזרח ירושלים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בכל הנוגע לטיפול בעבירות בנייה ובתחומי מינהל נוספים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בתוך 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קיבל כספים מ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לקוחות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שנזקקו להיתרים שונים בתחום הבנייה או עברו עבירות של חריגות בנייה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לצורך 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השתמש המערער בקשריו ובקרבתו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ascii="Times New Roman" w:hAnsi="Times New Roman" w:cs="Times New Roman"/>
          <w:spacing w:val="0"/>
          <w:szCs w:val="26"/>
          <w:rtl w:val="true"/>
        </w:rPr>
        <w:t>אחד מהנאשמים האחרים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ששימש באותה עת כפקח בנייה תוך שהוא מספק לו טובות הנאה שונות</w:t>
      </w:r>
      <w:r>
        <w:rPr>
          <w:rFonts w:cs="Times New Roman" w:ascii="Times New Roman" w:hAnsi="Times New Roman"/>
          <w:spacing w:val="0"/>
          <w:szCs w:val="26"/>
          <w:rtl w:val="true"/>
        </w:rPr>
        <w:t>. (</w:t>
      </w:r>
      <w:r>
        <w:rPr>
          <w:rFonts w:ascii="Times New Roman" w:hAnsi="Times New Roman" w:cs="Times New Roman"/>
          <w:spacing w:val="0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עבירת המרמה</w:t>
      </w:r>
      <w:r>
        <w:rPr>
          <w:rFonts w:cs="Times New Roman" w:ascii="Times New Roman" w:hAnsi="Times New Roman"/>
          <w:spacing w:val="0"/>
          <w:szCs w:val="26"/>
          <w:rtl w:val="true"/>
        </w:rPr>
        <w:t>).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בתוך 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ניצל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במכוון ובמספר הזדמנויות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את סברתם המוטעית של מי שנעזרו ב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שירותיו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>שונים כי הוא עורך 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משפטן או מהנדס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כאשר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 בסיס מצגי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>שווא האמורים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נקשרו עמו אנשים רבים ושילמו לו בין אלפי ש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ח לעשרות אלפי ש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 כל אחד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עבירת התחבולה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Cs w:val="26"/>
          <w:rtl w:val="true"/>
        </w:rPr>
        <w:t>אגב 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שִׁלְשֵׁל המערער לכיסו תקבולים בסך כולל של לפחות </w:t>
      </w:r>
      <w:r>
        <w:rPr>
          <w:rFonts w:cs="Times New Roman" w:ascii="Times New Roman" w:hAnsi="Times New Roman"/>
          <w:spacing w:val="0"/>
          <w:szCs w:val="26"/>
        </w:rPr>
        <w:t>600,000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 מבלי לדווח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לשלם בגינם מס כנדרש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עבירת המס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לאחר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קביעת שלושה מתחמי ענישה נפרדים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בעבירות השונות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נגזרו על המערער </w:t>
      </w:r>
      <w:r>
        <w:rPr>
          <w:rFonts w:cs="Times New Roman" w:ascii="Times New Roman" w:hAnsi="Times New Roman"/>
          <w:spacing w:val="0"/>
          <w:szCs w:val="26"/>
        </w:rPr>
        <w:t>14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מאסרים מותנים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קנס כספי בסך של </w:t>
      </w:r>
      <w:r>
        <w:rPr>
          <w:rFonts w:cs="Times New Roman" w:ascii="Times New Roman" w:hAnsi="Times New Roman"/>
          <w:spacing w:val="0"/>
          <w:szCs w:val="26"/>
        </w:rPr>
        <w:t>90,000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 או </w:t>
      </w:r>
      <w:r>
        <w:rPr>
          <w:rFonts w:cs="Times New Roman" w:ascii="Times New Roman" w:hAnsi="Times New Roman"/>
          <w:spacing w:val="0"/>
          <w:szCs w:val="26"/>
        </w:rPr>
        <w:t>45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ימי מאסר תמורתו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ופיצוי 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נפגעי עבירת התחבולה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בסך </w:t>
      </w:r>
      <w:r>
        <w:rPr>
          <w:rFonts w:cs="Times New Roman" w:ascii="Times New Roman" w:hAnsi="Times New Roman"/>
          <w:spacing w:val="0"/>
          <w:szCs w:val="26"/>
        </w:rPr>
        <w:t>4,000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ח לכל אחד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כ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אגב דחיית בקשה לפסילת מותב שהוגשה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ידי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הוטלו על המערער הוצאות לטובת אוצר המדינה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בסך של </w:t>
      </w:r>
      <w:r>
        <w:rPr>
          <w:rFonts w:cs="Times New Roman" w:ascii="Times New Roman" w:hAnsi="Times New Roman"/>
          <w:spacing w:val="0"/>
          <w:szCs w:val="26"/>
        </w:rPr>
        <w:t>1,000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ח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מבקש מביהמ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להורות על ביטול עונש המאסר בפועל ולקבוע תחתיו עונש של עבודות שירות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לבטל את חיובו בתשלום פיצויים לנפגעי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ולהורות על ביטול ההוצאות לאוצר המדינה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השופטים 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כבוב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אלרון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רונן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פסק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הוחלט פה אחד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לדחות את הערעור כאמור בפסק דינו של השופט 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כבוב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למעט בנוגע לרכיב הפיצויים שנפסקו לטובת משיבים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שלגביו הוחלט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ברוב דעות של השופטים כבוב 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אלרון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לדחות את 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בניגוד לדעתה של השופטת 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רונן שסברה שיש לבטל את הפיצוי שנפסק למשיבים אלו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לא </w:t>
      </w:r>
      <w:r>
        <w:rPr>
          <w:rFonts w:ascii="Times New Roman" w:hAnsi="Times New Roman" w:cs="Times New Roman"/>
          <w:spacing w:val="0"/>
          <w:szCs w:val="26"/>
          <w:rtl w:val="true"/>
        </w:rPr>
        <w:t>נ</w:t>
      </w:r>
      <w:r>
        <w:rPr>
          <w:rFonts w:ascii="Times New Roman" w:hAnsi="Times New Roman" w:cs="Times New Roman"/>
          <w:spacing w:val="0"/>
          <w:szCs w:val="26"/>
          <w:rtl w:val="true"/>
        </w:rPr>
        <w:t>מצא כי נפל פגם בהחלטת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לקבוע שלושה מתחמי ענישה נפרדים לשלוש העבירות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בהיותן מבוססות על תשתית עובדתית נפרדת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ברם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אף אם היה מקום לקבל את טענת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היה בכך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להביא להתערבות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מכיוון שלדבר אין כל נפקות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ולמצער אין נפקות במידה הנדרשת 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שעה שנקבע 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העונשים ירוצו בחפיפה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כמו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וכפי שנקבע זה מכבר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אף אם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נכון לראות במעשים השונים המיוחסים לנאשם כאירוע אחד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הרי שמתחם הענישה הנוגע לאירוע זה צריך להביא בחשבון את כלל המעשים המיוחסים לו באותו אירוע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בהמשך לכך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לא נמצא </w:t>
      </w:r>
      <w:r>
        <w:rPr>
          <w:rFonts w:ascii="Times New Roman" w:hAnsi="Times New Roman" w:cs="Times New Roman"/>
          <w:spacing w:val="0"/>
          <w:szCs w:val="26"/>
          <w:rtl w:val="true"/>
        </w:rPr>
        <w:t>להתערב במתחמי הענישה שנקבעו לכל אחת מן העבירות או בעונש שנקבע בתוך המתחמים האמורים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 המערער הוטלו </w:t>
      </w:r>
      <w:r>
        <w:rPr>
          <w:rFonts w:cs="Times New Roman" w:ascii="Times New Roman" w:hAnsi="Times New Roman"/>
          <w:spacing w:val="0"/>
          <w:szCs w:val="26"/>
        </w:rPr>
        <w:t>14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בעוד שתקרת מתחמי הענישה שנקבעו מגיעה לכדי </w:t>
      </w:r>
      <w:r>
        <w:rPr>
          <w:rFonts w:cs="Times New Roman" w:ascii="Times New Roman" w:hAnsi="Times New Roman"/>
          <w:spacing w:val="0"/>
          <w:szCs w:val="26"/>
        </w:rPr>
        <w:t>40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די באמור כדי לשקף את שקלול נסיבותיו של המערער – לרבות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לא רק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הודאתו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הגם שבשלב מתקדם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>והיותו אדם נורמטיבי בעל עבר פלילי נקי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עיון בגזר הדין מלמד כי אין כל ספק שעיקרון האחידות בענישה נלקח בחשבון וכדבעי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לכל האמור יש להוסיף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התנהלותו הדיונית של המערער הייתה בעייתית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והובילה להימשכותו של ההליך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וכי לא נמצאו תימוכין לטענותיו של המערער בנוגע למצבו הכלכלי והרפואי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 בקביעות שערכאות הערעור אינן נוטות להתערב בהן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גם ברכיב הפיצויים לא </w:t>
      </w:r>
      <w:r>
        <w:rPr>
          <w:rFonts w:ascii="Times New Roman" w:hAnsi="Times New Roman" w:cs="Times New Roman"/>
          <w:spacing w:val="0"/>
          <w:szCs w:val="26"/>
          <w:rtl w:val="true"/>
        </w:rPr>
        <w:t>נ</w:t>
      </w:r>
      <w:r>
        <w:rPr>
          <w:rFonts w:ascii="Times New Roman" w:hAnsi="Times New Roman" w:cs="Times New Roman"/>
          <w:spacing w:val="0"/>
          <w:szCs w:val="26"/>
          <w:rtl w:val="true"/>
        </w:rPr>
        <w:t>מצא להתערב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נקודת המוצא היא כי ערכאת הערעור לא תתערב בגובה הפיצויים שפסקה הערכאה הדיונית מכוח סעיף </w:t>
      </w:r>
      <w:r>
        <w:rPr>
          <w:rFonts w:cs="Times New Roman" w:ascii="Times New Roman" w:hAnsi="Times New Roman"/>
          <w:spacing w:val="0"/>
          <w:szCs w:val="26"/>
        </w:rPr>
        <w:t>77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15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 העונשין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להוציא מקרים קיצוניים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שבהם חרגה הערכאה הדיונית באופן קיצוני משיעורו של הפיצוי הראוי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המקרה דנן לא נמנה </w:t>
      </w:r>
      <w:r>
        <w:rPr>
          <w:rFonts w:ascii="Times New Roman" w:hAnsi="Times New Roman" w:cs="Times New Roman"/>
          <w:spacing w:val="0"/>
          <w:szCs w:val="26"/>
          <w:rtl w:val="true"/>
        </w:rPr>
        <w:t>על אותם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חריגים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בהקשר זה לא נמצא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הצדקה לסטות מקביעת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לפיה המערער עודכן במועד עריכת הסדר הטיעון בדבר כוונת המשיבה לעתור לפסיקת פיצויים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וממילא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מדובר בהסדר טיעון 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פתוח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', </w:t>
      </w:r>
      <w:r>
        <w:rPr>
          <w:rFonts w:ascii="Times New Roman" w:hAnsi="Times New Roman" w:cs="Times New Roman"/>
          <w:spacing w:val="0"/>
          <w:szCs w:val="26"/>
          <w:rtl w:val="true"/>
        </w:rPr>
        <w:t>שלא מגביל את הצדדים בטיעוניהם לעונש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 ועוד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הפעלת הסמכות לפסיקת פיצויים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ידי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אינה טעונה בקשה של התביעה ולמעשה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מוסמך לפסוק פיצויים גם מקום שהתביעה לא עתרה לכך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יתרה מכך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הפיצוי שניתן מכוח סעיף </w:t>
      </w:r>
      <w:r>
        <w:rPr>
          <w:rFonts w:cs="Times New Roman" w:ascii="Times New Roman" w:hAnsi="Times New Roman"/>
          <w:spacing w:val="0"/>
          <w:szCs w:val="26"/>
        </w:rPr>
        <w:t>77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16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 העונשין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הוא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פיצוי מוקדם בלא הוכחת הנזק בהליך אזרחי </w:t>
      </w:r>
      <w:r>
        <w:rPr>
          <w:rFonts w:cs="Times New Roman" w:ascii="Times New Roman" w:hAnsi="Times New Roman"/>
          <w:spacing w:val="0"/>
          <w:szCs w:val="26"/>
          <w:rtl w:val="true"/>
        </w:rPr>
        <w:t>... '</w:t>
      </w:r>
      <w:r>
        <w:rPr>
          <w:rFonts w:ascii="Times New Roman" w:hAnsi="Times New Roman" w:cs="Times New Roman"/>
          <w:spacing w:val="0"/>
          <w:szCs w:val="26"/>
          <w:rtl w:val="true"/>
        </w:rPr>
        <w:t>על חשבון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הפיצויים שיבואו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אם בכלל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>לא אמור לשקף במדויק את הנזק הממשי שנגרם לנפגע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חרף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המאשימה להציג תשתית עובדתית מסוימת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שתאפשר לביהמ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להעריך את סכום הפיצוי שיש לפסוק ולו על דרך האומדנה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משהודה המערער בעובדות המבססות את עבירת התחבולה שעבר כלפי לקוחותיו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לרבות העובדה שהלקוחות שנקשרו עמו בעקבות תחבולתו שילמו לו סכומי כסף משמעותיים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בשים לב לכך שמדובר בשישה נפגעים אשר רף הראיות לגביהם מבסס חסרון כיס ישיר – </w:t>
      </w:r>
      <w:r>
        <w:rPr>
          <w:rFonts w:ascii="Times New Roman" w:hAnsi="Times New Roman" w:cs="Times New Roman"/>
          <w:spacing w:val="0"/>
          <w:szCs w:val="26"/>
          <w:rtl w:val="true"/>
        </w:rPr>
        <w:t>השופט כבוב 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סבור כי פסיקת פיצוי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לשישה מתוך כלל נפגעי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העומד על </w:t>
      </w:r>
      <w:r>
        <w:rPr>
          <w:rFonts w:cs="Times New Roman" w:ascii="Times New Roman" w:hAnsi="Times New Roman"/>
          <w:spacing w:val="0"/>
          <w:szCs w:val="26"/>
        </w:rPr>
        <w:t>4,000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ח לכל אחד מן הנפגעים – מעלה כל פגם או חריגה קיצונית בשיקול הדעת באופן שמצדיק התערבות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לא נמצא להתערב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גם ביחס להוצאות לטובת אוצר המדינה שהוטלו על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 בצעד חריג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ברם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כמתואר בהחלטת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דרך הילוכם של המערער ובא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כוחו התאפיינה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במחדלים ובהתנהלות חריגה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גם ביחס להליכים פליליים בהם הצדדים מערימים קשיים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מצטייר הרושם כי מדובר במערער שהקפיד לקבוע את בדיקותיו הרפואיות דווקא במועדים ובשעות שבהם נקבעו ישיבות ההוכחות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בהינתן 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כמו גם עובדת התייצבותו של עד לדיון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ובהתחשב בהוצאות חברת ההקלטה והוצאות המתורגמנית שהגיעו לדיון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לא נמצא להתערב בהחלטה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להטיל על המערער הוצאות לטובת אוצר המדינה בסך של </w:t>
      </w:r>
      <w:r>
        <w:rPr>
          <w:rFonts w:cs="Times New Roman" w:ascii="Times New Roman" w:hAnsi="Times New Roman"/>
          <w:spacing w:val="0"/>
          <w:szCs w:val="26"/>
        </w:rPr>
        <w:t>1,000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ח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השופטת 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רונן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ascii="Times New Roman" w:hAnsi="Times New Roman" w:cs="Times New Roman"/>
          <w:spacing w:val="0"/>
          <w:szCs w:val="26"/>
          <w:rtl w:val="true"/>
        </w:rPr>
        <w:t>סתייג</w:t>
      </w:r>
      <w:r>
        <w:rPr>
          <w:rFonts w:ascii="Times New Roman" w:hAnsi="Times New Roman" w:cs="Times New Roman"/>
          <w:spacing w:val="0"/>
          <w:szCs w:val="26"/>
          <w:rtl w:val="true"/>
        </w:rPr>
        <w:t>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באופן חלקי ממסקנת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השופט כבוב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ביחס לפיצויים לנפגעי העבירה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וזאת </w:t>
      </w:r>
      <w:r>
        <w:rPr>
          <w:rFonts w:ascii="Times New Roman" w:hAnsi="Times New Roman" w:cs="Times New Roman"/>
          <w:spacing w:val="0"/>
          <w:szCs w:val="26"/>
          <w:rtl w:val="true"/>
        </w:rPr>
        <w:t>ביחס לשניים מהמתלוננים שלזכותם נפסק פיצוי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פסיקת פיצוי לנפגע עבירה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לפי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Cs w:val="26"/>
        </w:rPr>
        <w:t>77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17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 העונשין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מחייבת ראשית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הוכחה ברמת של מאזן ההסתברויות כי לנפגע נגרם נזק כלשהו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במקרים רבים די באופי העבירה בה הורשע הנאשם כדי להוכיח כי נגרם נזק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מדובר בפגיעה גופנית או נפשית ובנזק שאינו ממוני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די בכך שהמתלונן נפגע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בגופו או בנפשו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כדי להצדיק פסיקת פיצוי לזכותו בסכום אותו יעריך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מדובר בנזק כלכלי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השופטת רונן סבורה כי </w:t>
      </w:r>
      <w:r>
        <w:rPr>
          <w:rFonts w:ascii="Times New Roman" w:hAnsi="Times New Roman" w:cs="Times New Roman"/>
          <w:spacing w:val="0"/>
          <w:szCs w:val="26"/>
          <w:rtl w:val="true"/>
        </w:rPr>
        <w:t>נדרשת הוכחה ממשית כלשהי לכך שהמתלונן אכן סבל נזק כלשהו כתוצאה ממעשה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שנית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הוכח קיומו של נזק –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רשאי לפסוק את שיעורו בדרך של אומדנה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בלא הקפדה על הכללים החלים בפסיקת פיצויים במסגרת הליכי נזיקין אזרחיים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בהלימה לערך הסבל או הנזק שנגרמו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כדי שביהמ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יוכל לאמוד את שיעורו של הנזק וכדי שהפיצוי יהלום אותו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המדינה להציג – כפי שנפסק ב</w:t>
      </w:r>
      <w:r>
        <w:rPr>
          <w:rStyle w:val="Ruller41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עניין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ג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רחי – תשתית עובדתית כלשהי שתאפשר לביהמ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לעשות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כך כאשר מדובר בנזק על סבל או כאב כתוצאה מפגיעה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וכך גם כאשר הפיצוי נפסק בגין נזק כלכלי או כספי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גם במקרה אחרון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ולמרות שמדובר באומדנה ולא בנזק המחושב באופן מדויק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נדרשת תשתית עובדתית מינימלית אודות היקף הנזק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כגון בדבר היקף העסקה של הנפגע עם הנאשם או שיעור התשלומים ששילם לו הנפגע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עוד יש להדגיש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כאשר ישנו קשר כלשהו בין הנזק לבין הפיצוי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די בכך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וערכאת הערעור לא תיטה להתערב בשיקול הדעת של הערכאה הדיונית בהקשר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יישום </w:t>
      </w:r>
      <w:r>
        <w:rPr>
          <w:rFonts w:ascii="Times New Roman" w:hAnsi="Times New Roman" w:cs="Times New Roman"/>
          <w:spacing w:val="0"/>
          <w:szCs w:val="26"/>
          <w:rtl w:val="true"/>
        </w:rPr>
        <w:t>לענייננו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יש להתערב בהכרעתו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ביחס לשניים מנפגעי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העבירה המיוחסת למערער דנן היא עבירה בעלת אופי כלכלי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הנוגעת לגביית תשלום מלקוחותיו של המערער תוך ניצול סברתם המוטעית כי הוא עורך 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משפטן או מהנדס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ככל שנגרם נזק לנפגעי העבירה במקרה דנן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הוא נובע מכך שהם שילמו למערער שכר ולא קיבלו תמורה ראויה עבורו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או מכך שהם שילמו לו שכר גבוה יותר מאחר שהיו סבורים – נוכח המצג המטעה שהוא הציג להם – כי הוא עורך 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משפטן או מהנדס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אולם כדי להוכיח קיומו של נזק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די בכך שאדם כלשהו התקשר עם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נדרשת הוכחה כי הוא שילם לו תמורה עבור שירותיו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בלא תשלום כל תמורה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ניתן לקבוע כי נגרם נזק כלשהו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ascii="David" w:hAnsi="David" w:cs="David"/>
        </w:rPr>
      </w:pPr>
      <w:r>
        <w:rPr>
          <w:rFonts w:cs="FrankRuehl"/>
          <w:sz w:val="24"/>
          <w:sz w:val="24"/>
          <w:szCs w:val="26"/>
          <w:rtl w:val="true"/>
        </w:rPr>
        <w:t>המשיבה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עתרה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כעדי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תביעה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ארבעה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נמסרו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בנספח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לכתב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לסכום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המדויק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ששולם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כשכר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לשני</w:t>
      </w:r>
      <w:r>
        <w:rPr>
          <w:rFonts w:cs="FrankRuehl"/>
          <w:sz w:val="24"/>
          <w:sz w:val="24"/>
          <w:szCs w:val="26"/>
          <w:rtl w:val="true"/>
        </w:rPr>
        <w:t>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המשיבים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5</w:t>
      </w:r>
      <w:r>
        <w:rPr>
          <w:rFonts w:cs="FrankRuehl"/>
          <w:sz w:val="24"/>
          <w:szCs w:val="26"/>
          <w:rtl w:val="true"/>
        </w:rPr>
        <w:t>)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איזכור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בנספחים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סכומי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שילמו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מהבהרות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לגישתה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הנדרשת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תשלומים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שילמו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העסקי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ביניהם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מכאן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מאזן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הסתברויות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בלא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כמובן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כספי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לאוטונומיה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חסרון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מתלוננים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FrankRuehl"/>
          <w:sz w:val="24"/>
          <w:szCs w:val="26"/>
          <w:rtl w:val="true"/>
        </w:rPr>
        <w:t>.</w:t>
      </w:r>
      <w:bookmarkStart w:id="11" w:name="ABSTRACT_END"/>
      <w:bookmarkEnd w:id="11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David" w:hAnsi="David" w:cs="David"/>
          <w:sz w:val="6"/>
          <w:szCs w:val="10"/>
        </w:rPr>
      </w:pPr>
      <w:r>
        <w:rPr>
          <w:rFonts w:cs="David" w:ascii="David" w:hAnsi="David"/>
          <w:sz w:val="6"/>
          <w:szCs w:val="10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6"/>
          <w:szCs w:val="10"/>
        </w:rPr>
      </w:pPr>
      <w:r>
        <w:rPr>
          <w:sz w:val="6"/>
          <w:szCs w:val="10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6"/>
          <w:szCs w:val="10"/>
        </w:rPr>
      </w:pPr>
      <w:r>
        <w:rPr>
          <w:sz w:val="6"/>
          <w:szCs w:val="10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2" w:name="PsakDin"/>
            <w:bookmarkStart w:id="13" w:name="BeginProtocol"/>
            <w:bookmarkStart w:id="14" w:name="secretary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5" w:name="Writer_Name"/>
      <w:bookmarkEnd w:id="15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ח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כבוב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2"/>
        <w:spacing w:lineRule="auto" w:line="240"/>
        <w:ind w:end="0"/>
        <w:jc w:val="both"/>
        <w:rPr>
          <w:rFonts w:cs="Miriam"/>
          <w:sz w:val="2"/>
          <w:szCs w:val="8"/>
          <w:u w:val="single"/>
        </w:rPr>
      </w:pPr>
      <w:r>
        <w:rPr>
          <w:rFonts w:cs="Miriam"/>
          <w:sz w:val="2"/>
          <w:szCs w:val="8"/>
          <w:u w:val="single"/>
          <w:rtl w:val="true"/>
        </w:rPr>
      </w:r>
      <w:bookmarkStart w:id="16" w:name="Start_Write"/>
      <w:bookmarkStart w:id="17" w:name="Start_Write"/>
      <w:bookmarkEnd w:id="17"/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ab/>
      </w:r>
      <w:r>
        <w:rPr>
          <w:rtl w:val="true"/>
        </w:rPr>
        <w:t xml:space="preserve">הערעור שלפנינו נסוב על גזר דינו של בית המשפט המחוזי בירושלים </w:t>
      </w:r>
      <w:r>
        <w:rPr>
          <w:rtl w:val="true"/>
        </w:rPr>
        <w:t>(</w:t>
      </w:r>
      <w:r>
        <w:rPr>
          <w:rtl w:val="true"/>
        </w:rPr>
        <w:t xml:space="preserve">כבוד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ב</w:t>
      </w:r>
      <w:hyperlink r:id="rId18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ת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67113-02-20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פורסם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בנבו</w:t>
      </w:r>
      <w:r>
        <w:rPr>
          <w:rFonts w:cs="Century" w:ascii="Century" w:hAnsi="Century"/>
          <w:sz w:val="22"/>
          <w:rtl w:val="true"/>
        </w:rPr>
        <w:t>]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tl w:val="true"/>
        </w:rPr>
        <w:t>מיום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06.03.2023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ועל ההוצאות שהוטלו על המערער בהחלטת אותו מותב מיום </w:t>
      </w:r>
      <w:r>
        <w:rPr>
          <w:rFonts w:cs="Century" w:ascii="Century" w:hAnsi="Century"/>
          <w:sz w:val="22"/>
        </w:rPr>
        <w:t>02.12.2022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spacing w:lineRule="auto" w:line="240" w:before="240" w:after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הצריכות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לעניין</w:t>
      </w:r>
    </w:p>
    <w:p>
      <w:pPr>
        <w:pStyle w:val="Ruller42"/>
        <w:spacing w:before="240" w:after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המתוקן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השתלשלות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העניינים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Fonts w:ascii="FrankRuehl" w:hAnsi="FrankRuehl" w:cs="FrankRuehl"/>
          <w:color w:val="000000"/>
          <w:sz w:val="28"/>
          <w:sz w:val="28"/>
          <w:rtl w:val="true"/>
        </w:rPr>
        <w:t>נגד המערער ושני נאשמים נוספים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הוגש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כתב אישום שבגרסתו המתוקנת ייחס למערער</w:t>
      </w:r>
      <w:r>
        <w:rPr>
          <w:rtl w:val="true"/>
        </w:rPr>
        <w:t xml:space="preserve"> עבירת מרמה והפרת אמונים לפי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284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 xml:space="preserve">עבירת תחבולה לפי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416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; </w:t>
      </w:r>
      <w:r>
        <w:rPr>
          <w:rtl w:val="true"/>
        </w:rPr>
        <w:t xml:space="preserve">ועבירת מרמה במס הכנסה לפי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220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].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זאת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על רקע </w:t>
      </w:r>
      <w:r>
        <w:rPr>
          <w:rFonts w:cs="FrankRuehl" w:ascii="FrankRuehl" w:hAnsi="FrankRuehl"/>
          <w:color w:val="000000"/>
          <w:sz w:val="28"/>
          <w:rtl w:val="true"/>
        </w:rPr>
        <w:t>'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קשר מושחת</w:t>
      </w:r>
      <w:r>
        <w:rPr>
          <w:rFonts w:cs="FrankRuehl" w:ascii="FrankRuehl" w:hAnsi="FrankRuehl"/>
          <w:color w:val="000000"/>
          <w:sz w:val="28"/>
          <w:rtl w:val="true"/>
        </w:rPr>
        <w:t>'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שקיים עם אחד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מ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הנאשמים האחרים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ששימש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באותה עת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כפקח בנייה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להלן</w:t>
      </w:r>
      <w:r>
        <w:rPr>
          <w:rFonts w:cs="FrankRuehl" w:ascii="FrankRuehl" w:hAnsi="FrankRuehl"/>
          <w:color w:val="000000"/>
          <w:sz w:val="28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ביאזי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FrankRuehl" w:ascii="FrankRuehl" w:hAnsi="FrankRuehl"/>
          <w:color w:val="000000"/>
          <w:sz w:val="28"/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כתב האישום המתוקן</w:t>
      </w:r>
      <w:r>
        <w:rPr>
          <w:rtl w:val="true"/>
        </w:rPr>
        <w:t xml:space="preserve">, </w:t>
      </w:r>
      <w:r>
        <w:rPr>
          <w:rtl w:val="true"/>
        </w:rPr>
        <w:t>המערער פעל כ</w:t>
      </w:r>
      <w:r>
        <w:rPr>
          <w:rtl w:val="true"/>
        </w:rPr>
        <w:t>'</w:t>
      </w:r>
      <w:r>
        <w:rPr>
          <w:rtl w:val="true"/>
        </w:rPr>
        <w:t>מאכער</w:t>
      </w:r>
      <w:r>
        <w:rPr>
          <w:rtl w:val="true"/>
        </w:rPr>
        <w:t xml:space="preserve">' </w:t>
      </w:r>
      <w:r>
        <w:rPr>
          <w:rtl w:val="true"/>
        </w:rPr>
        <w:t>בקרב תושבי מזרח ירושלים</w:t>
      </w:r>
      <w:r>
        <w:rPr>
          <w:rtl w:val="true"/>
        </w:rPr>
        <w:t xml:space="preserve">, </w:t>
      </w:r>
      <w:r>
        <w:rPr>
          <w:rtl w:val="true"/>
        </w:rPr>
        <w:t>בכל הנוגע לטיפול בעבירות בנייה ובתחומי מינהל נוספים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קיבל כספים מ</w:t>
      </w:r>
      <w:r>
        <w:rPr>
          <w:rtl w:val="true"/>
        </w:rPr>
        <w:t>'</w:t>
      </w:r>
      <w:r>
        <w:rPr>
          <w:rtl w:val="true"/>
        </w:rPr>
        <w:t>לקוחות</w:t>
      </w:r>
      <w:r>
        <w:rPr>
          <w:rtl w:val="true"/>
        </w:rPr>
        <w:t xml:space="preserve">' </w:t>
      </w:r>
      <w:r>
        <w:rPr>
          <w:rtl w:val="true"/>
        </w:rPr>
        <w:t>שנזקקו להיתרים שונים בתחום הבנייה או עברו עבירות של חריגות בנייה</w:t>
      </w:r>
      <w:r>
        <w:rPr>
          <w:rtl w:val="true"/>
        </w:rPr>
        <w:t xml:space="preserve">. </w:t>
      </w:r>
      <w:r>
        <w:rPr>
          <w:rtl w:val="true"/>
        </w:rPr>
        <w:t>לצורך כך</w:t>
      </w:r>
      <w:r>
        <w:rPr>
          <w:rtl w:val="true"/>
        </w:rPr>
        <w:t xml:space="preserve">, </w:t>
      </w:r>
      <w:r>
        <w:rPr>
          <w:rtl w:val="true"/>
        </w:rPr>
        <w:t xml:space="preserve">השתמש המערער בקשריו ובקרבתו אל ביאזי תוך שהוא מספק לו טובות הנאה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ביאזי</w:t>
      </w:r>
      <w:r>
        <w:rPr>
          <w:rtl w:val="true"/>
        </w:rPr>
        <w:t xml:space="preserve"> </w:t>
      </w:r>
      <w:r>
        <w:rPr>
          <w:rtl w:val="true"/>
        </w:rPr>
        <w:t>טיפל</w:t>
      </w:r>
      <w:r>
        <w:rPr>
          <w:rtl w:val="true"/>
        </w:rPr>
        <w:t xml:space="preserve"> </w:t>
      </w:r>
      <w:r>
        <w:rPr>
          <w:rtl w:val="true"/>
        </w:rPr>
        <w:t>כפקח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שיטתי</w:t>
      </w:r>
      <w:r>
        <w:rPr>
          <w:rtl w:val="true"/>
        </w:rPr>
        <w:t xml:space="preserve">, </w:t>
      </w:r>
      <w:r>
        <w:rPr>
          <w:rtl w:val="true"/>
        </w:rPr>
        <w:t>לאורך</w:t>
      </w:r>
      <w:r>
        <w:rPr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, </w:t>
      </w:r>
      <w:r>
        <w:rPr>
          <w:rtl w:val="true"/>
        </w:rPr>
        <w:t>ובמספר</w:t>
      </w:r>
      <w:r>
        <w:rPr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הזדמנויות</w:t>
      </w:r>
      <w:r>
        <w:rPr>
          <w:rtl w:val="true"/>
        </w:rPr>
        <w:t xml:space="preserve"> </w:t>
      </w:r>
      <w:r>
        <w:rPr>
          <w:rtl w:val="true"/>
        </w:rPr>
        <w:t>ופעולות</w:t>
      </w:r>
      <w:r>
        <w:rPr>
          <w:rtl w:val="true"/>
        </w:rPr>
        <w:t xml:space="preserve">, </w:t>
      </w:r>
      <w:r>
        <w:rPr>
          <w:rtl w:val="true"/>
        </w:rPr>
        <w:t>בלקוחותיו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המרמה</w:t>
      </w:r>
      <w:r>
        <w:rPr>
          <w:rFonts w:cs="Century" w:ascii="Century" w:hAnsi="Century"/>
          <w:sz w:val="22"/>
          <w:rtl w:val="true"/>
        </w:rPr>
        <w:t>).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המערער ניצל</w:t>
      </w:r>
      <w:r>
        <w:rPr>
          <w:rtl w:val="true"/>
        </w:rPr>
        <w:t xml:space="preserve">, </w:t>
      </w:r>
      <w:r>
        <w:rPr>
          <w:rtl w:val="true"/>
        </w:rPr>
        <w:t>במכוון ובמספר הזדמנויות</w:t>
      </w:r>
      <w:r>
        <w:rPr>
          <w:rtl w:val="true"/>
        </w:rPr>
        <w:t xml:space="preserve">, </w:t>
      </w:r>
      <w:r>
        <w:rPr>
          <w:rtl w:val="true"/>
        </w:rPr>
        <w:t>את סברתם המוטעית של מי שנעזרו ב</w:t>
      </w:r>
      <w:r>
        <w:rPr>
          <w:rtl w:val="true"/>
        </w:rPr>
        <w:t>'</w:t>
      </w:r>
      <w:r>
        <w:rPr>
          <w:rtl w:val="true"/>
        </w:rPr>
        <w:t>שירותיו</w:t>
      </w:r>
      <w:r>
        <w:rPr>
          <w:rtl w:val="true"/>
        </w:rPr>
        <w:t xml:space="preserve">' </w:t>
      </w:r>
      <w:r>
        <w:rPr>
          <w:rtl w:val="true"/>
        </w:rPr>
        <w:t>שונים כי הוא עורך דין</w:t>
      </w:r>
      <w:r>
        <w:rPr>
          <w:rtl w:val="true"/>
        </w:rPr>
        <w:t xml:space="preserve">, </w:t>
      </w:r>
      <w:r>
        <w:rPr>
          <w:rtl w:val="true"/>
        </w:rPr>
        <w:t>משפטן או מהנדס</w:t>
      </w:r>
      <w:r>
        <w:rPr>
          <w:rtl w:val="true"/>
        </w:rPr>
        <w:t xml:space="preserve">;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באמצעות הצגת מצגי שווא</w:t>
      </w:r>
      <w:r>
        <w:rPr>
          <w:rtl w:val="true"/>
        </w:rPr>
        <w:t xml:space="preserve">. </w:t>
      </w:r>
      <w:r>
        <w:rPr>
          <w:rtl w:val="true"/>
        </w:rPr>
        <w:t>במספר מקרים</w:t>
      </w:r>
      <w:r>
        <w:rPr>
          <w:rtl w:val="true"/>
        </w:rPr>
        <w:t xml:space="preserve">, </w:t>
      </w:r>
      <w:r>
        <w:rPr>
          <w:rtl w:val="true"/>
        </w:rPr>
        <w:t>המערער אף הציג עצמו כעורך דין</w:t>
      </w:r>
      <w:r>
        <w:rPr>
          <w:rtl w:val="true"/>
        </w:rPr>
        <w:t xml:space="preserve">; </w:t>
      </w:r>
      <w:r>
        <w:rPr>
          <w:rtl w:val="true"/>
        </w:rPr>
        <w:t>אך בד בבד</w:t>
      </w:r>
      <w:r>
        <w:rPr>
          <w:rtl w:val="true"/>
        </w:rPr>
        <w:t xml:space="preserve">, </w:t>
      </w:r>
      <w:r>
        <w:rPr>
          <w:rtl w:val="true"/>
        </w:rPr>
        <w:t>החתים המערער את מי שפנו אליו</w:t>
      </w:r>
      <w:r>
        <w:rPr>
          <w:rtl w:val="true"/>
        </w:rPr>
        <w:t xml:space="preserve">, </w:t>
      </w:r>
      <w:r>
        <w:rPr>
          <w:rtl w:val="true"/>
        </w:rPr>
        <w:t>רובם כאמור תושבי מזרח ירושלים</w:t>
      </w:r>
      <w:r>
        <w:rPr>
          <w:rtl w:val="true"/>
        </w:rPr>
        <w:t xml:space="preserve">, </w:t>
      </w:r>
      <w:r>
        <w:rPr>
          <w:rtl w:val="true"/>
        </w:rPr>
        <w:t>על חוזים בעברית בהם כתוב כי הוא איננו עורך דין</w:t>
      </w:r>
      <w:r>
        <w:rPr>
          <w:rtl w:val="true"/>
        </w:rPr>
        <w:t xml:space="preserve">. </w:t>
      </w:r>
      <w:r>
        <w:rPr>
          <w:rtl w:val="true"/>
        </w:rPr>
        <w:t>על בסיס מצגי השווא האמורים</w:t>
      </w:r>
      <w:r>
        <w:rPr>
          <w:rtl w:val="true"/>
        </w:rPr>
        <w:t xml:space="preserve">, </w:t>
      </w:r>
      <w:r>
        <w:rPr>
          <w:rtl w:val="true"/>
        </w:rPr>
        <w:t>נקשרו עמו אנשים רבים ושילמו לו בין אלפי ש</w:t>
      </w:r>
      <w:r>
        <w:rPr>
          <w:rtl w:val="true"/>
        </w:rPr>
        <w:t>"</w:t>
      </w:r>
      <w:r>
        <w:rPr>
          <w:rtl w:val="true"/>
        </w:rPr>
        <w:t>ח לעשרות אלפי ש</w:t>
      </w:r>
      <w:r>
        <w:rPr>
          <w:rtl w:val="true"/>
        </w:rPr>
        <w:t>"</w:t>
      </w:r>
      <w:r>
        <w:rPr>
          <w:rtl w:val="true"/>
        </w:rPr>
        <w:t xml:space="preserve">ח כל אחד </w:t>
      </w:r>
      <w:r>
        <w:rPr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התחבולה</w:t>
      </w:r>
      <w:r>
        <w:rPr>
          <w:rFonts w:cs="Century" w:ascii="Century" w:hAnsi="Century"/>
          <w:sz w:val="22"/>
          <w:rtl w:val="true"/>
        </w:rPr>
        <w:t>).</w:t>
      </w:r>
      <w:r>
        <w:rPr>
          <w:rtl w:val="true"/>
        </w:rPr>
        <w:t xml:space="preserve"> 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אגב האמור לעיל</w:t>
      </w:r>
      <w:r>
        <w:rPr>
          <w:rtl w:val="true"/>
        </w:rPr>
        <w:t xml:space="preserve">, </w:t>
      </w:r>
      <w:r>
        <w:rPr>
          <w:rtl w:val="true"/>
        </w:rPr>
        <w:t>שִׁלְשֵׁל</w:t>
      </w:r>
      <w:r>
        <w:rPr>
          <w:rtl w:val="true"/>
        </w:rPr>
        <w:t xml:space="preserve"> המערער לכיסו תקבולים בסך כולל של לפחות </w:t>
      </w:r>
      <w:r>
        <w:rPr/>
        <w:t>600,000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מלקוחות שונים</w:t>
      </w:r>
      <w:r>
        <w:rPr>
          <w:rtl w:val="true"/>
        </w:rPr>
        <w:t xml:space="preserve">, </w:t>
      </w:r>
      <w:r>
        <w:rPr>
          <w:rtl w:val="true"/>
        </w:rPr>
        <w:t xml:space="preserve">מבלי לדווח עליהם לרשויות המס ומבלי לשלם בגינם מס כנדרש בדין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המס</w:t>
      </w:r>
      <w:r>
        <w:rPr>
          <w:rFonts w:cs="Century" w:ascii="Century" w:hAnsi="Century"/>
          <w:rtl w:val="true"/>
        </w:rPr>
        <w:t>).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>
          <w:rFonts w:ascii="Century" w:hAnsi="Century" w:cs="Century"/>
        </w:rPr>
      </w:pPr>
      <w:r>
        <w:rPr>
          <w:rtl w:val="true"/>
        </w:rPr>
        <w:t xml:space="preserve">ביום </w:t>
      </w:r>
      <w:r>
        <w:rPr/>
        <w:t>04.01.2023</w:t>
      </w:r>
      <w:r>
        <w:rPr>
          <w:rtl w:val="true"/>
        </w:rPr>
        <w:t xml:space="preserve">, </w:t>
      </w:r>
      <w:r>
        <w:rPr>
          <w:rtl w:val="true"/>
        </w:rPr>
        <w:t>הורשע המערער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הודאתו במסגרת הסדר טיעון שלא כלל הסכמה עונשית</w:t>
      </w:r>
      <w:r>
        <w:rPr>
          <w:rtl w:val="true"/>
        </w:rPr>
        <w:t xml:space="preserve">, </w:t>
      </w:r>
      <w:r>
        <w:rPr>
          <w:rtl w:val="true"/>
        </w:rPr>
        <w:t>בעובדות כתב האישום המתוקן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26.01.2023</w:t>
      </w:r>
      <w:r>
        <w:rPr>
          <w:rtl w:val="true"/>
        </w:rPr>
        <w:t xml:space="preserve"> </w:t>
      </w:r>
      <w:r>
        <w:rPr>
          <w:rtl w:val="true"/>
        </w:rPr>
        <w:t>התקיימה ישיבת טיעונים לעונש</w:t>
      </w:r>
      <w:r>
        <w:rPr>
          <w:rtl w:val="true"/>
        </w:rPr>
        <w:t xml:space="preserve">. </w:t>
      </w:r>
      <w:r>
        <w:rPr>
          <w:rtl w:val="true"/>
        </w:rPr>
        <w:t xml:space="preserve">בהמשך נקבע מועד למתן גזר הדין ליום </w:t>
      </w:r>
      <w:r>
        <w:rPr/>
        <w:t>06.03.2023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05.03.2023</w:t>
      </w:r>
      <w:r>
        <w:rPr>
          <w:rtl w:val="true"/>
        </w:rPr>
        <w:t xml:space="preserve"> </w:t>
      </w:r>
      <w:r>
        <w:rPr>
          <w:rtl w:val="true"/>
        </w:rPr>
        <w:t xml:space="preserve">בשעה </w:t>
      </w:r>
      <w:r>
        <w:rPr/>
        <w:t>15:35</w:t>
      </w:r>
      <w:r>
        <w:rPr>
          <w:rtl w:val="true"/>
        </w:rPr>
        <w:t xml:space="preserve">, </w:t>
      </w:r>
      <w:r>
        <w:rPr>
          <w:rtl w:val="true"/>
        </w:rPr>
        <w:t xml:space="preserve">הגיש המערער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דחופה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לדחיית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דיון</w:t>
      </w:r>
      <w:r>
        <w:rPr>
          <w:rtl w:val="true"/>
        </w:rPr>
        <w:t xml:space="preserve">".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מכיוון שהוא פועל מול רשות המיסים כדי להסיר את מחדליו המיסויים</w:t>
      </w:r>
      <w:r>
        <w:rPr>
          <w:rtl w:val="true"/>
        </w:rPr>
        <w:t xml:space="preserve">, </w:t>
      </w:r>
      <w:r>
        <w:rPr>
          <w:rtl w:val="true"/>
        </w:rPr>
        <w:t>אך הוא טרם הספיק לעשות כן</w:t>
      </w:r>
      <w:r>
        <w:rPr>
          <w:rtl w:val="true"/>
        </w:rPr>
        <w:t xml:space="preserve">. </w:t>
      </w:r>
      <w:r>
        <w:rPr>
          <w:rtl w:val="true"/>
        </w:rPr>
        <w:t>בקשה זו של המערער נדחתה בו ביום</w:t>
      </w:r>
      <w:r>
        <w:rPr>
          <w:rtl w:val="true"/>
        </w:rPr>
        <w:t xml:space="preserve">, </w:t>
      </w:r>
      <w:r>
        <w:rPr>
          <w:rtl w:val="true"/>
        </w:rPr>
        <w:t xml:space="preserve">עת נקבע כי </w:t>
      </w:r>
      <w:r>
        <w:rPr>
          <w:rtl w:val="true"/>
        </w:rPr>
        <w:t>"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ישיבת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הטיעונים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לעונש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התקיימה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26.01.2023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למעלה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מחודש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וגזר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כתוב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שבוודאי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לבקשת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דחייה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15:35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יממה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הדיון</w:t>
      </w:r>
      <w:r>
        <w:rPr>
          <w:rtl w:val="true"/>
        </w:rPr>
        <w:t>".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06.03.2023</w:t>
      </w:r>
      <w:r>
        <w:rPr>
          <w:rtl w:val="true"/>
        </w:rPr>
        <w:t xml:space="preserve"> </w:t>
      </w:r>
      <w:r>
        <w:rPr>
          <w:rtl w:val="true"/>
        </w:rPr>
        <w:t>גזר בית משפט קמא את דינו של המערער</w:t>
      </w:r>
      <w:r>
        <w:rPr>
          <w:rtl w:val="true"/>
        </w:rPr>
        <w:t xml:space="preserve">. </w:t>
      </w:r>
      <w:r>
        <w:rPr>
          <w:rtl w:val="true"/>
        </w:rPr>
        <w:t>תחילה נקבע כי חרף העובדה שמדובר בעבירות הכרוכות זו בזו</w:t>
      </w:r>
      <w:r>
        <w:rPr>
          <w:rtl w:val="true"/>
        </w:rPr>
        <w:t xml:space="preserve">, </w:t>
      </w:r>
      <w:r>
        <w:rPr>
          <w:rtl w:val="true"/>
        </w:rPr>
        <w:t>נכון יהיה לקבוע שלושה מתחמי ענישה נפרדים</w:t>
      </w:r>
      <w:r>
        <w:rPr>
          <w:rtl w:val="true"/>
        </w:rPr>
        <w:t xml:space="preserve">, </w:t>
      </w:r>
      <w:r>
        <w:rPr>
          <w:rtl w:val="true"/>
        </w:rPr>
        <w:t>נוכח המסכת העובדתית השונה שבבסיס כל עבירה</w:t>
      </w:r>
      <w:r>
        <w:rPr>
          <w:rtl w:val="true"/>
        </w:rPr>
        <w:t xml:space="preserve">, </w:t>
      </w:r>
      <w:r>
        <w:rPr>
          <w:rtl w:val="true"/>
        </w:rPr>
        <w:t>זאת אף אם בעת גזירת העונש תיקבע חפיפה מסוימת ביניהם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עמד בית המשפט על חומרת המעשים בהם הורשע המערער</w:t>
      </w:r>
      <w:r>
        <w:rPr>
          <w:rtl w:val="true"/>
        </w:rPr>
        <w:t xml:space="preserve">, </w:t>
      </w:r>
      <w:r>
        <w:rPr>
          <w:rtl w:val="true"/>
        </w:rPr>
        <w:t>ועל הפגיעה המשמעותית בערכים המוגנים שבבסיסם</w:t>
      </w:r>
      <w:r>
        <w:rPr>
          <w:rtl w:val="true"/>
        </w:rPr>
        <w:t xml:space="preserve">. </w:t>
      </w:r>
      <w:r>
        <w:rPr>
          <w:rtl w:val="true"/>
        </w:rPr>
        <w:t>פגיעה שהתעצמה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בשים לב לכך שהמערער ביצע את המעשים בצוותא עם עובד ציבור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לאחר בחינת נסיבות ביצוע העבירות</w:t>
      </w:r>
      <w:r>
        <w:rPr>
          <w:rtl w:val="true"/>
        </w:rPr>
        <w:t xml:space="preserve">, </w:t>
      </w:r>
      <w:r>
        <w:rPr>
          <w:rtl w:val="true"/>
        </w:rPr>
        <w:t xml:space="preserve">וכן מדיניות הענישה הנוהגת במקרים דומים לאלו המיוחסים למערער </w:t>
      </w:r>
      <w:r>
        <w:rPr>
          <w:rtl w:val="true"/>
        </w:rPr>
        <w:t>–</w:t>
      </w:r>
      <w:r>
        <w:rPr>
          <w:rtl w:val="true"/>
        </w:rPr>
        <w:t xml:space="preserve"> קבע בית משפט קמא כי מתחם העונש ההולם בגין עבירת המרמה הוא בין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 מאסר לרבות בדרך של עבודות שירות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; </w:t>
      </w:r>
      <w:r>
        <w:rPr>
          <w:rtl w:val="true"/>
        </w:rPr>
        <w:t>בגין עבירת התחבולה בין מספר חודשי מאסר שיכול ויבוצעו בדרך של עבודות שירות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; </w:t>
      </w:r>
      <w:r>
        <w:rPr>
          <w:rtl w:val="true"/>
        </w:rPr>
        <w:t>ובעבירת המס</w:t>
      </w:r>
      <w:r>
        <w:rPr>
          <w:rtl w:val="true"/>
        </w:rPr>
        <w:t xml:space="preserve">, </w:t>
      </w:r>
      <w:r>
        <w:rPr/>
        <w:t>12-6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אשר לרכיב הקנס</w:t>
      </w:r>
      <w:r>
        <w:rPr>
          <w:rtl w:val="true"/>
        </w:rPr>
        <w:t xml:space="preserve">, </w:t>
      </w:r>
      <w:r>
        <w:rPr>
          <w:rtl w:val="true"/>
        </w:rPr>
        <w:t xml:space="preserve">התקבלה עמדת המדינה לפיה המתחם נע בין </w:t>
      </w:r>
      <w:r>
        <w:rPr/>
        <w:t>60,000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ל</w:t>
      </w:r>
      <w:r>
        <w:rPr>
          <w:rtl w:val="true"/>
        </w:rPr>
        <w:t>-</w:t>
      </w:r>
      <w:r>
        <w:rPr/>
        <w:t>120,000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בהתאם לסכום ההכנסות שהועלמו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בגזירת עונשו של המערער בגדרי המתחמים שנקבעו</w:t>
      </w:r>
      <w:r>
        <w:rPr>
          <w:rtl w:val="true"/>
        </w:rPr>
        <w:t xml:space="preserve">, </w:t>
      </w:r>
      <w:r>
        <w:rPr>
          <w:rtl w:val="true"/>
        </w:rPr>
        <w:t>בחן בית משפט קמא את נסיבותיו של המערער</w:t>
      </w:r>
      <w:r>
        <w:rPr>
          <w:rtl w:val="true"/>
        </w:rPr>
        <w:t xml:space="preserve">. </w:t>
      </w:r>
      <w:r>
        <w:rPr>
          <w:rtl w:val="true"/>
        </w:rPr>
        <w:t>לקולה</w:t>
      </w:r>
      <w:r>
        <w:rPr>
          <w:rtl w:val="true"/>
        </w:rPr>
        <w:t xml:space="preserve">, </w:t>
      </w:r>
      <w:r>
        <w:rPr>
          <w:rtl w:val="true"/>
        </w:rPr>
        <w:t>נשקל עברו הפלילי הנקי</w:t>
      </w:r>
      <w:r>
        <w:rPr>
          <w:rtl w:val="true"/>
        </w:rPr>
        <w:t xml:space="preserve">, </w:t>
      </w:r>
      <w:r>
        <w:rPr>
          <w:rtl w:val="true"/>
        </w:rPr>
        <w:t>והעובדה כי הודה במיוחס לו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הודגש כי הודאתו ניתנה בשלב מתקדם של ההליך</w:t>
      </w:r>
      <w:r>
        <w:rPr>
          <w:rtl w:val="true"/>
        </w:rPr>
        <w:t xml:space="preserve">, </w:t>
      </w:r>
      <w:r>
        <w:rPr>
          <w:rtl w:val="true"/>
        </w:rPr>
        <w:t>ולאחר התנהלות דיונית בעייתית אשר הביאה</w:t>
      </w:r>
      <w:r>
        <w:rPr>
          <w:rtl w:val="true"/>
        </w:rPr>
        <w:t xml:space="preserve">, </w:t>
      </w:r>
      <w:r>
        <w:rPr>
          <w:rtl w:val="true"/>
        </w:rPr>
        <w:t>גם אם לא לבדה</w:t>
      </w:r>
      <w:r>
        <w:rPr>
          <w:rtl w:val="true"/>
        </w:rPr>
        <w:t>,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לסחבת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בניהול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ההליך</w:t>
      </w:r>
      <w:r>
        <w:rPr>
          <w:rtl w:val="true"/>
        </w:rPr>
        <w:t xml:space="preserve">".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נדחו טענותיו של המערער שעניינן במצבו הכלכלי והרפואי</w:t>
      </w:r>
      <w:r>
        <w:rPr>
          <w:rtl w:val="true"/>
        </w:rPr>
        <w:t xml:space="preserve">, </w:t>
      </w:r>
      <w:r>
        <w:rPr>
          <w:rtl w:val="true"/>
        </w:rPr>
        <w:t>משלא הובאו להן די תימוכין</w:t>
      </w:r>
      <w:r>
        <w:rPr>
          <w:rtl w:val="true"/>
        </w:rPr>
        <w:t xml:space="preserve">. </w:t>
      </w:r>
      <w:r>
        <w:rPr>
          <w:rtl w:val="true"/>
        </w:rPr>
        <w:t>לחובת המערער הודגש כי חרף טענותיו</w:t>
      </w:r>
      <w:r>
        <w:rPr>
          <w:rtl w:val="true"/>
        </w:rPr>
        <w:t xml:space="preserve">, </w:t>
      </w:r>
      <w:r>
        <w:rPr>
          <w:rtl w:val="true"/>
        </w:rPr>
        <w:t>הרי שהוא לא פעל להסרת המחדל מול רשות המיסים</w:t>
      </w:r>
      <w:r>
        <w:rPr>
          <w:rtl w:val="true"/>
        </w:rPr>
        <w:t xml:space="preserve">, </w:t>
      </w:r>
      <w:r>
        <w:rPr>
          <w:rtl w:val="true"/>
        </w:rPr>
        <w:t>ולפיכך אין מקום לשקול את הפחתת עונשו בגין עבירת המס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נדרש בית המשפט לשיקולים שעניינם עיקרון האחידות בענישה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הודגשו קיומן של נסיבות אישיות ייחודיות לביאזי</w:t>
      </w:r>
      <w:r>
        <w:rPr>
          <w:rtl w:val="true"/>
        </w:rPr>
        <w:t xml:space="preserve">, </w:t>
      </w:r>
      <w:r>
        <w:rPr>
          <w:rtl w:val="true"/>
        </w:rPr>
        <w:t>והעובדה שעונשו נקבע תוך אימוץ הסדר טיעון שכלל הסכמה לעניין העונש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tl w:val="true"/>
        </w:rPr>
        <w:t>בית המשפט המחוזי אף ערך דיון ממצה בסוגיית הפיצויים לנפגעי עבירת התחבולה</w:t>
      </w:r>
      <w:r>
        <w:rPr>
          <w:rtl w:val="true"/>
        </w:rPr>
        <w:t xml:space="preserve">. </w:t>
      </w:r>
      <w:r>
        <w:rPr>
          <w:rtl w:val="true"/>
        </w:rPr>
        <w:t>בתוך כך הודגש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מחלוקת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בנדון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התעוררה </w:t>
      </w:r>
      <w:r>
        <w:rPr>
          <w:rFonts w:ascii="Arial TUR;Arial" w:hAnsi="Arial TUR;Arial" w:cs="Arial TUR;Arial"/>
          <w:sz w:val="22"/>
          <w:sz w:val="22"/>
          <w:rtl w:val="true"/>
        </w:rPr>
        <w:t>בשלב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מאוחר</w:t>
      </w:r>
      <w:r>
        <w:rPr>
          <w:rFonts w:cs="Arial TUR;Arial" w:ascii="Arial TUR;Arial" w:hAnsi="Arial TUR;Arial"/>
          <w:sz w:val="22"/>
          <w:rtl w:val="true"/>
        </w:rPr>
        <w:t xml:space="preserve">. </w:t>
      </w:r>
      <w:r>
        <w:rPr>
          <w:rFonts w:ascii="Arial TUR;Arial" w:hAnsi="Arial TUR;Arial" w:cs="Arial TUR;Arial"/>
          <w:sz w:val="22"/>
          <w:sz w:val="22"/>
          <w:rtl w:val="true"/>
        </w:rPr>
        <w:t>זמן רב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אחרי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הסדר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הטיעון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בו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הודע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למערער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כי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המאשימה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תעתור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לפיצויים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ו</w:t>
      </w:r>
      <w:r>
        <w:rPr>
          <w:rFonts w:ascii="Arial TUR;Arial" w:hAnsi="Arial TUR;Arial" w:cs="Arial TUR;Arial"/>
          <w:sz w:val="22"/>
          <w:sz w:val="22"/>
          <w:rtl w:val="true"/>
        </w:rPr>
        <w:t>אחר</w:t>
      </w:r>
      <w:r>
        <w:rPr>
          <w:rFonts w:ascii="Arial TUR;Arial" w:hAnsi="Arial TUR;Arial" w:cs="Arial TUR;Arial"/>
          <w:sz w:val="22"/>
          <w:sz w:val="22"/>
          <w:rtl w:val="true"/>
        </w:rPr>
        <w:t>י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ישיבת הטיעונים לעונש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במסגרתה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עתרה </w:t>
      </w:r>
      <w:r>
        <w:rPr>
          <w:sz w:val="22"/>
          <w:sz w:val="22"/>
          <w:rtl w:val="true"/>
        </w:rPr>
        <w:t>המדינה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לחיוב </w:t>
      </w:r>
      <w:r>
        <w:rPr>
          <w:sz w:val="22"/>
          <w:sz w:val="22"/>
          <w:rtl w:val="true"/>
        </w:rPr>
        <w:t>המערער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בתשלום פיצויים כאמור</w:t>
      </w:r>
      <w:r>
        <w:rPr>
          <w:sz w:val="22"/>
          <w:rtl w:val="true"/>
        </w:rPr>
        <w:t>.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 הודגש</w:t>
      </w:r>
      <w:r>
        <w:rPr>
          <w:sz w:val="22"/>
          <w:rtl w:val="true"/>
        </w:rPr>
        <w:t>,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 xml:space="preserve">מספר ימים לאחר </w:t>
      </w:r>
      <w:r>
        <w:rPr>
          <w:sz w:val="22"/>
          <w:sz w:val="22"/>
          <w:rtl w:val="true"/>
        </w:rPr>
        <w:t>ישיבת</w:t>
      </w:r>
      <w:r>
        <w:rPr>
          <w:sz w:val="22"/>
          <w:sz w:val="22"/>
          <w:rtl w:val="true"/>
        </w:rPr>
        <w:t xml:space="preserve"> הטיעונים לעונש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 xml:space="preserve">הגישה </w:t>
      </w:r>
      <w:r>
        <w:rPr>
          <w:sz w:val="22"/>
          <w:sz w:val="22"/>
          <w:rtl w:val="true"/>
        </w:rPr>
        <w:t>המדינה</w:t>
      </w:r>
      <w:r>
        <w:rPr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הודעה המפרטת את שמות ששת נפגעי עבירת</w:t>
      </w:r>
      <w:r>
        <w:rPr>
          <w:sz w:val="22"/>
          <w:sz w:val="22"/>
          <w:rtl w:val="true"/>
        </w:rPr>
        <w:t xml:space="preserve"> התחבולה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הזכאים לפיצוי שהתבקש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ההודעה</w:t>
      </w:r>
      <w:r>
        <w:rPr>
          <w:rFonts w:cs="Century" w:ascii="Century" w:hAnsi="Century"/>
          <w:rtl w:val="true"/>
        </w:rPr>
        <w:t>)</w:t>
      </w:r>
      <w:r>
        <w:rPr>
          <w:rFonts w:cs="Arial TUR;Arial" w:ascii="Arial TUR;Arial" w:hAnsi="Arial TUR;Arial"/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בהמשך לכך</w:t>
      </w:r>
      <w:r>
        <w:rPr>
          <w:sz w:val="22"/>
          <w:rtl w:val="true"/>
        </w:rPr>
        <w:t>,</w:t>
      </w:r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הוגשה תגובת </w:t>
      </w:r>
      <w:r>
        <w:rPr>
          <w:sz w:val="22"/>
          <w:sz w:val="22"/>
          <w:rtl w:val="true"/>
        </w:rPr>
        <w:t>המערער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שבה נ</w:t>
      </w:r>
      <w:r>
        <w:rPr>
          <w:sz w:val="22"/>
          <w:sz w:val="22"/>
          <w:rtl w:val="true"/>
        </w:rPr>
        <w:t>ימק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התנגדותו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לפסיקת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פיצויים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לרבות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טענות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לא עלו בישיבת הטיעונים לעונש</w:t>
      </w:r>
      <w:r>
        <w:rPr>
          <w:sz w:val="22"/>
          <w:rtl w:val="true"/>
        </w:rPr>
        <w:t>.</w:t>
      </w:r>
      <w:r>
        <w:rPr>
          <w:rtl w:val="true"/>
        </w:rPr>
        <w:t xml:space="preserve"> </w:t>
      </w:r>
      <w:r>
        <w:rPr>
          <w:rFonts w:ascii="Century" w:hAnsi="Century" w:cs="Century"/>
          <w:rtl w:val="true"/>
        </w:rPr>
        <w:t>בין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היתר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בפירוט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עבירת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התחבולה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בכתב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האישום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לא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צוינו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שמות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</w:t>
      </w:r>
      <w:r>
        <w:rPr>
          <w:rFonts w:ascii="Century" w:hAnsi="Century" w:cs="Century"/>
          <w:sz w:val="22"/>
          <w:sz w:val="22"/>
          <w:rtl w:val="true"/>
        </w:rPr>
        <w:t>מתלוננים</w:t>
      </w:r>
      <w:r>
        <w:rPr>
          <w:rFonts w:cs="Century" w:ascii="Century" w:hAnsi="Century"/>
          <w:sz w:val="22"/>
          <w:rtl w:val="true"/>
        </w:rPr>
        <w:t>;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לא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נטען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כי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מהלקוחות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לא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קיבל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תמורה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לתשלום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ששילם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rtl w:val="true"/>
        </w:rPr>
        <w:t>למערער</w:t>
      </w:r>
      <w:r>
        <w:rPr>
          <w:rFonts w:cs="Century" w:ascii="Century" w:hAnsi="Century"/>
          <w:rtl w:val="true"/>
        </w:rPr>
        <w:t>;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ואף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נטען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נגרם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נזק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זאת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ועוד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נטען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חסרה</w:t>
      </w:r>
      <w:r>
        <w:rPr>
          <w:rFonts w:ascii="Century" w:hAnsi="Century" w:cs="Century"/>
          <w:sz w:val="22"/>
          <w:sz w:val="22"/>
          <w:rtl w:val="true"/>
        </w:rPr>
        <w:t xml:space="preserve"> הצהרת נפגע של אחד </w:t>
      </w:r>
      <w:r>
        <w:rPr>
          <w:rFonts w:ascii="Century" w:hAnsi="Century" w:cs="Century"/>
          <w:sz w:val="22"/>
          <w:sz w:val="22"/>
          <w:rtl w:val="true"/>
        </w:rPr>
        <w:t>מהשמות שהגישה המדינה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פורטו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משגרימת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ומשהמערער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שכלפיהם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בתחבולה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תצהיר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  <w:r>
        <w:rPr>
          <w:rtl w:val="true"/>
        </w:rPr>
        <w:t>בנתון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שסיפקה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בנפגעים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חיסרון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כיס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 xml:space="preserve">אחר כל אלו </w:t>
      </w:r>
      <w:r>
        <w:rPr>
          <w:rtl w:val="true"/>
        </w:rPr>
        <w:t>נקבע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בעבירת</w:t>
      </w:r>
      <w:r>
        <w:rPr>
          <w:rtl w:val="true"/>
        </w:rPr>
        <w:t xml:space="preserve"> </w:t>
      </w:r>
      <w:r>
        <w:rPr>
          <w:rtl w:val="true"/>
        </w:rPr>
        <w:t>המרמה</w:t>
      </w:r>
      <w:r>
        <w:rPr>
          <w:rtl w:val="true"/>
        </w:rPr>
        <w:t xml:space="preserve"> </w:t>
      </w:r>
      <w:r>
        <w:rPr>
          <w:rtl w:val="true"/>
        </w:rPr>
        <w:t>ובעבירת</w:t>
      </w:r>
      <w:r>
        <w:rPr>
          <w:rtl w:val="true"/>
        </w:rPr>
        <w:t xml:space="preserve"> </w:t>
      </w:r>
      <w:r>
        <w:rPr>
          <w:rtl w:val="true"/>
        </w:rPr>
        <w:t>התחבולה</w:t>
      </w:r>
      <w:r>
        <w:rPr>
          <w:rtl w:val="true"/>
        </w:rPr>
        <w:t xml:space="preserve"> </w:t>
      </w:r>
      <w:r>
        <w:rPr>
          <w:rtl w:val="true"/>
        </w:rPr>
        <w:t>יועמד</w:t>
      </w:r>
      <w:r>
        <w:rPr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בתחתית</w:t>
      </w:r>
      <w:r>
        <w:rPr>
          <w:rtl w:val="true"/>
        </w:rPr>
        <w:t xml:space="preserve"> </w:t>
      </w:r>
      <w:r>
        <w:rPr>
          <w:rtl w:val="true"/>
        </w:rPr>
        <w:t>מתחמי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; </w:t>
      </w:r>
      <w:r>
        <w:rPr>
          <w:rtl w:val="true"/>
        </w:rPr>
        <w:t>בעבירת</w:t>
      </w:r>
      <w:r>
        <w:rPr>
          <w:rtl w:val="true"/>
        </w:rPr>
        <w:t xml:space="preserve"> </w:t>
      </w:r>
      <w:r>
        <w:rPr>
          <w:rtl w:val="true"/>
        </w:rPr>
        <w:t>המס</w:t>
      </w:r>
      <w:r>
        <w:rPr>
          <w:rtl w:val="true"/>
        </w:rPr>
        <w:t xml:space="preserve">, </w:t>
      </w:r>
      <w:r>
        <w:rPr>
          <w:rtl w:val="true"/>
        </w:rPr>
        <w:t>בחלקו</w:t>
      </w:r>
      <w:r>
        <w:rPr>
          <w:rtl w:val="true"/>
        </w:rPr>
        <w:t xml:space="preserve"> </w:t>
      </w:r>
      <w:r>
        <w:rPr>
          <w:rtl w:val="true"/>
        </w:rPr>
        <w:t>הנמוך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 – </w:t>
      </w:r>
      <w:r>
        <w:rPr>
          <w:rtl w:val="true"/>
        </w:rPr>
        <w:t>אך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בתחתיתו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כי </w:t>
      </w:r>
      <w:r>
        <w:rPr>
          <w:rtl w:val="true"/>
        </w:rPr>
        <w:t>רכיב</w:t>
      </w:r>
      <w:r>
        <w:rPr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 </w:t>
      </w:r>
      <w:r>
        <w:rPr>
          <w:rtl w:val="true"/>
        </w:rPr>
        <w:t>יקבע</w:t>
      </w:r>
      <w:r>
        <w:rPr>
          <w:rtl w:val="true"/>
        </w:rPr>
        <w:t xml:space="preserve"> </w:t>
      </w:r>
      <w:r>
        <w:rPr>
          <w:rtl w:val="true"/>
        </w:rPr>
        <w:t>באמצע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עונשי</w:t>
      </w:r>
      <w:r>
        <w:rPr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יהיו תוך</w:t>
      </w:r>
      <w:r>
        <w:rPr>
          <w:rtl w:val="true"/>
        </w:rPr>
        <w:t xml:space="preserve"> </w:t>
      </w:r>
      <w:r>
        <w:rPr>
          <w:rtl w:val="true"/>
        </w:rPr>
        <w:t>חפיפה</w:t>
      </w:r>
      <w:r>
        <w:rPr>
          <w:rtl w:val="true"/>
        </w:rPr>
        <w:t xml:space="preserve"> </w:t>
      </w:r>
      <w:r>
        <w:rPr>
          <w:rtl w:val="true"/>
        </w:rPr>
        <w:t>חלקית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 </w:t>
      </w:r>
      <w:r>
        <w:rPr>
          <w:rtl w:val="true"/>
        </w:rPr>
        <w:t>ותשלום</w:t>
      </w:r>
      <w:r>
        <w:rPr>
          <w:rtl w:val="true"/>
        </w:rPr>
        <w:t xml:space="preserve"> </w:t>
      </w:r>
      <w:r>
        <w:rPr>
          <w:rtl w:val="true"/>
        </w:rPr>
        <w:t>פיצויים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נגזרו</w:t>
      </w:r>
      <w:r>
        <w:rPr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מאסרים</w:t>
      </w:r>
      <w:r>
        <w:rPr>
          <w:rtl w:val="true"/>
        </w:rPr>
        <w:t xml:space="preserve"> </w:t>
      </w:r>
      <w:r>
        <w:rPr>
          <w:rtl w:val="true"/>
        </w:rPr>
        <w:t>מותנים</w:t>
      </w:r>
      <w:r>
        <w:rPr>
          <w:rtl w:val="true"/>
        </w:rPr>
        <w:t xml:space="preserve">; </w:t>
      </w:r>
      <w:r>
        <w:rPr>
          <w:rtl w:val="true"/>
        </w:rPr>
        <w:t>קנס</w:t>
      </w:r>
      <w:r>
        <w:rPr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 </w:t>
      </w:r>
      <w:r>
        <w:rPr>
          <w:rtl w:val="true"/>
        </w:rPr>
        <w:t>בסך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/>
        <w:t>90,000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; </w:t>
      </w:r>
      <w:r>
        <w:rPr>
          <w:rtl w:val="true"/>
        </w:rPr>
        <w:t>ופיצוי</w:t>
      </w:r>
      <w:r>
        <w:rPr>
          <w:rtl w:val="true"/>
        </w:rPr>
        <w:t xml:space="preserve"> </w:t>
      </w:r>
      <w:r>
        <w:rPr>
          <w:rtl w:val="true"/>
        </w:rPr>
        <w:t>לנפגעי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התחבולה</w:t>
      </w:r>
      <w:r>
        <w:rPr>
          <w:rtl w:val="true"/>
        </w:rPr>
        <w:t xml:space="preserve">, </w:t>
      </w:r>
      <w:r>
        <w:rPr>
          <w:rtl w:val="true"/>
        </w:rPr>
        <w:t>בסך</w:t>
      </w:r>
      <w:r>
        <w:rPr>
          <w:rtl w:val="true"/>
        </w:rPr>
        <w:t xml:space="preserve"> </w:t>
      </w:r>
      <w:r>
        <w:rPr>
          <w:rtl w:val="true"/>
        </w:rPr>
        <w:t>כולל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/>
        <w:t>24,000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/>
        <w:t>4,000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>).</w:t>
      </w:r>
    </w:p>
    <w:p>
      <w:pPr>
        <w:pStyle w:val="Ruller42"/>
        <w:spacing w:before="240" w:after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הטלת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ההוצאות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02.12.2022</w:t>
      </w:r>
      <w:r>
        <w:rPr>
          <w:rtl w:val="true"/>
        </w:rPr>
        <w:t xml:space="preserve">, </w:t>
      </w:r>
      <w:r>
        <w:rPr>
          <w:rtl w:val="true"/>
        </w:rPr>
        <w:t>אגב דחיית בקשה לפסילת מותב שהוגשה על</w:t>
      </w:r>
      <w:r>
        <w:rPr>
          <w:rtl w:val="true"/>
        </w:rPr>
        <w:t>-</w:t>
      </w:r>
      <w:r>
        <w:rPr>
          <w:rtl w:val="true"/>
        </w:rPr>
        <w:t>ידי המערער</w:t>
      </w:r>
      <w:r>
        <w:rPr>
          <w:rtl w:val="true"/>
        </w:rPr>
        <w:t xml:space="preserve">, </w:t>
      </w:r>
      <w:r>
        <w:rPr>
          <w:rtl w:val="true"/>
        </w:rPr>
        <w:t>הוטלו על המערער הוצאות שגם הן חלק מהערעור שלפנינו</w:t>
      </w:r>
      <w:r>
        <w:rPr>
          <w:rtl w:val="true"/>
        </w:rPr>
        <w:t xml:space="preserve">. </w:t>
      </w:r>
      <w:r>
        <w:rPr>
          <w:rtl w:val="true"/>
        </w:rPr>
        <w:t>בתמצית יוסבר</w:t>
      </w:r>
      <w:r>
        <w:rPr>
          <w:rtl w:val="true"/>
        </w:rPr>
        <w:t xml:space="preserve">, </w:t>
      </w:r>
      <w:r>
        <w:rPr>
          <w:rtl w:val="true"/>
        </w:rPr>
        <w:t>כי בית משפט קמא קבע כי התנהלות המערער ובא</w:t>
      </w:r>
      <w:r>
        <w:rPr>
          <w:rtl w:val="true"/>
        </w:rPr>
        <w:t>-</w:t>
      </w:r>
      <w:r>
        <w:rPr>
          <w:rtl w:val="true"/>
        </w:rPr>
        <w:t>כוחו בהליך</w:t>
      </w:r>
      <w:r>
        <w:rPr>
          <w:rtl w:val="true"/>
        </w:rPr>
        <w:t xml:space="preserve">, </w:t>
      </w:r>
      <w:r>
        <w:rPr>
          <w:rtl w:val="true"/>
        </w:rPr>
        <w:t>הייתה רצופה בהתעלמות מהחלטות בית המשפט</w:t>
      </w:r>
      <w:r>
        <w:rPr>
          <w:rtl w:val="true"/>
        </w:rPr>
        <w:t xml:space="preserve">, </w:t>
      </w:r>
      <w:r>
        <w:rPr>
          <w:rtl w:val="true"/>
        </w:rPr>
        <w:t xml:space="preserve">התנהלות אשר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לשיאה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01.12.2022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שבמהלכו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ניסיון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אפשרי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למנוע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שמיעת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ההוכחות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שאמורה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הייתה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להתחיל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tl w:val="true"/>
        </w:rPr>
        <w:t xml:space="preserve">".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המשיך וקבע בית המשפט</w:t>
      </w:r>
      <w:r>
        <w:rPr>
          <w:rtl w:val="true"/>
        </w:rPr>
        <w:t xml:space="preserve">, </w:t>
      </w:r>
      <w:r>
        <w:rPr>
          <w:rtl w:val="true"/>
        </w:rPr>
        <w:t>כי בא</w:t>
      </w:r>
      <w:r>
        <w:rPr>
          <w:rtl w:val="true"/>
        </w:rPr>
        <w:t>-</w:t>
      </w:r>
      <w:r>
        <w:rPr>
          <w:rtl w:val="true"/>
        </w:rPr>
        <w:t>כוחו של המערער אף הורה לו לעזוב את בית המשפט</w:t>
      </w:r>
      <w:r>
        <w:rPr>
          <w:rtl w:val="true"/>
        </w:rPr>
        <w:t xml:space="preserve">, </w:t>
      </w:r>
      <w:r>
        <w:rPr>
          <w:rtl w:val="true"/>
        </w:rPr>
        <w:t>חרף החלטה מפורשת שקבעה כי המערער אינו רשאי לעשות כן</w:t>
      </w:r>
      <w:r>
        <w:rPr>
          <w:rtl w:val="true"/>
        </w:rPr>
        <w:t xml:space="preserve">. </w:t>
      </w:r>
      <w:r>
        <w:rPr>
          <w:rtl w:val="true"/>
        </w:rPr>
        <w:t>לאחר שנבחנו מסמכים רפואיים שהגיש המערער</w:t>
      </w:r>
      <w:r>
        <w:rPr>
          <w:rtl w:val="true"/>
        </w:rPr>
        <w:t xml:space="preserve">, </w:t>
      </w:r>
      <w:r>
        <w:rPr>
          <w:rtl w:val="true"/>
        </w:rPr>
        <w:t>אשר הצדיקו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 xml:space="preserve">את עזיבת הדיון בשל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בדיקה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דחופה</w:t>
      </w:r>
      <w:r>
        <w:rPr>
          <w:rtl w:val="true"/>
        </w:rPr>
        <w:t xml:space="preserve">", </w:t>
      </w:r>
      <w:r>
        <w:rPr>
          <w:rtl w:val="true"/>
        </w:rPr>
        <w:t xml:space="preserve">קבע בית המשפט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הייתה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הצדקה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ההתנהלות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tl w:val="true"/>
        </w:rPr>
        <w:t xml:space="preserve">". </w:t>
      </w:r>
      <w:r>
        <w:rPr>
          <w:rtl w:val="true"/>
        </w:rPr>
        <w:t xml:space="preserve">עוד נקבע כי </w:t>
      </w:r>
      <w:r>
        <w:rPr>
          <w:rtl w:val="true"/>
        </w:rPr>
        <w:t>"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הנתמכת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בעובדות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הצדיקה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להימנע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משמיעת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הדיון</w:t>
      </w:r>
      <w:r>
        <w:rPr>
          <w:rtl w:val="true"/>
        </w:rPr>
        <w:t xml:space="preserve">". </w:t>
      </w:r>
      <w:r>
        <w:rPr>
          <w:rtl w:val="true"/>
        </w:rPr>
        <w:t>לנוכח בזבוז יום דיונים ללא כל הצדקה</w:t>
      </w:r>
      <w:r>
        <w:rPr>
          <w:rtl w:val="true"/>
        </w:rPr>
        <w:t xml:space="preserve">, </w:t>
      </w:r>
      <w:r>
        <w:rPr>
          <w:rtl w:val="true"/>
        </w:rPr>
        <w:t>ובכלל זה הצורך בתשלום הוצאות עד שהתייצב לדיון</w:t>
      </w:r>
      <w:r>
        <w:rPr>
          <w:rtl w:val="true"/>
        </w:rPr>
        <w:t xml:space="preserve">, </w:t>
      </w:r>
      <w:r>
        <w:rPr>
          <w:rtl w:val="true"/>
        </w:rPr>
        <w:t xml:space="preserve">הוצאות חברת ההקלטה והוצאות המתורגמנית שהגיעה </w:t>
      </w:r>
      <w:r>
        <w:rPr>
          <w:rtl w:val="true"/>
        </w:rPr>
        <w:t>–</w:t>
      </w:r>
      <w:r>
        <w:rPr>
          <w:rtl w:val="true"/>
        </w:rPr>
        <w:t xml:space="preserve"> ולאחר שנשמעו טענות הצדדים בעניין</w:t>
      </w:r>
      <w:r>
        <w:rPr>
          <w:rtl w:val="true"/>
        </w:rPr>
        <w:t xml:space="preserve">, </w:t>
      </w:r>
      <w:r>
        <w:rPr>
          <w:rtl w:val="true"/>
        </w:rPr>
        <w:t>על המערער הושתו הוצאות לטובת אוצר המדינה</w:t>
      </w:r>
      <w:r>
        <w:rPr>
          <w:rtl w:val="true"/>
        </w:rPr>
        <w:t xml:space="preserve">, </w:t>
      </w:r>
      <w:r>
        <w:rPr>
          <w:rtl w:val="true"/>
        </w:rPr>
        <w:t xml:space="preserve">בסך של </w:t>
      </w:r>
      <w:r>
        <w:rPr/>
        <w:t>1,000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 xml:space="preserve">בהתאם </w:t>
      </w:r>
      <w:hyperlink r:id="rId24">
        <w:r>
          <w:rPr>
            <w:rStyle w:val="Hyperlink"/>
            <w:rtl w:val="true"/>
          </w:rPr>
          <w:t>לתקנה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-</w:t>
      </w:r>
      <w:r>
        <w:rPr/>
        <w:t>1974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תקסד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</w:t>
      </w:r>
      <w:r>
        <w:rPr>
          <w:rtl w:val="true"/>
        </w:rPr>
        <w:t>)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spacing w:before="240" w:after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הנוספים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>
          <w:rFonts w:ascii="Arial TUR;Arial" w:hAnsi="Arial TUR;Arial" w:cs="Arial TUR;Arial"/>
          <w:color w:val="333333"/>
          <w:sz w:val="22"/>
          <w:szCs w:val="22"/>
        </w:rPr>
      </w:pPr>
      <w:r>
        <w:rPr>
          <w:rtl w:val="true"/>
        </w:rPr>
        <w:t>למען שלמות התמונה יצוין</w:t>
      </w:r>
      <w:r>
        <w:rPr>
          <w:rtl w:val="true"/>
        </w:rPr>
        <w:t xml:space="preserve">, </w:t>
      </w:r>
      <w:r>
        <w:rPr>
          <w:rtl w:val="true"/>
        </w:rPr>
        <w:t xml:space="preserve">כי ביאזי הורשע ביום </w:t>
      </w:r>
      <w:r>
        <w:rPr/>
        <w:t>22.04.2021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הודאתו בכתב אישום מתוקן במסגרת הסדר טיעון אשר כלל הסכמה עונשית</w:t>
      </w:r>
      <w:r>
        <w:rPr>
          <w:rtl w:val="true"/>
        </w:rPr>
        <w:t xml:space="preserve">. </w:t>
      </w:r>
      <w:r>
        <w:rPr>
          <w:rtl w:val="true"/>
        </w:rPr>
        <w:t>בהתאם להסכמות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03.03.2022</w:t>
      </w:r>
      <w:r>
        <w:rPr>
          <w:rtl w:val="true"/>
        </w:rPr>
        <w:t xml:space="preserve"> </w:t>
      </w:r>
      <w:r>
        <w:rPr>
          <w:rtl w:val="true"/>
        </w:rPr>
        <w:t xml:space="preserve">נגזר דינו ועונשו הועמד על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 מאסר שיבוצעו בדרך של עבודות שירות</w:t>
      </w:r>
      <w:r>
        <w:rPr>
          <w:rtl w:val="true"/>
        </w:rPr>
        <w:t xml:space="preserve">; </w:t>
      </w:r>
      <w:r>
        <w:rPr>
          <w:rtl w:val="true"/>
        </w:rPr>
        <w:t xml:space="preserve">קנס בסך </w:t>
      </w:r>
      <w:r>
        <w:rPr/>
        <w:t>100,000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ומאסר מותנה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בגזר דינו צוינו התחייבויות להן התחייב ביאזי</w:t>
      </w:r>
      <w:r>
        <w:rPr>
          <w:rtl w:val="true"/>
        </w:rPr>
        <w:t xml:space="preserve">, </w:t>
      </w:r>
      <w:r>
        <w:rPr>
          <w:rtl w:val="true"/>
        </w:rPr>
        <w:t xml:space="preserve">ביניהן התחייבות שלא לעבוד בעיריית ירושלים או בכל גוף אכיפה אחר במשך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הנאשם הנוסף בהליך</w:t>
      </w:r>
      <w:r>
        <w:rPr>
          <w:rtl w:val="true"/>
        </w:rPr>
        <w:t xml:space="preserve">, </w:t>
      </w:r>
      <w:r>
        <w:rPr>
          <w:rtl w:val="true"/>
        </w:rPr>
        <w:t>חסן עבד אלקאדר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הורשע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ביום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01.12.2022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במסגרת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הסדר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טיעון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שכלל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הסכמה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חלקית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לעניין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העונש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ביום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28.02.2023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נגזר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דינו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והושתו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עבד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אלקאדר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5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חודשי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מאסר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שירוצו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בדרך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עבודות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שירות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קנס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בסך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100,000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ח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ומאסר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מותנה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יוער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גם</w:t>
      </w:r>
      <w:r>
        <w:rPr>
          <w:rFonts w:ascii="Century" w:hAnsi="Century" w:cs="Century"/>
          <w:sz w:val="22"/>
          <w:sz w:val="22"/>
          <w:rtl w:val="true"/>
        </w:rPr>
        <w:t xml:space="preserve"> עבד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אלקאדר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ערער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גזר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דינו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ועניינו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נדון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במאוחד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עניינו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המערער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שלפנינו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ברם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בתום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הדיון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הוסכם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כי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התערבות</w:t>
      </w:r>
      <w:r>
        <w:rPr>
          <w:rFonts w:ascii="Century" w:hAnsi="Century" w:cs="Century"/>
          <w:sz w:val="22"/>
          <w:sz w:val="22"/>
          <w:rtl w:val="true"/>
        </w:rPr>
        <w:t>נו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בגזר דינו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תתבטא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בקיצור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אורך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יום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העבודה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בדרך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עבודות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השירות</w:t>
      </w:r>
      <w:r>
        <w:rPr>
          <w:rFonts w:ascii="Century" w:hAnsi="Century" w:cs="Century"/>
          <w:sz w:val="22"/>
          <w:sz w:val="22"/>
          <w:rtl w:val="true"/>
        </w:rPr>
        <w:t xml:space="preserve"> – </w:t>
      </w:r>
      <w:r>
        <w:rPr>
          <w:rFonts w:ascii="Century" w:hAnsi="Century" w:cs="Century"/>
          <w:sz w:val="22"/>
          <w:sz w:val="22"/>
          <w:rtl w:val="true"/>
        </w:rPr>
        <w:t>משמונה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שעות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לשש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שעות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hyperlink r:id="rId26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5647/23</w:t>
        </w:r>
      </w:hyperlink>
      <w:r>
        <w:rPr>
          <w:rFonts w:cs="Century" w:ascii="Century" w:hAnsi="Century"/>
          <w:sz w:val="22"/>
          <w:rtl w:val="true"/>
        </w:rPr>
        <w:t>).</w:t>
      </w:r>
    </w:p>
    <w:p>
      <w:pPr>
        <w:pStyle w:val="Ruller42"/>
        <w:spacing w:before="240" w:after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דנן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לפנינו ערעור על גזר הדין ועל ההוצאות שהוטלו על המערער</w:t>
      </w:r>
      <w:r>
        <w:rPr>
          <w:rtl w:val="true"/>
        </w:rPr>
        <w:t xml:space="preserve">. </w:t>
      </w:r>
      <w:r>
        <w:rPr>
          <w:rtl w:val="true"/>
        </w:rPr>
        <w:t>לצד הערעור הוגשה בקשה לעיכוב ביצוע עונש המאסר בפועל וכן עיכוב תשלום הפיצויים לנפגעי העבירה</w:t>
      </w:r>
      <w:r>
        <w:rPr>
          <w:rtl w:val="true"/>
        </w:rPr>
        <w:t xml:space="preserve">. </w:t>
      </w:r>
      <w:r>
        <w:rPr>
          <w:rtl w:val="true"/>
        </w:rPr>
        <w:t xml:space="preserve">בקשה זו התקבלה בחלקה בהחלטתי מיום </w:t>
      </w:r>
      <w:r>
        <w:rPr/>
        <w:t>19.04.2023</w:t>
      </w:r>
      <w:r>
        <w:rPr>
          <w:rtl w:val="true"/>
        </w:rPr>
        <w:t xml:space="preserve">, </w:t>
      </w:r>
      <w:r>
        <w:rPr>
          <w:rtl w:val="true"/>
        </w:rPr>
        <w:t>כך שמועד תחילת ריצוי עונש המאסר בפועל עוכב</w:t>
      </w:r>
      <w:r>
        <w:rPr>
          <w:rtl w:val="true"/>
        </w:rPr>
        <w:t xml:space="preserve">, </w:t>
      </w:r>
      <w:r>
        <w:rPr>
          <w:rtl w:val="true"/>
        </w:rPr>
        <w:t>תחת תנאים נוספים שנקבעו לרבות הפקדת ערבויות</w:t>
      </w:r>
      <w:r>
        <w:rPr>
          <w:rtl w:val="true"/>
        </w:rPr>
        <w:t xml:space="preserve">; </w:t>
      </w:r>
      <w:r>
        <w:rPr>
          <w:rtl w:val="true"/>
        </w:rPr>
        <w:t xml:space="preserve">ואילו הבקשה לעיכוב ביצוע תשלום הפיצוי הכספי </w:t>
      </w:r>
      <w:r>
        <w:rPr>
          <w:rtl w:val="true"/>
        </w:rPr>
        <w:t>–</w:t>
      </w:r>
      <w:r>
        <w:rPr>
          <w:rtl w:val="true"/>
        </w:rPr>
        <w:t xml:space="preserve"> נדחתה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בערעור התבקשנו להורות על ביטול עונש המאסר בפועל ולקבוע תחתיו עונש של עבודות שירות למשך מספר חודשים בודדים</w:t>
      </w:r>
      <w:r>
        <w:rPr>
          <w:rtl w:val="true"/>
        </w:rPr>
        <w:t xml:space="preserve">; </w:t>
      </w:r>
      <w:r>
        <w:rPr>
          <w:rtl w:val="true"/>
        </w:rPr>
        <w:t>לבטל את חיובו של המערער בתשלום פיצויים לנפגעי העבירה</w:t>
      </w:r>
      <w:r>
        <w:rPr>
          <w:rtl w:val="true"/>
        </w:rPr>
        <w:t xml:space="preserve">; </w:t>
      </w:r>
      <w:r>
        <w:rPr>
          <w:rtl w:val="true"/>
        </w:rPr>
        <w:t>ולהורות על ביטול ההוצאות לאוצר המדינה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 xml:space="preserve">בערעור נטען כי שגה בית המשפט המחוזי בקביעת עונשו של המערער </w:t>
      </w:r>
      <w:r>
        <w:rPr>
          <w:rtl w:val="true"/>
        </w:rPr>
        <w:t>–</w:t>
      </w:r>
      <w:r>
        <w:rPr>
          <w:rtl w:val="true"/>
        </w:rPr>
        <w:t xml:space="preserve"> הן בעצם קביעת שלושה מתחמי ענישה נפרדים</w:t>
      </w:r>
      <w:r>
        <w:rPr>
          <w:rtl w:val="true"/>
        </w:rPr>
        <w:t xml:space="preserve">, </w:t>
      </w:r>
      <w:r>
        <w:rPr>
          <w:rtl w:val="true"/>
        </w:rPr>
        <w:t>הן ביחס למתחם העונש ההולם שנקבע בגין כל אחד מהמתחמים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בשים לב לנסיבות המעשים ולמדיניות הענישה הנוהגת במקרים דומים</w:t>
      </w:r>
      <w:r>
        <w:rPr>
          <w:rtl w:val="true"/>
        </w:rPr>
        <w:t xml:space="preserve">, </w:t>
      </w:r>
      <w:r>
        <w:rPr>
          <w:rtl w:val="true"/>
        </w:rPr>
        <w:t>שנסקרו בערעור</w:t>
      </w:r>
      <w:r>
        <w:rPr>
          <w:rtl w:val="true"/>
        </w:rPr>
        <w:t xml:space="preserve">. </w:t>
      </w: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>כי שגה בית משפט קמא בגזירת עונשו של המערער בגדרי המתחמים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נסיבותיו הפרטניות</w:t>
      </w:r>
      <w:r>
        <w:rPr>
          <w:rtl w:val="true"/>
        </w:rPr>
        <w:t xml:space="preserve">, </w:t>
      </w:r>
      <w:r>
        <w:rPr>
          <w:rtl w:val="true"/>
        </w:rPr>
        <w:t>חלוף הזמן ממועד ביצוע העבירות</w:t>
      </w:r>
      <w:r>
        <w:rPr>
          <w:rtl w:val="true"/>
        </w:rPr>
        <w:t xml:space="preserve">, </w:t>
      </w:r>
      <w:r>
        <w:rPr>
          <w:rtl w:val="true"/>
        </w:rPr>
        <w:t xml:space="preserve">ועיקרון האחידות בענישה </w:t>
      </w:r>
      <w:r>
        <w:rPr>
          <w:rtl w:val="true"/>
        </w:rPr>
        <w:t>–</w:t>
      </w:r>
      <w:r>
        <w:rPr>
          <w:rtl w:val="true"/>
        </w:rPr>
        <w:t xml:space="preserve"> מצדיקים הקלה בעונשו כפי שהתבקש על</w:t>
      </w:r>
      <w:r>
        <w:rPr>
          <w:rtl w:val="true"/>
        </w:rPr>
        <w:t>-</w:t>
      </w:r>
      <w:r>
        <w:rPr>
          <w:rtl w:val="true"/>
        </w:rPr>
        <w:t>ידו</w:t>
      </w:r>
      <w:r>
        <w:rPr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בנוסף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טען המערער כי </w:t>
      </w:r>
      <w:r>
        <w:rPr>
          <w:rtl w:val="true"/>
        </w:rPr>
        <w:t>הוא ניסה</w:t>
      </w:r>
      <w:r>
        <w:rPr>
          <w:rtl w:val="true"/>
        </w:rPr>
        <w:t xml:space="preserve">, </w:t>
      </w:r>
      <w:r>
        <w:rPr>
          <w:rtl w:val="true"/>
        </w:rPr>
        <w:t>ניסיון של ממש</w:t>
      </w:r>
      <w:r>
        <w:rPr>
          <w:rtl w:val="true"/>
        </w:rPr>
        <w:t xml:space="preserve">, </w:t>
      </w:r>
      <w:r>
        <w:rPr>
          <w:rtl w:val="true"/>
        </w:rPr>
        <w:t>להסיר את המחדלים הנוגעים לעבירת המס עוד בטרם מתן גזר הדין</w:t>
      </w:r>
      <w:r>
        <w:rPr>
          <w:rtl w:val="true"/>
        </w:rPr>
        <w:t xml:space="preserve">, </w:t>
      </w:r>
      <w:r>
        <w:rPr>
          <w:rtl w:val="true"/>
        </w:rPr>
        <w:t>ובית משפט קמא לא נעתר לבקשות דחייה</w:t>
      </w:r>
      <w:r>
        <w:rPr>
          <w:rtl w:val="true"/>
        </w:rPr>
        <w:t xml:space="preserve">. </w:t>
      </w:r>
      <w:r>
        <w:rPr>
          <w:rtl w:val="true"/>
        </w:rPr>
        <w:t xml:space="preserve">בהקשר זה הוסיף המערער לטעון כי ממילא נכון ליום </w:t>
      </w:r>
      <w:r>
        <w:rPr/>
        <w:t>30.03.2023</w:t>
      </w:r>
      <w:r>
        <w:rPr>
          <w:rtl w:val="true"/>
        </w:rPr>
        <w:t xml:space="preserve">, </w:t>
      </w:r>
      <w:r>
        <w:rPr>
          <w:rtl w:val="true"/>
        </w:rPr>
        <w:t>הוסר מלוא המחדל</w:t>
      </w:r>
      <w:r>
        <w:rPr>
          <w:rtl w:val="true"/>
        </w:rPr>
        <w:t xml:space="preserve">. </w:t>
      </w:r>
      <w:r>
        <w:rPr>
          <w:rtl w:val="true"/>
        </w:rPr>
        <w:t>לביסוס טענה זו</w:t>
      </w:r>
      <w:r>
        <w:rPr>
          <w:rtl w:val="true"/>
        </w:rPr>
        <w:t xml:space="preserve">, </w:t>
      </w:r>
      <w:r>
        <w:rPr>
          <w:rtl w:val="true"/>
        </w:rPr>
        <w:t>הגיש המערער בקשה לצירוף ראיה בערעור</w:t>
      </w:r>
      <w:r>
        <w:rPr>
          <w:rtl w:val="true"/>
        </w:rPr>
        <w:t xml:space="preserve">, </w:t>
      </w:r>
      <w:r>
        <w:rPr>
          <w:rtl w:val="true"/>
        </w:rPr>
        <w:t xml:space="preserve">שעניינה במסמכים המלמדים על הסרת המחדלים </w:t>
      </w:r>
      <w:r>
        <w:rPr>
          <w:rtl w:val="true"/>
        </w:rPr>
        <w:t>(</w:t>
      </w:r>
      <w:r>
        <w:rPr>
          <w:rtl w:val="true"/>
        </w:rPr>
        <w:t>יוער</w:t>
      </w:r>
      <w:r>
        <w:rPr>
          <w:rtl w:val="true"/>
        </w:rPr>
        <w:t xml:space="preserve">, </w:t>
      </w:r>
      <w:r>
        <w:rPr>
          <w:rtl w:val="true"/>
        </w:rPr>
        <w:t>כי בין הצדדים לא נתונה מחלוקת ביחס לכך שבסמוך לאחר מועד מתן גזר הדין</w:t>
      </w:r>
      <w:r>
        <w:rPr>
          <w:rtl w:val="true"/>
        </w:rPr>
        <w:t xml:space="preserve">, </w:t>
      </w:r>
      <w:r>
        <w:rPr>
          <w:rtl w:val="true"/>
        </w:rPr>
        <w:t>פעל המערער להסיר את המחדלים</w:t>
      </w:r>
      <w:r>
        <w:rPr>
          <w:rFonts w:cs="Century" w:ascii="Century" w:hAnsi="Century"/>
          <w:sz w:val="22"/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 xml:space="preserve">אשר לרכיב הפיצוי לנפגעי עבירת התחבולה </w:t>
      </w:r>
      <w:r>
        <w:rPr>
          <w:rtl w:val="true"/>
        </w:rPr>
        <w:t>–</w:t>
      </w:r>
      <w:r>
        <w:rPr>
          <w:rtl w:val="true"/>
        </w:rPr>
        <w:t xml:space="preserve"> המערער חזר</w:t>
      </w:r>
      <w:r>
        <w:rPr>
          <w:rtl w:val="true"/>
        </w:rPr>
        <w:t xml:space="preserve">, </w:t>
      </w:r>
      <w:r>
        <w:rPr>
          <w:rtl w:val="true"/>
        </w:rPr>
        <w:t>בעיקרו של דבר</w:t>
      </w:r>
      <w:r>
        <w:rPr>
          <w:rtl w:val="true"/>
        </w:rPr>
        <w:t xml:space="preserve">, </w:t>
      </w:r>
      <w:r>
        <w:rPr>
          <w:rtl w:val="true"/>
        </w:rPr>
        <w:t>על טענותיו בפני בית המשפט המחוזי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ביחס להוצאות נטען כי יש לבטלן מכמה טעמים</w:t>
      </w:r>
      <w:r>
        <w:rPr>
          <w:rtl w:val="true"/>
        </w:rPr>
        <w:t xml:space="preserve">, </w:t>
      </w:r>
      <w:r>
        <w:rPr>
          <w:rtl w:val="true"/>
        </w:rPr>
        <w:t xml:space="preserve">המלמדים שהחלטת בית משפט קמא לפיה </w:t>
      </w:r>
      <w:r>
        <w:rPr>
          <w:rtl w:val="true"/>
        </w:rPr>
        <w:t>"</w:t>
      </w:r>
      <w:r>
        <w:rPr>
          <w:rtl w:val="true"/>
        </w:rPr>
        <w:t>התבזבז</w:t>
      </w:r>
      <w:r>
        <w:rPr>
          <w:rtl w:val="true"/>
        </w:rPr>
        <w:t xml:space="preserve">" </w:t>
      </w:r>
      <w:r>
        <w:rPr>
          <w:rtl w:val="true"/>
        </w:rPr>
        <w:t xml:space="preserve">יום דיונים </w:t>
      </w:r>
      <w:r>
        <w:rPr>
          <w:rtl w:val="true"/>
        </w:rPr>
        <w:t>–</w:t>
      </w:r>
      <w:r>
        <w:rPr>
          <w:rtl w:val="true"/>
        </w:rPr>
        <w:t xml:space="preserve"> שגויה</w:t>
      </w:r>
      <w:r>
        <w:rPr>
          <w:rtl w:val="true"/>
        </w:rPr>
        <w:t xml:space="preserve">. </w:t>
      </w:r>
      <w:r>
        <w:rPr>
          <w:rtl w:val="true"/>
        </w:rPr>
        <w:t>בין השאר</w:t>
      </w:r>
      <w:r>
        <w:rPr>
          <w:rtl w:val="true"/>
        </w:rPr>
        <w:t xml:space="preserve">, </w:t>
      </w:r>
      <w:r>
        <w:rPr>
          <w:rtl w:val="true"/>
        </w:rPr>
        <w:t>נטען כי המערער הסכים להמשיך את שמיעת ההוכחות בהיעדרו</w:t>
      </w:r>
      <w:r>
        <w:rPr>
          <w:rtl w:val="true"/>
        </w:rPr>
        <w:t xml:space="preserve">, </w:t>
      </w:r>
      <w:r>
        <w:rPr>
          <w:rtl w:val="true"/>
        </w:rPr>
        <w:t>אך הדבר לא נרשם בפרוטוקול</w:t>
      </w:r>
      <w:r>
        <w:rPr>
          <w:rtl w:val="true"/>
        </w:rPr>
        <w:t xml:space="preserve">, </w:t>
      </w:r>
      <w:r>
        <w:rPr>
          <w:rtl w:val="true"/>
        </w:rPr>
        <w:t>וכי בית משפט קמא לא אפשר הצגת מסמכים רפואיים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12.02.2024</w:t>
      </w:r>
      <w:r>
        <w:rPr>
          <w:rtl w:val="true"/>
        </w:rPr>
        <w:t xml:space="preserve"> </w:t>
      </w:r>
      <w:r>
        <w:rPr>
          <w:rtl w:val="true"/>
        </w:rPr>
        <w:t>התקיים דיון בערעור במסגרתו חזר המערער על טענותיו שבכתובים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טענה המשיבה כי יש לדחות את הערעור ולהותיר את עונשו כמו שהוא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 xml:space="preserve">כי מדובר </w:t>
      </w:r>
      <w:r>
        <w:rPr>
          <w:rFonts w:ascii="Century" w:hAnsi="Century" w:cs="Century"/>
          <w:sz w:val="22"/>
          <w:sz w:val="22"/>
          <w:rtl w:val="true"/>
        </w:rPr>
        <w:t>בגזר דין מבוסס ומנומק ברמה העובדתית והמשפטית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שלא נפלה בו כל שגגה המצדיקה את התערבות ערכאת הערעור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בתוך 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הודגש כי העונש שהושת על המערער </w:t>
      </w:r>
      <w:r>
        <w:rPr>
          <w:rtl w:val="true"/>
        </w:rPr>
        <w:t>אינו סוטה ממדיניות הענישה ההולמת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'</w:t>
      </w:r>
      <w:r>
        <w:rPr>
          <w:rtl w:val="true"/>
        </w:rPr>
        <w:t>צועד</w:t>
      </w:r>
      <w:r>
        <w:rPr>
          <w:rtl w:val="true"/>
        </w:rPr>
        <w:t xml:space="preserve">' </w:t>
      </w:r>
      <w:r>
        <w:rPr>
          <w:rtl w:val="true"/>
        </w:rPr>
        <w:t>יחדיו עם חומרת העבירות שיוחסו למערער ועם שיקולי הענישה</w:t>
      </w:r>
      <w:r>
        <w:rPr>
          <w:rtl w:val="true"/>
        </w:rPr>
        <w:t xml:space="preserve">. </w:t>
      </w:r>
      <w:r>
        <w:rPr>
          <w:rtl w:val="true"/>
        </w:rPr>
        <w:t>אשר לטענת אי האחידות בענישה</w:t>
      </w:r>
      <w:r>
        <w:rPr>
          <w:rtl w:val="true"/>
        </w:rPr>
        <w:t xml:space="preserve">, </w:t>
      </w:r>
      <w:r>
        <w:rPr>
          <w:rtl w:val="true"/>
        </w:rPr>
        <w:t>הודגש כי תיקון כתב האישום של ביאזי</w:t>
      </w:r>
      <w:r>
        <w:rPr>
          <w:rtl w:val="true"/>
        </w:rPr>
        <w:t xml:space="preserve">, </w:t>
      </w:r>
      <w:r>
        <w:rPr>
          <w:rtl w:val="true"/>
        </w:rPr>
        <w:t>שאכן הקל עמו בין היתר בשל נסיבותיו האישיות</w:t>
      </w:r>
      <w:r>
        <w:rPr>
          <w:rtl w:val="true"/>
        </w:rPr>
        <w:t xml:space="preserve">, </w:t>
      </w:r>
      <w:r>
        <w:rPr>
          <w:rtl w:val="true"/>
        </w:rPr>
        <w:t>ואשר כלל הסכמה עונשית</w:t>
      </w:r>
      <w:r>
        <w:rPr>
          <w:rtl w:val="true"/>
        </w:rPr>
        <w:t xml:space="preserve">, </w:t>
      </w:r>
      <w:r>
        <w:rPr>
          <w:rtl w:val="true"/>
        </w:rPr>
        <w:t>השפיע לטובה על עונשו של הערער</w:t>
      </w:r>
      <w:r>
        <w:rPr>
          <w:rtl w:val="true"/>
        </w:rPr>
        <w:t xml:space="preserve">. </w:t>
      </w:r>
      <w:r>
        <w:rPr>
          <w:rtl w:val="true"/>
        </w:rPr>
        <w:t>זאת מכיוון</w:t>
      </w:r>
      <w:r>
        <w:rPr>
          <w:rtl w:val="true"/>
        </w:rPr>
        <w:t xml:space="preserve">, </w:t>
      </w:r>
      <w:r>
        <w:rPr>
          <w:rtl w:val="true"/>
        </w:rPr>
        <w:t>שאלמלא האמור</w:t>
      </w:r>
      <w:r>
        <w:rPr>
          <w:rtl w:val="true"/>
        </w:rPr>
        <w:t xml:space="preserve">, </w:t>
      </w:r>
      <w:r>
        <w:rPr>
          <w:rtl w:val="true"/>
        </w:rPr>
        <w:t>ראוי היה להטיל על המערער עונש חמור יותר</w:t>
      </w:r>
      <w:r>
        <w:rPr>
          <w:rtl w:val="true"/>
        </w:rPr>
        <w:t xml:space="preserve">. </w:t>
      </w:r>
      <w:r>
        <w:rPr>
          <w:rtl w:val="true"/>
        </w:rPr>
        <w:t>כן הודגש כי ממילא חלקו של המערער חמור מזה של ביאזי</w:t>
      </w:r>
      <w:r>
        <w:rPr>
          <w:rtl w:val="true"/>
        </w:rPr>
        <w:t xml:space="preserve">, </w:t>
      </w:r>
      <w:r>
        <w:rPr>
          <w:rtl w:val="true"/>
        </w:rPr>
        <w:t>שהיה אמנם עובד ציבור</w:t>
      </w:r>
      <w:r>
        <w:rPr>
          <w:rtl w:val="true"/>
        </w:rPr>
        <w:t xml:space="preserve">, </w:t>
      </w:r>
      <w:r>
        <w:rPr>
          <w:rtl w:val="true"/>
        </w:rPr>
        <w:t xml:space="preserve">אך הוא היה </w:t>
      </w:r>
      <w:r>
        <w:rPr>
          <w:rFonts w:ascii="Century" w:hAnsi="Century" w:cs="Century"/>
          <w:sz w:val="22"/>
          <w:sz w:val="22"/>
          <w:rtl w:val="true"/>
        </w:rPr>
        <w:t>הזרוע הביצועית של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שהיה היזם והמחולל של הפרשה</w:t>
      </w:r>
      <w:r>
        <w:rPr>
          <w:rFonts w:cs="Century" w:ascii="Century" w:hAnsi="Century"/>
          <w:sz w:val="2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בקשר להסרת מחדלי המס הודגש</w:t>
      </w:r>
      <w:r>
        <w:rPr>
          <w:rtl w:val="true"/>
        </w:rPr>
        <w:t xml:space="preserve">, </w:t>
      </w:r>
      <w:r>
        <w:rPr>
          <w:rtl w:val="true"/>
        </w:rPr>
        <w:t>כי אין מחלוקת ביחס להסרתם לאחר מועד מתן גזר הדין</w:t>
      </w:r>
      <w:r>
        <w:rPr>
          <w:rtl w:val="true"/>
        </w:rPr>
        <w:t xml:space="preserve">, </w:t>
      </w:r>
      <w:r>
        <w:rPr>
          <w:rtl w:val="true"/>
        </w:rPr>
        <w:t xml:space="preserve">אך הוער כי ניתן לתמוה מדוע המערער בחר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להסירם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חרב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הכניסה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מרחפת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tl w:val="true"/>
        </w:rPr>
        <w:t>".</w:t>
      </w:r>
    </w:p>
    <w:p>
      <w:pPr>
        <w:pStyle w:val="Ruller42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החתימה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לנפגעים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הצהרות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פיצויים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נבחרו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כאלו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במישרין</w:t>
      </w:r>
      <w:r>
        <w:rPr>
          <w:rtl w:val="true"/>
        </w:rPr>
        <w:t>.</w:t>
      </w:r>
    </w:p>
    <w:p>
      <w:pPr>
        <w:pStyle w:val="Ruller42"/>
        <w:spacing w:before="240" w:after="240"/>
        <w:ind w:end="0"/>
        <w:jc w:val="both"/>
        <w:rPr/>
      </w:pPr>
      <w:r>
        <w:rPr>
          <w:rtl w:val="true"/>
        </w:rPr>
      </w:r>
    </w:p>
    <w:p>
      <w:pPr>
        <w:pStyle w:val="Ruller42"/>
        <w:keepNext w:val="true"/>
        <w:spacing w:before="240" w:after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>
          <w:rFonts w:cs="Times New Roman"/>
          <w:color w:val="000000"/>
          <w:sz w:val="27"/>
          <w:szCs w:val="27"/>
        </w:rPr>
      </w:pPr>
      <w:r>
        <w:rPr>
          <w:rFonts w:ascii="Arial TUR;Arial" w:hAnsi="Arial TUR;Arial" w:cs="Arial TUR;Arial"/>
          <w:sz w:val="22"/>
          <w:sz w:val="22"/>
          <w:rtl w:val="true"/>
        </w:rPr>
        <w:t>לאחר שנתתי דעתי על טענות הצדדים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מזה ומזה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אלו בכתב ואלו שבעל</w:t>
      </w:r>
      <w:r>
        <w:rPr>
          <w:rFonts w:cs="Arial TUR;Arial" w:ascii="Arial TUR;Arial" w:hAnsi="Arial TUR;Arial"/>
          <w:sz w:val="22"/>
          <w:rtl w:val="true"/>
        </w:rPr>
        <w:t>-</w:t>
      </w:r>
      <w:r>
        <w:rPr>
          <w:rFonts w:ascii="Arial TUR;Arial" w:hAnsi="Arial TUR;Arial" w:cs="Arial TUR;Arial"/>
          <w:sz w:val="22"/>
          <w:sz w:val="22"/>
          <w:rtl w:val="true"/>
        </w:rPr>
        <w:t>פה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באתי לכלל מסקנה כי יש לדחות את הערעור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על כל חלקיו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וכך אציע לחבריי </w:t>
      </w:r>
      <w:r>
        <w:rPr>
          <w:rFonts w:ascii="Arial TUR;Arial" w:hAnsi="Arial TUR;Arial" w:cs="Arial TUR;Arial"/>
          <w:sz w:val="22"/>
          <w:sz w:val="22"/>
          <w:rtl w:val="true"/>
        </w:rPr>
        <w:t>כי נורה</w:t>
      </w:r>
      <w:r>
        <w:rPr>
          <w:rFonts w:cs="Arial TUR;Arial" w:ascii="Arial TUR;Arial" w:hAnsi="Arial TUR;Arial"/>
          <w:sz w:val="22"/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 xml:space="preserve">הלכה היא כי אין </w:t>
      </w:r>
      <w:r>
        <w:rPr>
          <w:rtl w:val="true"/>
        </w:rPr>
        <w:t xml:space="preserve">זו </w:t>
      </w:r>
      <w:r>
        <w:rPr>
          <w:rtl w:val="true"/>
        </w:rPr>
        <w:t>דרכה של ערכאת הערעור להתערב בגזר הדין של הערכאה הדיונית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 במקרים </w:t>
      </w:r>
      <w:r>
        <w:rPr>
          <w:rtl w:val="true"/>
        </w:rPr>
        <w:t>בהם</w:t>
      </w:r>
      <w:r>
        <w:rPr>
          <w:rtl w:val="true"/>
        </w:rPr>
        <w:t xml:space="preserve"> </w:t>
      </w:r>
      <w:r>
        <w:rPr>
          <w:rtl w:val="true"/>
        </w:rPr>
        <w:t xml:space="preserve">על פני הדברים </w:t>
      </w:r>
      <w:r>
        <w:rPr>
          <w:rtl w:val="true"/>
        </w:rPr>
        <w:t>נפלה בגזר הדין טעות מהותית או כאשר העונש שנגזר על המערער חורג באופן ניכר</w:t>
      </w:r>
      <w:r>
        <w:rPr>
          <w:rtl w:val="true"/>
        </w:rPr>
        <w:t xml:space="preserve"> וממשי</w:t>
      </w:r>
      <w:r>
        <w:rPr>
          <w:rtl w:val="true"/>
        </w:rPr>
        <w:t xml:space="preserve"> מרמת הענישה </w:t>
      </w:r>
      <w:r>
        <w:rPr>
          <w:rtl w:val="true"/>
        </w:rPr>
        <w:t xml:space="preserve">הראויה או הנוהגת בנסיבות דומות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מיני רבים</w:t>
      </w:r>
      <w:r>
        <w:rPr>
          <w:rtl w:val="true"/>
        </w:rPr>
        <w:t xml:space="preserve">: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1938/23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13.12.2023</w:t>
      </w:r>
      <w:r>
        <w:rPr>
          <w:rtl w:val="true"/>
        </w:rPr>
        <w:t>)‏</w:t>
      </w:r>
      <w:r>
        <w:rPr>
          <w:rtl w:val="true"/>
        </w:rPr>
        <w:t xml:space="preserve">). </w:t>
      </w:r>
      <w:r>
        <w:rPr>
          <w:rtl w:val="true"/>
        </w:rPr>
        <w:t>מקרה זה לא נמנה עם קבוצת מקרים חריגים אלו</w:t>
      </w:r>
      <w:r>
        <w:rPr>
          <w:rtl w:val="true"/>
        </w:rPr>
        <w:t xml:space="preserve">, </w:t>
      </w:r>
      <w:r>
        <w:rPr>
          <w:rtl w:val="true"/>
        </w:rPr>
        <w:t>ואבאר מדוע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/>
      </w:pPr>
      <w:r>
        <w:rPr>
          <w:rtl w:val="true"/>
        </w:rPr>
        <w:t>ראשית אדרש לעונש המאסר</w:t>
      </w:r>
      <w:r>
        <w:rPr>
          <w:rtl w:val="true"/>
        </w:rPr>
        <w:t xml:space="preserve">. </w:t>
      </w:r>
      <w:r>
        <w:rPr>
          <w:rtl w:val="true"/>
        </w:rPr>
        <w:t>לא מצאתי כי נפל פגם בהחלטת בית משפט קמא לקבוע שלושה מתחמי ענישה נפרדים לשלוש העבירות</w:t>
      </w:r>
      <w:r>
        <w:rPr>
          <w:rtl w:val="true"/>
        </w:rPr>
        <w:t xml:space="preserve">, </w:t>
      </w:r>
      <w:r>
        <w:rPr>
          <w:rtl w:val="true"/>
        </w:rPr>
        <w:t>בהיותן מבוססות על תשתית עובדתית נפרדת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אף אם היה מקום לקבל את טענת המערער</w:t>
      </w:r>
      <w:r>
        <w:rPr>
          <w:rtl w:val="true"/>
        </w:rPr>
        <w:t xml:space="preserve">, </w:t>
      </w:r>
      <w:r>
        <w:rPr>
          <w:rtl w:val="true"/>
        </w:rPr>
        <w:t>איני סבור כי היה בה כדי להביא להתערבותנו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מכיוון שלדבר אין כל נפקות</w:t>
      </w:r>
      <w:r>
        <w:rPr>
          <w:rtl w:val="true"/>
        </w:rPr>
        <w:t xml:space="preserve">, </w:t>
      </w:r>
      <w:r>
        <w:rPr>
          <w:rtl w:val="true"/>
        </w:rPr>
        <w:t>ולמצער אין נפקות במידה הנדרשת</w:t>
      </w:r>
      <w:r>
        <w:rPr>
          <w:rtl w:val="true"/>
        </w:rPr>
        <w:t xml:space="preserve">, </w:t>
      </w:r>
      <w:r>
        <w:rPr>
          <w:rtl w:val="true"/>
        </w:rPr>
        <w:t>בענייננו</w:t>
      </w:r>
      <w:r>
        <w:rPr>
          <w:rtl w:val="true"/>
        </w:rPr>
        <w:t xml:space="preserve">. </w:t>
      </w:r>
      <w:r>
        <w:rPr>
          <w:rtl w:val="true"/>
        </w:rPr>
        <w:t>שהרי</w:t>
      </w:r>
      <w:r>
        <w:rPr>
          <w:rtl w:val="true"/>
        </w:rPr>
        <w:t xml:space="preserve">, </w:t>
      </w:r>
      <w:r>
        <w:rPr>
          <w:rtl w:val="true"/>
        </w:rPr>
        <w:t>בית המשפט המחוזי קבע כי העונשים שהוטלו על המערער ירוצו בחפיפה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Fonts w:ascii="Arial TUR;Arial" w:hAnsi="Arial TUR;Arial" w:cs="Arial TUR;Arial"/>
          <w:sz w:val="22"/>
          <w:sz w:val="22"/>
          <w:rtl w:val="true"/>
        </w:rPr>
        <w:t>כפי שנקבע זה מכבר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אף אם בית המשפט נכון לראות במעשים </w:t>
      </w:r>
      <w:r>
        <w:rPr>
          <w:rtl w:val="true"/>
        </w:rPr>
        <w:t xml:space="preserve">השונים </w:t>
      </w:r>
      <w:r>
        <w:rPr>
          <w:rFonts w:ascii="Arial TUR;Arial" w:hAnsi="Arial TUR;Arial" w:cs="Arial TUR;Arial"/>
          <w:sz w:val="22"/>
          <w:sz w:val="22"/>
          <w:rtl w:val="true"/>
        </w:rPr>
        <w:t>המיוחסים לנאשם כאירוע אחד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tl w:val="true"/>
        </w:rPr>
        <w:t>הרי ש</w:t>
      </w:r>
      <w:r>
        <w:rPr>
          <w:rFonts w:ascii="Arial TUR;Arial" w:hAnsi="Arial TUR;Arial" w:cs="Arial TUR;Arial"/>
          <w:sz w:val="22"/>
          <w:sz w:val="22"/>
          <w:rtl w:val="true"/>
        </w:rPr>
        <w:t>מתחם הענישה הנוגע לאירוע זה צריך להביא בחשבון את כלל המעשים המיוחסים לו באותו אירוע</w:t>
      </w:r>
      <w:r>
        <w:rPr>
          <w:rFonts w:cs="Arial TUR;Arial" w:ascii="Arial TUR;Arial" w:hAnsi="Arial TUR;Arial"/>
          <w:sz w:val="22"/>
          <w:rtl w:val="true"/>
        </w:rPr>
        <w:t xml:space="preserve">. </w:t>
      </w:r>
      <w:r>
        <w:rPr>
          <w:rFonts w:ascii="Century" w:hAnsi="Century" w:cs="Century"/>
          <w:rtl w:val="true"/>
        </w:rPr>
        <w:t>בהמשך 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איני מוצא מקום להתערב במתחמי הענישה שנקבעו לכל אחת מן העבירות או בעונש שנקבע בתוך המתחמים האמורים</w:t>
      </w:r>
      <w:r>
        <w:rPr>
          <w:rFonts w:cs="Century" w:ascii="Century" w:hAnsi="Century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יוזכר כי על המערער הוטלו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בעוד שתקרת מתחמי הענישה שנקבעו מגיעה לכדי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 xml:space="preserve">די באמור כדי לשקף את שקלול נסיבותיו של המערער </w:t>
      </w:r>
      <w:r>
        <w:rPr>
          <w:rtl w:val="true"/>
        </w:rPr>
        <w:t>–</w:t>
      </w:r>
      <w:r>
        <w:rPr>
          <w:rtl w:val="true"/>
        </w:rPr>
        <w:t xml:space="preserve"> לרבות</w:t>
      </w:r>
      <w:r>
        <w:rPr>
          <w:rtl w:val="true"/>
        </w:rPr>
        <w:t xml:space="preserve">, </w:t>
      </w:r>
      <w:r>
        <w:rPr>
          <w:rtl w:val="true"/>
        </w:rPr>
        <w:t>אך לא רק</w:t>
      </w:r>
      <w:r>
        <w:rPr>
          <w:rtl w:val="true"/>
        </w:rPr>
        <w:t xml:space="preserve">, </w:t>
      </w:r>
      <w:r>
        <w:rPr>
          <w:rtl w:val="true"/>
        </w:rPr>
        <w:t xml:space="preserve">הודאתו </w:t>
      </w:r>
      <w:r>
        <w:rPr>
          <w:rtl w:val="true"/>
        </w:rPr>
        <w:t>(</w:t>
      </w:r>
      <w:r>
        <w:rPr>
          <w:rtl w:val="true"/>
        </w:rPr>
        <w:t>הגם שבשלב מתקדם</w:t>
      </w:r>
      <w:r>
        <w:rPr>
          <w:rtl w:val="true"/>
        </w:rPr>
        <w:t xml:space="preserve">), </w:t>
      </w:r>
      <w:r>
        <w:rPr>
          <w:rtl w:val="true"/>
        </w:rPr>
        <w:t>והיותו אדם נורמטיבי בעל עבר פלילי נקי</w:t>
      </w:r>
      <w:r>
        <w:rPr>
          <w:rtl w:val="true"/>
        </w:rPr>
        <w:t xml:space="preserve">. </w:t>
      </w:r>
      <w:r>
        <w:rPr>
          <w:rtl w:val="true"/>
        </w:rPr>
        <w:t>עיון בגזר הדין מלמד כי אין כל ספק שעיקרון האחידות בענישה נלקח בחשבון וכדבעי</w:t>
      </w:r>
      <w:r>
        <w:rPr>
          <w:rtl w:val="true"/>
        </w:rPr>
        <w:t xml:space="preserve">. </w:t>
      </w:r>
      <w:r>
        <w:rPr>
          <w:rtl w:val="true"/>
        </w:rPr>
        <w:t>לכל האמור יש להוסיף</w:t>
      </w:r>
      <w:r>
        <w:rPr>
          <w:rtl w:val="true"/>
        </w:rPr>
        <w:t xml:space="preserve">, </w:t>
      </w:r>
      <w:r>
        <w:rPr>
          <w:rtl w:val="true"/>
        </w:rPr>
        <w:t xml:space="preserve">כי התנהלותו הדיונית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הייתה</w:t>
      </w:r>
      <w:r>
        <w:rPr>
          <w:rtl w:val="true"/>
        </w:rPr>
        <w:t xml:space="preserve"> </w:t>
      </w:r>
      <w:r>
        <w:rPr>
          <w:rtl w:val="true"/>
        </w:rPr>
        <w:t>בעייתית</w:t>
      </w:r>
      <w:r>
        <w:rPr>
          <w:rtl w:val="true"/>
        </w:rPr>
        <w:t xml:space="preserve">, </w:t>
      </w:r>
      <w:r>
        <w:rPr>
          <w:rtl w:val="true"/>
        </w:rPr>
        <w:t>והובילה</w:t>
      </w:r>
      <w:r>
        <w:rPr>
          <w:rtl w:val="true"/>
        </w:rPr>
        <w:t xml:space="preserve"> </w:t>
      </w:r>
      <w:r>
        <w:rPr>
          <w:rtl w:val="true"/>
        </w:rPr>
        <w:t>להימשכותו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נמצאו</w:t>
      </w:r>
      <w:r>
        <w:rPr>
          <w:rtl w:val="true"/>
        </w:rPr>
        <w:t xml:space="preserve"> </w:t>
      </w:r>
      <w:r>
        <w:rPr>
          <w:rtl w:val="true"/>
        </w:rPr>
        <w:t>תימוכין</w:t>
      </w:r>
      <w:r>
        <w:rPr>
          <w:rtl w:val="true"/>
        </w:rPr>
        <w:t xml:space="preserve"> </w:t>
      </w:r>
      <w:r>
        <w:rPr>
          <w:rtl w:val="true"/>
        </w:rPr>
        <w:t>לטענותיו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בנוגע</w:t>
      </w:r>
      <w:r>
        <w:rPr>
          <w:rtl w:val="true"/>
        </w:rPr>
        <w:t xml:space="preserve"> </w:t>
      </w:r>
      <w:r>
        <w:rPr>
          <w:rtl w:val="true"/>
        </w:rPr>
        <w:t>למצבו</w:t>
      </w:r>
      <w:r>
        <w:rPr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 </w:t>
      </w:r>
      <w:r>
        <w:rPr>
          <w:rtl w:val="true"/>
        </w:rPr>
        <w:t>והרפואי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tl w:val="true"/>
        </w:rPr>
        <w:t xml:space="preserve"> </w:t>
      </w:r>
      <w:r>
        <w:rPr>
          <w:rtl w:val="true"/>
        </w:rPr>
        <w:t>בקביעות</w:t>
      </w:r>
      <w:r>
        <w:rPr>
          <w:rtl w:val="true"/>
        </w:rPr>
        <w:t xml:space="preserve"> </w:t>
      </w:r>
      <w:r>
        <w:rPr>
          <w:rtl w:val="true"/>
        </w:rPr>
        <w:t>שערכא</w:t>
      </w:r>
      <w:r>
        <w:rPr>
          <w:rtl w:val="true"/>
        </w:rPr>
        <w:t>ו</w:t>
      </w:r>
      <w:r>
        <w:rPr>
          <w:rtl w:val="true"/>
        </w:rPr>
        <w:t>ת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ערעור</w:t>
      </w:r>
      <w:r>
        <w:rPr>
          <w:rtl w:val="true"/>
        </w:rPr>
        <w:t xml:space="preserve"> </w:t>
      </w:r>
      <w:r>
        <w:rPr>
          <w:rtl w:val="true"/>
        </w:rPr>
        <w:t>אינ</w:t>
      </w:r>
      <w:r>
        <w:rPr>
          <w:rtl w:val="true"/>
        </w:rPr>
        <w:t>ן</w:t>
      </w:r>
      <w:r>
        <w:rPr>
          <w:rtl w:val="true"/>
        </w:rPr>
        <w:t xml:space="preserve"> </w:t>
      </w:r>
      <w:r>
        <w:rPr>
          <w:rtl w:val="true"/>
        </w:rPr>
        <w:t>נוט</w:t>
      </w:r>
      <w:r>
        <w:rPr>
          <w:rtl w:val="true"/>
        </w:rPr>
        <w:t>ות</w:t>
      </w:r>
      <w:r>
        <w:rPr>
          <w:rtl w:val="true"/>
        </w:rPr>
        <w:t xml:space="preserve"> </w:t>
      </w:r>
      <w:r>
        <w:rPr>
          <w:rtl w:val="true"/>
        </w:rPr>
        <w:t>להתערב</w:t>
      </w:r>
      <w:r>
        <w:rPr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 – </w:t>
      </w:r>
      <w:r>
        <w:rPr>
          <w:rtl w:val="true"/>
        </w:rPr>
        <w:t>וכך</w:t>
      </w:r>
      <w:r>
        <w:rPr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 </w:t>
      </w:r>
      <w:r>
        <w:rPr>
          <w:rtl w:val="true"/>
        </w:rPr>
        <w:t>שנעשה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במקרה</w:t>
      </w:r>
      <w:r>
        <w:rPr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>
          <w:rFonts w:ascii="Century" w:hAnsi="Century" w:cs="Century"/>
        </w:rPr>
      </w:pPr>
      <w:r>
        <w:rPr>
          <w:rtl w:val="true"/>
        </w:rPr>
        <w:t>כמו</w:t>
      </w:r>
      <w:r>
        <w:rPr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ברכיב</w:t>
      </w:r>
      <w:r>
        <w:rPr>
          <w:rtl w:val="true"/>
        </w:rPr>
        <w:t xml:space="preserve"> </w:t>
      </w:r>
      <w:r>
        <w:rPr>
          <w:rtl w:val="true"/>
        </w:rPr>
        <w:t>הפיצויים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מצאתי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להתערב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נ</w:t>
      </w:r>
      <w:r>
        <w:rPr>
          <w:rtl w:val="true"/>
        </w:rPr>
        <w:t>קודת</w:t>
      </w:r>
      <w:r>
        <w:rPr>
          <w:rtl w:val="true"/>
        </w:rPr>
        <w:t xml:space="preserve"> </w:t>
      </w:r>
      <w:r>
        <w:rPr>
          <w:rtl w:val="true"/>
        </w:rPr>
        <w:t>המוצא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ערכאת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תתערב</w:t>
      </w:r>
      <w:r>
        <w:rPr>
          <w:rtl w:val="true"/>
        </w:rPr>
        <w:t xml:space="preserve"> </w:t>
      </w:r>
      <w:r>
        <w:rPr>
          <w:rtl w:val="true"/>
        </w:rPr>
        <w:t>בגובה</w:t>
      </w:r>
      <w:r>
        <w:rPr>
          <w:rtl w:val="true"/>
        </w:rPr>
        <w:t xml:space="preserve"> </w:t>
      </w:r>
      <w:r>
        <w:rPr>
          <w:rtl w:val="true"/>
        </w:rPr>
        <w:t>הפיצויים</w:t>
      </w:r>
      <w:r>
        <w:rPr>
          <w:rtl w:val="true"/>
        </w:rPr>
        <w:t xml:space="preserve"> </w:t>
      </w:r>
      <w:r>
        <w:rPr>
          <w:rtl w:val="true"/>
        </w:rPr>
        <w:t>שפסקה</w:t>
      </w:r>
      <w:r>
        <w:rPr>
          <w:rtl w:val="true"/>
        </w:rPr>
        <w:t xml:space="preserve"> </w:t>
      </w:r>
      <w:r>
        <w:rPr>
          <w:rtl w:val="true"/>
        </w:rPr>
        <w:t>הערכאה</w:t>
      </w:r>
      <w:r>
        <w:rPr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 </w:t>
      </w:r>
      <w:r>
        <w:rPr>
          <w:rtl w:val="true"/>
        </w:rPr>
        <w:t>מכוח</w:t>
      </w:r>
      <w:r>
        <w:rPr>
          <w:rtl w:val="true"/>
        </w:rPr>
        <w:t xml:space="preserve"> </w:t>
      </w:r>
      <w:hyperlink r:id="rId2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להוציא</w:t>
      </w:r>
      <w:r>
        <w:rPr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 </w:t>
      </w:r>
      <w:r>
        <w:rPr>
          <w:rtl w:val="true"/>
        </w:rPr>
        <w:t>קיצוניים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שבהם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חרגה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הערכאה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הדיונית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באופן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קיצוני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משיעורו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הפיצוי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הראוי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2649/21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סילברה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פסקה</w:t>
      </w:r>
      <w:r>
        <w:rPr>
          <w:sz w:val="22"/>
          <w:sz w:val="22"/>
          <w:rtl w:val="true"/>
        </w:rPr>
        <w:t xml:space="preserve"> </w:t>
      </w:r>
      <w:r>
        <w:rPr>
          <w:sz w:val="22"/>
        </w:rPr>
        <w:t>25</w:t>
      </w:r>
      <w:r>
        <w:rPr>
          <w:sz w:val="22"/>
          <w:rtl w:val="true"/>
        </w:rPr>
        <w:t xml:space="preserve"> [</w:t>
      </w:r>
      <w:r>
        <w:rPr>
          <w:sz w:val="22"/>
          <w:sz w:val="22"/>
          <w:rtl w:val="true"/>
        </w:rPr>
        <w:t>פורסם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</w:rPr>
        <w:t>19.02.2023</w:t>
      </w:r>
      <w:r>
        <w:rPr>
          <w:sz w:val="22"/>
          <w:rtl w:val="true"/>
        </w:rPr>
        <w:t>));</w:t>
      </w:r>
      <w:r>
        <w:rPr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נמנה</w:t>
      </w:r>
      <w:r>
        <w:rPr>
          <w:rtl w:val="true"/>
        </w:rPr>
        <w:t xml:space="preserve"> </w:t>
      </w:r>
      <w:r>
        <w:rPr>
          <w:rtl w:val="true"/>
        </w:rPr>
        <w:t>בקהל</w:t>
      </w:r>
      <w:r>
        <w:rPr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 </w:t>
      </w:r>
      <w:r>
        <w:rPr>
          <w:rtl w:val="true"/>
        </w:rPr>
        <w:t>המצדיקים</w:t>
      </w:r>
      <w:r>
        <w:rPr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התערבות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בשיקול דעתה של הערכאה </w:t>
      </w:r>
      <w:r>
        <w:rPr>
          <w:rFonts w:ascii="Century" w:hAnsi="Century" w:cs="Century"/>
          <w:sz w:val="22"/>
          <w:sz w:val="22"/>
          <w:rtl w:val="true"/>
        </w:rPr>
        <w:t>הדיונית בקביעת הפיצוי</w:t>
      </w:r>
      <w:r>
        <w:rPr>
          <w:rFonts w:cs="Century" w:ascii="Century" w:hAnsi="Century"/>
          <w:sz w:val="22"/>
          <w:rtl w:val="true"/>
        </w:rPr>
        <w:t>.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יוער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מצאתי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הצדקה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לסטות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מקביעת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משפט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קמא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לפיה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המערער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עודכן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במועד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עריכת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הסדר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הטיעון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בדבר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כוונת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המשיבה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לעתור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לפסיקת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פיצויים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וממילא</w:t>
      </w:r>
      <w:r>
        <w:rPr>
          <w:sz w:val="22"/>
          <w:rtl w:val="true"/>
        </w:rPr>
        <w:t xml:space="preserve">, </w:t>
      </w:r>
      <w:r>
        <w:rPr>
          <w:rtl w:val="true"/>
        </w:rPr>
        <w:t>מדובר</w:t>
      </w:r>
      <w:r>
        <w:rPr>
          <w:rtl w:val="true"/>
        </w:rPr>
        <w:t xml:space="preserve"> בהסדר טיעון </w:t>
      </w:r>
      <w:r>
        <w:rPr>
          <w:rtl w:val="true"/>
        </w:rPr>
        <w:t>'</w:t>
      </w:r>
      <w:r>
        <w:rPr>
          <w:rtl w:val="true"/>
        </w:rPr>
        <w:t>פתוח</w:t>
      </w:r>
      <w:r>
        <w:rPr>
          <w:rtl w:val="true"/>
        </w:rPr>
        <w:t xml:space="preserve">', </w:t>
      </w:r>
      <w:r>
        <w:rPr>
          <w:rtl w:val="true"/>
        </w:rPr>
        <w:t>שלא</w:t>
      </w:r>
      <w:r>
        <w:rPr>
          <w:rtl w:val="true"/>
        </w:rPr>
        <w:t xml:space="preserve"> מגביל את </w:t>
      </w:r>
      <w:r>
        <w:rPr>
          <w:rtl w:val="true"/>
        </w:rPr>
        <w:t>הצדדים</w:t>
      </w:r>
      <w:r>
        <w:rPr>
          <w:rtl w:val="true"/>
        </w:rPr>
        <w:t xml:space="preserve"> </w:t>
      </w:r>
      <w:r>
        <w:rPr>
          <w:rtl w:val="true"/>
        </w:rPr>
        <w:t>בטיעוניהם</w:t>
      </w:r>
      <w:r>
        <w:rPr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הפעלת הסמכות לפסיקת פיצויים על</w:t>
      </w:r>
      <w:r>
        <w:rPr>
          <w:rtl w:val="true"/>
        </w:rPr>
        <w:t>-</w:t>
      </w:r>
      <w:r>
        <w:rPr>
          <w:rtl w:val="true"/>
        </w:rPr>
        <w:t>ידי בית המשפט אינה טעונה בקשה של התביעה ולמעשה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מוסמך לפסוק פיצויים גם מקום שהתביעה לא עתרה לכך </w:t>
      </w:r>
      <w:r>
        <w:rPr>
          <w:rtl w:val="true"/>
        </w:rPr>
        <w:t>(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5860/14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לביא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06.03.2016</w:t>
      </w:r>
      <w:r>
        <w:rPr>
          <w:rtl w:val="true"/>
        </w:rPr>
        <w:t xml:space="preserve">)). </w:t>
      </w:r>
      <w:r>
        <w:rPr>
          <w:rtl w:val="true"/>
        </w:rPr>
        <w:t>יתרה</w:t>
      </w:r>
      <w:r>
        <w:rPr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 </w:t>
      </w:r>
      <w:r>
        <w:rPr>
          <w:rtl w:val="true"/>
        </w:rPr>
        <w:t>יוזכר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 </w:t>
      </w:r>
      <w:r>
        <w:rPr>
          <w:rtl w:val="true"/>
        </w:rPr>
        <w:t>שניתן</w:t>
      </w:r>
      <w:r>
        <w:rPr>
          <w:rtl w:val="true"/>
        </w:rPr>
        <w:t xml:space="preserve"> </w:t>
      </w:r>
      <w:r>
        <w:rPr>
          <w:rtl w:val="true"/>
        </w:rPr>
        <w:t>מכוח</w:t>
      </w:r>
      <w:r>
        <w:rPr>
          <w:rtl w:val="true"/>
        </w:rPr>
        <w:t xml:space="preserve"> </w:t>
      </w:r>
      <w:hyperlink r:id="rId3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פיצוי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מוקדם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הוכחת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הנזק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אזרחי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... 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חשבון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הפיצויים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שיבואו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בכלל</w:t>
      </w:r>
      <w:r>
        <w:rPr>
          <w:rtl w:val="true"/>
        </w:rPr>
        <w:t>" (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5761/05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דלאוי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פורסם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בנבו</w:t>
      </w:r>
      <w:r>
        <w:rPr>
          <w:rFonts w:cs="Century" w:ascii="Century" w:hAnsi="Century"/>
          <w:rtl w:val="true"/>
        </w:rPr>
        <w:t>]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24.07.2006</w:t>
      </w:r>
      <w:r>
        <w:rPr>
          <w:rFonts w:cs="Century" w:ascii="Century" w:hAnsi="Century"/>
          <w:rtl w:val="true"/>
        </w:rPr>
        <w:t>))</w:t>
      </w:r>
      <w:r>
        <w:rPr>
          <w:rtl w:val="true"/>
        </w:rPr>
        <w:t xml:space="preserve">. </w:t>
      </w:r>
      <w:r>
        <w:rPr>
          <w:rtl w:val="true"/>
        </w:rPr>
        <w:t>מדובר בפיצוי שאינו מחייב הליך של הוכחת נזק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אמור לשקף במדויק את הנזק הממשי שנגרם לנפגע העבירה </w:t>
      </w:r>
      <w:r>
        <w:rPr>
          <w:rtl w:val="true"/>
        </w:rPr>
        <w:t>(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8074/16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סוליימנוב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69</w:t>
      </w:r>
      <w:r>
        <w:rPr>
          <w:rFonts w:cs="Century" w:ascii="Century" w:hAnsi="Century"/>
          <w:rtl w:val="true"/>
        </w:rPr>
        <w:t xml:space="preserve"> [</w:t>
      </w:r>
      <w:r>
        <w:rPr>
          <w:rFonts w:ascii="Century" w:hAnsi="Century" w:cs="Century"/>
          <w:rtl w:val="true"/>
        </w:rPr>
        <w:t>פורסם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בנבו</w:t>
      </w:r>
      <w:r>
        <w:rPr>
          <w:rFonts w:cs="Century" w:ascii="Century" w:hAnsi="Century"/>
          <w:rtl w:val="true"/>
        </w:rPr>
        <w:t>]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02.04.2020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ברי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באמור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כדי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לרוקן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מתוכן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חובתה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המאשימה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להציג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בפני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המשפט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תשתית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עובדתית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מסוימת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מנת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לאפשר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להעריך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סכום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הפיצויים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שראוי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דרך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האומדנה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spacing w:before="240" w:after="240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משהודה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בעובדות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המבססות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עבירת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התחבולה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שעבר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כלפי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לקוחותיו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לרבות העובדה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ascii="Century" w:hAnsi="Century" w:cs="Century"/>
          <w:rtl w:val="true"/>
        </w:rPr>
        <w:t>הלקוחות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שנקשרו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עמו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בעקבות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תחבולתו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שילמו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סכומי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כסף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משמעותיים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שמדובר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בשישה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נפגעים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הראיות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לגביהם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מבסס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חסרון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ישיר</w:t>
      </w:r>
      <w:r>
        <w:rPr>
          <w:rFonts w:ascii="Century" w:hAnsi="Century" w:cs="Century"/>
          <w:rtl w:val="true"/>
        </w:rPr>
        <w:t xml:space="preserve"> – </w:t>
      </w:r>
      <w:r>
        <w:rPr>
          <w:rFonts w:ascii="Century" w:hAnsi="Century" w:cs="Century"/>
          <w:rtl w:val="true"/>
        </w:rPr>
        <w:t>איני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סבור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פסיקת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פיצוי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לשישה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מתוך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כלל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נפגעי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העומד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4,000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אחד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הנפגעים</w:t>
      </w:r>
      <w:r>
        <w:rPr>
          <w:rFonts w:ascii="Century" w:hAnsi="Century" w:cs="Century"/>
          <w:rtl w:val="true"/>
        </w:rPr>
        <w:t xml:space="preserve"> – </w:t>
      </w:r>
      <w:r>
        <w:rPr>
          <w:rFonts w:ascii="Century" w:hAnsi="Century" w:cs="Century"/>
          <w:rtl w:val="true"/>
        </w:rPr>
        <w:t>מעלה כל פגם או חריגה קיצונית בשיקול הדעת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באופן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ascii="Century" w:hAnsi="Century" w:cs="Century"/>
          <w:rtl w:val="true"/>
        </w:rPr>
        <w:t>מצדיק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התערבות</w:t>
      </w:r>
      <w:r>
        <w:rPr>
          <w:rFonts w:cs="Century" w:ascii="Century" w:hAnsi="Century"/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sz w:val="22"/>
          <w:sz w:val="22"/>
          <w:rtl w:val="true"/>
        </w:rPr>
        <w:t xml:space="preserve">למסקנה דומה הגעתי גם </w:t>
      </w:r>
      <w:r>
        <w:rPr>
          <w:sz w:val="22"/>
          <w:sz w:val="22"/>
          <w:rtl w:val="true"/>
        </w:rPr>
        <w:t>ביחס</w:t>
      </w:r>
      <w:r>
        <w:rPr>
          <w:rtl w:val="true"/>
        </w:rPr>
        <w:t xml:space="preserve"> </w:t>
      </w:r>
      <w:r>
        <w:rPr>
          <w:rtl w:val="true"/>
        </w:rPr>
        <w:t>להוצאות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טובת </w:t>
      </w:r>
      <w:r>
        <w:rPr>
          <w:rtl w:val="true"/>
        </w:rPr>
        <w:t>אוצר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שהוטלו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בהחלטה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tl w:val="true"/>
        </w:rPr>
        <w:t xml:space="preserve"> </w:t>
      </w:r>
      <w:r>
        <w:rPr/>
        <w:t>02.12.2022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מדובר בצעד חריג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tl w:val="true"/>
        </w:rPr>
        <w:t xml:space="preserve"> </w:t>
      </w:r>
      <w:r>
        <w:rPr>
          <w:rtl w:val="true"/>
        </w:rPr>
        <w:t>בהחלטתו</w:t>
      </w:r>
      <w:r>
        <w:rPr>
          <w:rtl w:val="true"/>
        </w:rPr>
        <w:t xml:space="preserve"> </w:t>
      </w:r>
      <w:r>
        <w:rPr>
          <w:rtl w:val="true"/>
        </w:rPr>
        <w:t>המנומק</w:t>
      </w:r>
      <w:r>
        <w:rPr>
          <w:rtl w:val="true"/>
        </w:rPr>
        <w:t>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>,</w:t>
      </w:r>
      <w:r>
        <w:rPr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דרך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הילוכם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של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המערער ובא</w:t>
      </w:r>
      <w:r>
        <w:rPr>
          <w:rFonts w:cs="FrankRuehl" w:ascii="FrankRuehl" w:hAnsi="FrankRuehl"/>
          <w:color w:val="000000"/>
          <w:sz w:val="28"/>
          <w:rtl w:val="true"/>
        </w:rPr>
        <w:t>-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כוחו התאפיינה 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במחדלים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ובהתנהלות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חריגה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גם ביחס להליכים פליליים בהם הצדדים מערימים קשיים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בית המשפט אף הפנה לשתי החלטות קודמות שניתנו בהליך בשנים </w:t>
      </w:r>
      <w:r>
        <w:rPr>
          <w:rFonts w:cs="FrankRuehl" w:ascii="FrankRuehl" w:hAnsi="FrankRuehl"/>
          <w:color w:val="000000"/>
          <w:sz w:val="28"/>
        </w:rPr>
        <w:t>2021-2020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בהן הובעה ביקורת על התנהלותו הדיונית של המערע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ר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התנהלות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ש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הגיעה לשיאה בדיון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שנערך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ב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יום </w:t>
      </w:r>
      <w:r>
        <w:rPr>
          <w:rFonts w:cs="FrankRuehl" w:ascii="FrankRuehl" w:hAnsi="FrankRuehl"/>
          <w:color w:val="000000"/>
          <w:sz w:val="28"/>
        </w:rPr>
        <w:t>01.12.2022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והובילה לבזבוז משאבי ציבור יקרים</w:t>
      </w:r>
      <w:r>
        <w:rPr>
          <w:rFonts w:cs="FrankRuehl" w:ascii="FrankRuehl" w:hAnsi="FrankRuehl"/>
          <w:color w:val="000000"/>
          <w:sz w:val="28"/>
          <w:rtl w:val="true"/>
        </w:rPr>
        <w:t>.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אעיר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כי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למקרא פרוטוקול הדיון וההחלטות שניתנו במהלכו אכן מצטיירת תמונה עגומה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בהקשר זה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לפיה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אכן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ניסיון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אפשרי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למנוע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שמיעת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ההוכחות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".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כפי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ש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הודגש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בהחלטה</w:t>
      </w:r>
      <w:r>
        <w:rPr>
          <w:rFonts w:cs="FrankRuehl" w:ascii="FrankRuehl" w:hAnsi="FrankRuehl"/>
          <w:color w:val="000000"/>
          <w:sz w:val="28"/>
          <w:rtl w:val="true"/>
        </w:rPr>
        <w:t>,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מעיון בתיק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מ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צטייר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הרושם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כי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מדובר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במערער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ש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הקפיד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לקבוע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את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בדיקותיו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הרפואיות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דווקא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במועדים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ובשעות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שבהם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נקבעו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ישיבות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ההוכחות</w:t>
      </w:r>
      <w:r>
        <w:rPr>
          <w:rFonts w:cs="FrankRuehl" w:ascii="FrankRuehl" w:hAnsi="FrankRuehl"/>
          <w:color w:val="000000"/>
          <w:sz w:val="28"/>
          <w:rtl w:val="true"/>
        </w:rPr>
        <w:t>.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בהינתן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האמור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כמו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גם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עובדת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התייצבותו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tl w:val="true"/>
        </w:rPr>
        <w:t>עד</w:t>
      </w:r>
      <w:r>
        <w:rPr>
          <w:rtl w:val="true"/>
        </w:rPr>
        <w:t xml:space="preserve"> </w:t>
      </w:r>
      <w:r>
        <w:rPr>
          <w:rtl w:val="true"/>
        </w:rPr>
        <w:t>לדיון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tl w:val="true"/>
        </w:rPr>
        <w:t xml:space="preserve"> </w:t>
      </w:r>
      <w:r>
        <w:rPr>
          <w:rtl w:val="true"/>
        </w:rPr>
        <w:t>בהוצאות</w:t>
      </w:r>
      <w:r>
        <w:rPr>
          <w:rtl w:val="true"/>
        </w:rPr>
        <w:t xml:space="preserve"> </w:t>
      </w:r>
      <w:r>
        <w:rPr>
          <w:rtl w:val="true"/>
        </w:rPr>
        <w:t>חברת</w:t>
      </w:r>
      <w:r>
        <w:rPr>
          <w:rtl w:val="true"/>
        </w:rPr>
        <w:t xml:space="preserve"> </w:t>
      </w:r>
      <w:r>
        <w:rPr>
          <w:rtl w:val="true"/>
        </w:rPr>
        <w:t>ההקלטה</w:t>
      </w:r>
      <w:r>
        <w:rPr>
          <w:rtl w:val="true"/>
        </w:rPr>
        <w:t xml:space="preserve"> </w:t>
      </w:r>
      <w:r>
        <w:rPr>
          <w:rtl w:val="true"/>
        </w:rPr>
        <w:t>והוצאות</w:t>
      </w:r>
      <w:r>
        <w:rPr>
          <w:rtl w:val="true"/>
        </w:rPr>
        <w:t xml:space="preserve"> </w:t>
      </w:r>
      <w:r>
        <w:rPr>
          <w:rtl w:val="true"/>
        </w:rPr>
        <w:t>המתורגמנית</w:t>
      </w:r>
      <w:r>
        <w:rPr>
          <w:rtl w:val="true"/>
        </w:rPr>
        <w:t xml:space="preserve"> </w:t>
      </w:r>
      <w:r>
        <w:rPr>
          <w:rtl w:val="true"/>
        </w:rPr>
        <w:t>שהגיע</w:t>
      </w:r>
      <w:r>
        <w:rPr>
          <w:rFonts w:ascii="Century" w:hAnsi="Century" w:cs="Century"/>
          <w:sz w:val="22"/>
          <w:sz w:val="22"/>
          <w:rtl w:val="true"/>
        </w:rPr>
        <w:t xml:space="preserve">ו לדיון </w:t>
      </w:r>
      <w:r>
        <w:rPr>
          <w:rFonts w:ascii="Century" w:hAnsi="Century" w:cs="Century"/>
          <w:sz w:val="22"/>
          <w:sz w:val="22"/>
          <w:rtl w:val="true"/>
        </w:rPr>
        <w:t xml:space="preserve">– </w:t>
      </w:r>
      <w:r>
        <w:rPr>
          <w:rFonts w:ascii="Century" w:hAnsi="Century" w:cs="Century"/>
          <w:sz w:val="22"/>
          <w:sz w:val="22"/>
          <w:rtl w:val="true"/>
        </w:rPr>
        <w:t>איני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מוצא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מקום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להתערבות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בהחלטת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בית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משפט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קמא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להטיל על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המערער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הוצאות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לטובת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אוצר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המדינה</w:t>
      </w:r>
      <w:r>
        <w:rPr>
          <w:rFonts w:ascii="Century" w:hAnsi="Century" w:cs="Century"/>
          <w:sz w:val="22"/>
          <w:sz w:val="22"/>
          <w:rtl w:val="true"/>
        </w:rPr>
        <w:t xml:space="preserve"> בסך של 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1,000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ח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rPr>
          <w:rFonts w:ascii="Arial TUR;Arial" w:hAnsi="Arial TUR;Arial" w:cs="Arial TUR;Arial"/>
          <w:sz w:val="22"/>
          <w:szCs w:val="22"/>
        </w:rPr>
      </w:pPr>
      <w:r>
        <w:rPr>
          <w:rFonts w:ascii="Arial TUR;Arial" w:hAnsi="Arial TUR;Arial" w:cs="Arial TUR;Arial"/>
          <w:b/>
          <w:b/>
          <w:spacing w:val="0"/>
          <w:sz w:val="22"/>
          <w:sz w:val="22"/>
          <w:szCs w:val="22"/>
          <w:rtl w:val="true"/>
        </w:rPr>
        <w:t>סוף</w:t>
      </w:r>
      <w:r>
        <w:rPr>
          <w:rFonts w:ascii="Arial TUR;Arial" w:hAnsi="Arial TUR;Arial" w:eastAsia="Century" w:cs="Arial TUR;Arial"/>
          <w:b/>
          <w:b/>
          <w:spacing w:val="0"/>
          <w:sz w:val="22"/>
          <w:sz w:val="22"/>
          <w:szCs w:val="22"/>
          <w:rtl w:val="true"/>
        </w:rPr>
        <w:t xml:space="preserve"> </w:t>
      </w:r>
      <w:r>
        <w:rPr>
          <w:rFonts w:ascii="Arial TUR;Arial" w:hAnsi="Arial TUR;Arial" w:cs="Arial TUR;Arial"/>
          <w:b/>
          <w:b/>
          <w:spacing w:val="0"/>
          <w:sz w:val="22"/>
          <w:sz w:val="22"/>
          <w:szCs w:val="22"/>
          <w:rtl w:val="true"/>
        </w:rPr>
        <w:t>דבר</w:t>
      </w:r>
      <w:r>
        <w:rPr>
          <w:rFonts w:cs="Arial TUR;Arial" w:ascii="Arial TUR;Arial" w:hAnsi="Arial TUR;Arial"/>
          <w:sz w:val="22"/>
          <w:szCs w:val="22"/>
          <w:rtl w:val="true"/>
        </w:rPr>
        <w:t>:</w:t>
      </w:r>
      <w:r>
        <w:rPr>
          <w:rFonts w:cs="Arial TUR;Arial" w:ascii="Arial TUR;Arial" w:hAnsi="Arial TUR;Arial"/>
          <w:sz w:val="22"/>
          <w:szCs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szCs w:val="22"/>
          <w:rtl w:val="true"/>
        </w:rPr>
        <w:t>בית המשפט המחוזי נתן דעתו לכל השיקולים הצריכים לעניין</w:t>
      </w:r>
      <w:r>
        <w:rPr>
          <w:rFonts w:cs="Arial TUR;Arial" w:ascii="Arial TUR;Arial" w:hAnsi="Arial TUR;Arial"/>
          <w:sz w:val="22"/>
          <w:szCs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szCs w:val="22"/>
          <w:rtl w:val="true"/>
        </w:rPr>
        <w:t xml:space="preserve">ולא </w:t>
      </w:r>
      <w:r>
        <w:rPr>
          <w:rFonts w:ascii="Arial TUR;Arial" w:hAnsi="Arial TUR;Arial" w:cs="Arial TUR;Arial"/>
          <w:sz w:val="22"/>
          <w:sz w:val="22"/>
          <w:szCs w:val="22"/>
          <w:rtl w:val="true"/>
        </w:rPr>
        <w:t>מצאתי</w:t>
      </w:r>
      <w:r>
        <w:rPr>
          <w:rFonts w:ascii="Arial TUR;Arial" w:hAnsi="Arial TUR;Arial" w:cs="Arial TUR;Arial"/>
          <w:sz w:val="22"/>
          <w:sz w:val="22"/>
          <w:szCs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szCs w:val="22"/>
          <w:rtl w:val="true"/>
        </w:rPr>
        <w:t xml:space="preserve">בערעור דבר </w:t>
      </w:r>
      <w:r>
        <w:rPr>
          <w:rFonts w:ascii="Arial TUR;Arial" w:hAnsi="Arial TUR;Arial" w:cs="Arial TUR;Arial"/>
          <w:sz w:val="22"/>
          <w:sz w:val="22"/>
          <w:szCs w:val="22"/>
          <w:rtl w:val="true"/>
        </w:rPr>
        <w:t>המצדיק את התערבותנו</w:t>
      </w:r>
      <w:r>
        <w:rPr>
          <w:rFonts w:cs="Arial TUR;Arial" w:ascii="Arial TUR;Arial" w:hAnsi="Arial TUR;Arial"/>
          <w:sz w:val="22"/>
          <w:szCs w:val="22"/>
          <w:rtl w:val="true"/>
        </w:rPr>
        <w:t>.</w:t>
      </w:r>
      <w:r>
        <w:rPr>
          <w:rFonts w:cs="Arial TUR;Arial" w:ascii="Arial TUR;Arial" w:hAnsi="Arial TUR;Arial"/>
          <w:sz w:val="22"/>
          <w:szCs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szCs w:val="22"/>
          <w:rtl w:val="true"/>
        </w:rPr>
        <w:t>אשר על כן</w:t>
      </w:r>
      <w:r>
        <w:rPr>
          <w:rFonts w:cs="Arial TUR;Arial" w:ascii="Arial TUR;Arial" w:hAnsi="Arial TUR;Arial"/>
          <w:sz w:val="22"/>
          <w:szCs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szCs w:val="22"/>
          <w:rtl w:val="true"/>
        </w:rPr>
        <w:t>לו תשמע דעתי</w:t>
      </w:r>
      <w:r>
        <w:rPr>
          <w:rFonts w:cs="Arial TUR;Arial" w:ascii="Arial TUR;Arial" w:hAnsi="Arial TUR;Arial"/>
          <w:sz w:val="22"/>
          <w:szCs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szCs w:val="22"/>
          <w:rtl w:val="true"/>
        </w:rPr>
        <w:t>נדחה את הערעור על כל חלקיו</w:t>
      </w:r>
      <w:r>
        <w:rPr>
          <w:rFonts w:cs="Arial TUR;Arial" w:ascii="Arial TUR;Arial" w:hAnsi="Arial TUR;Arial"/>
          <w:sz w:val="22"/>
          <w:szCs w:val="22"/>
          <w:rtl w:val="true"/>
        </w:rPr>
        <w:t>.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2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2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</w:p>
        </w:tc>
      </w:tr>
    </w:tbl>
    <w:p>
      <w:pPr>
        <w:pStyle w:val="BODYVERDICT"/>
        <w:spacing w:before="240" w:after="240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2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2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2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2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</w:p>
        </w:tc>
      </w:tr>
    </w:tbl>
    <w:p>
      <w:pPr>
        <w:pStyle w:val="BODYVERDICT"/>
        <w:spacing w:before="240" w:after="240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ר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רונן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2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כבוב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להוצאות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להסתייג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ממסקנתו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4"/>
        </w:numPr>
        <w:spacing w:before="240" w:after="240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tl w:val="true"/>
        </w:rPr>
        <w:t>כפי שהובהר בפירוט בפסק דינו של חברי</w:t>
      </w:r>
      <w:r>
        <w:rPr>
          <w:rtl w:val="true"/>
        </w:rPr>
        <w:t xml:space="preserve">, </w:t>
      </w:r>
      <w:r>
        <w:rPr>
          <w:rtl w:val="true"/>
        </w:rPr>
        <w:t>המערער הורשע על פי הודאתו בכתב האישום המתוקן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בעבירה של תחבולה לפי </w:t>
      </w:r>
      <w:hyperlink r:id="rId3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416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). </w:t>
      </w:r>
      <w:r>
        <w:rPr>
          <w:rtl w:val="true"/>
        </w:rPr>
        <w:t>עבירה זו נגעה למצגי שווא של המערער לפיהם הוא עורך דין</w:t>
      </w:r>
      <w:r>
        <w:rPr>
          <w:rtl w:val="true"/>
        </w:rPr>
        <w:t xml:space="preserve">, </w:t>
      </w:r>
      <w:r>
        <w:rPr>
          <w:rtl w:val="true"/>
        </w:rPr>
        <w:t>משפטן או מהנדס</w:t>
      </w:r>
      <w:r>
        <w:rPr>
          <w:rtl w:val="true"/>
        </w:rPr>
        <w:t xml:space="preserve">, </w:t>
      </w:r>
      <w:r>
        <w:rPr>
          <w:rtl w:val="true"/>
        </w:rPr>
        <w:t>וניצול נטען שלו את הסברה של הלקוחות</w:t>
      </w:r>
      <w:r>
        <w:rPr>
          <w:rtl w:val="true"/>
        </w:rPr>
        <w:t xml:space="preserve">, </w:t>
      </w:r>
      <w:r>
        <w:rPr>
          <w:rtl w:val="true"/>
        </w:rPr>
        <w:t>שהתקשרו איתו על בסיס מצגי השווא הללו</w:t>
      </w:r>
      <w:r>
        <w:rPr>
          <w:rtl w:val="true"/>
        </w:rPr>
        <w:t xml:space="preserve">. </w:t>
      </w:r>
      <w:r>
        <w:rPr>
          <w:rtl w:val="true"/>
        </w:rPr>
        <w:t>רבים מהם שילמו לו בין אלפי ש</w:t>
      </w:r>
      <w:r>
        <w:rPr>
          <w:rtl w:val="true"/>
        </w:rPr>
        <w:t>"</w:t>
      </w:r>
      <w:r>
        <w:rPr>
          <w:rtl w:val="true"/>
        </w:rPr>
        <w:t>ח לעשרות אלפי ש</w:t>
      </w:r>
      <w:r>
        <w:rPr>
          <w:rtl w:val="true"/>
        </w:rPr>
        <w:t>"</w:t>
      </w:r>
      <w:r>
        <w:rPr>
          <w:rtl w:val="true"/>
        </w:rPr>
        <w:t>ח כל אחד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לאחר שהורשע על פי הודאתו</w:t>
      </w:r>
      <w:r>
        <w:rPr>
          <w:rtl w:val="true"/>
        </w:rPr>
        <w:t xml:space="preserve">, </w:t>
      </w:r>
      <w:r>
        <w:rPr>
          <w:rtl w:val="true"/>
        </w:rPr>
        <w:t xml:space="preserve">הודיעה המשיבה כי תעתור לפסיקת פיצויים עבור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נפגעים שנרשמו כעדי תביעה בכתב האישום ושקיימות לגביהם ראיות ברף הנדרש לכך שהעבירות בהן הורשע המערער גרמו להם לחיסרון כיס</w:t>
      </w:r>
      <w:r>
        <w:rPr>
          <w:rtl w:val="true"/>
        </w:rPr>
        <w:t xml:space="preserve">. </w:t>
      </w:r>
      <w:r>
        <w:rPr>
          <w:rtl w:val="true"/>
        </w:rPr>
        <w:t>בתגובה להודעה</w:t>
      </w:r>
      <w:r>
        <w:rPr>
          <w:rtl w:val="true"/>
        </w:rPr>
        <w:t xml:space="preserve">, </w:t>
      </w:r>
      <w:r>
        <w:rPr>
          <w:rtl w:val="true"/>
        </w:rPr>
        <w:t>טען המערער כי בסעיף הנוגע לעבירת התחבולה בכתב האישום</w:t>
      </w:r>
      <w:r>
        <w:rPr>
          <w:rtl w:val="true"/>
        </w:rPr>
        <w:t xml:space="preserve">, </w:t>
      </w:r>
      <w:r>
        <w:rPr>
          <w:rtl w:val="true"/>
        </w:rPr>
        <w:t>לא מוזכר שמו של אף עד תביעה או מתלונן</w:t>
      </w:r>
      <w:r>
        <w:rPr>
          <w:rtl w:val="true"/>
        </w:rPr>
        <w:t xml:space="preserve">, </w:t>
      </w:r>
      <w:r>
        <w:rPr>
          <w:rtl w:val="true"/>
        </w:rPr>
        <w:t>וכן כי המשיבה לא נקבה בנזק בשיעור כלשהו שניתן לייחס אותו לעד תביעה או למתלונן</w:t>
      </w:r>
      <w:r>
        <w:rPr>
          <w:rtl w:val="true"/>
        </w:rPr>
        <w:t xml:space="preserve">. </w:t>
      </w:r>
      <w:r>
        <w:rPr>
          <w:rtl w:val="true"/>
        </w:rPr>
        <w:t>עוד הוסיף המערער כי לפי האמור בכתב האישום כפי שתוקן בהסדר הטיעון</w:t>
      </w:r>
      <w:r>
        <w:rPr>
          <w:rtl w:val="true"/>
        </w:rPr>
        <w:t xml:space="preserve">, </w:t>
      </w:r>
      <w:r>
        <w:rPr>
          <w:rtl w:val="true"/>
        </w:rPr>
        <w:t>רק חלק מהאנשים שהתקשרו עמו שילמו לו כספים</w:t>
      </w:r>
      <w:r>
        <w:rPr>
          <w:rtl w:val="true"/>
        </w:rPr>
        <w:t xml:space="preserve">, </w:t>
      </w:r>
      <w:r>
        <w:rPr>
          <w:rtl w:val="true"/>
        </w:rPr>
        <w:t xml:space="preserve">ואף לא נטען כי אלה ששילמו </w:t>
      </w:r>
      <w:r>
        <w:rPr>
          <w:rtl w:val="true"/>
        </w:rPr>
        <w:t xml:space="preserve">- </w:t>
      </w:r>
      <w:r>
        <w:rPr>
          <w:rtl w:val="true"/>
        </w:rPr>
        <w:t>לא קיבלו תמורה בגין התשלום או כי נגרם להם נזק כלשהו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הודאתו בכתב האישום המתוקן אינה מהווה הודאה בכך שדווקא האנשים המוזכרים בו הם נפגעי העבירה בה הודה</w:t>
      </w:r>
      <w:r>
        <w:rPr>
          <w:rtl w:val="true"/>
        </w:rPr>
        <w:t xml:space="preserve">. </w:t>
      </w:r>
      <w:r>
        <w:rPr>
          <w:rtl w:val="true"/>
        </w:rPr>
        <w:t xml:space="preserve">עוד הוא הוסיף כי בסעיף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ובנספח א</w:t>
      </w:r>
      <w:r>
        <w:rPr>
          <w:rtl w:val="true"/>
        </w:rPr>
        <w:t xml:space="preserve">' </w:t>
      </w:r>
      <w:r>
        <w:rPr>
          <w:rtl w:val="true"/>
        </w:rPr>
        <w:t xml:space="preserve">לכתב האישום המתוקן מיום </w:t>
      </w:r>
      <w:r>
        <w:rPr/>
        <w:t>2.11.2020</w:t>
      </w:r>
      <w:r>
        <w:rPr>
          <w:rtl w:val="true"/>
        </w:rPr>
        <w:t xml:space="preserve"> </w:t>
      </w:r>
      <w:r>
        <w:rPr>
          <w:rtl w:val="true"/>
        </w:rPr>
        <w:t>פורטו שמות האנשים שלטענת המאשימה שילמו למערער כספים שלא דווחו על ידיו לרשות המיסים</w:t>
      </w:r>
      <w:r>
        <w:rPr>
          <w:rtl w:val="true"/>
        </w:rPr>
        <w:t xml:space="preserve">. </w:t>
      </w:r>
      <w:r>
        <w:rPr>
          <w:rtl w:val="true"/>
        </w:rPr>
        <w:t>חלק מהשמות שהציגה המשיבה בהודעתה באשר לנפגעי העבירה שזכאים לפיצוי אינם כלולים ברשימה זו</w:t>
      </w:r>
      <w:r>
        <w:rPr>
          <w:rtl w:val="true"/>
        </w:rPr>
        <w:t xml:space="preserve">. </w:t>
      </w:r>
      <w:r>
        <w:rPr>
          <w:rtl w:val="true"/>
        </w:rPr>
        <w:t>מכאן שאף לטענת המשיבה הם לא שילמו כספים למערער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טענה המשיבה כי לא הייתה מניעה שהיא תעתור לפיצויים הואיל והסדר הטיעון לא כלל הסכמה עונשית</w:t>
      </w:r>
      <w:r>
        <w:rPr>
          <w:rtl w:val="true"/>
        </w:rPr>
        <w:t xml:space="preserve">, </w:t>
      </w:r>
      <w:r>
        <w:rPr>
          <w:rtl w:val="true"/>
        </w:rPr>
        <w:t>וטרם כריתתו</w:t>
      </w:r>
      <w:r>
        <w:rPr>
          <w:rtl w:val="true"/>
        </w:rPr>
        <w:t xml:space="preserve">, </w:t>
      </w:r>
      <w:r>
        <w:rPr>
          <w:rtl w:val="true"/>
        </w:rPr>
        <w:t>היא יידעה את המערער אודות כוונתה לעתור לפסיקת פיצויים לנפגעי העבירה</w:t>
      </w:r>
      <w:r>
        <w:rPr>
          <w:rtl w:val="true"/>
        </w:rPr>
        <w:t xml:space="preserve">. </w:t>
      </w:r>
      <w:r>
        <w:rPr>
          <w:rtl w:val="true"/>
        </w:rPr>
        <w:t>בהתייחס לקיומם של נפגעי עבירה</w:t>
      </w:r>
      <w:r>
        <w:rPr>
          <w:rtl w:val="true"/>
        </w:rPr>
        <w:t xml:space="preserve">, </w:t>
      </w:r>
      <w:r>
        <w:rPr>
          <w:rtl w:val="true"/>
        </w:rPr>
        <w:t xml:space="preserve">נטען כי המערער הודה בסעיף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לכתב האישום הקובע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ניצל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במכוון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ובמספר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הזדמנויות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סברתם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המוטעית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לקוחות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פוטנציאליים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מהנדס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בעקבות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זאת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הלקוחות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התקשרו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וחלקם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שילמו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סכומי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כסף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..."</w:t>
      </w:r>
      <w:r>
        <w:rPr>
          <w:rtl w:val="true"/>
        </w:rPr>
        <w:t xml:space="preserve">. </w:t>
      </w:r>
      <w:r>
        <w:rPr>
          <w:rtl w:val="true"/>
        </w:rPr>
        <w:t>ביחס לטענת המערער כי בכתב האישום המקורי לא צוינו שניים מהנפגעים שהמשיבה ביקשה לעתור עבורם לפיצויים</w:t>
      </w:r>
      <w:r>
        <w:rPr>
          <w:rtl w:val="true"/>
        </w:rPr>
        <w:t xml:space="preserve">, </w:t>
      </w:r>
      <w:r>
        <w:rPr>
          <w:rtl w:val="true"/>
        </w:rPr>
        <w:t>טענה המשיבה שהשניים לא הוזכרו לטובת המערער בהתייחס לעבירת המס</w:t>
      </w:r>
      <w:r>
        <w:rPr>
          <w:rtl w:val="true"/>
        </w:rPr>
        <w:t xml:space="preserve">, </w:t>
      </w:r>
      <w:r>
        <w:rPr>
          <w:rtl w:val="true"/>
        </w:rPr>
        <w:t>וזאת בשל חוסר בהירות בנוגע לסכום המדויק שהם העבירו לנאשם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בגזר דינו של בית המשפט המחוזי נושא הערעור</w:t>
      </w:r>
      <w:r>
        <w:rPr>
          <w:rtl w:val="true"/>
        </w:rPr>
        <w:t xml:space="preserve">, </w:t>
      </w:r>
      <w:r>
        <w:rPr>
          <w:rtl w:val="true"/>
        </w:rPr>
        <w:t>הוא קיבל את עמדת המשיבה באשר לטענותיה לפיצויים לנפגעי העבירה</w:t>
      </w:r>
      <w:r>
        <w:rPr>
          <w:rtl w:val="true"/>
        </w:rPr>
        <w:t xml:space="preserve">, </w:t>
      </w:r>
      <w:r>
        <w:rPr>
          <w:rtl w:val="true"/>
        </w:rPr>
        <w:t>והבהיר כי גרימת נזק אינה נמנית עם יסודות העבירה</w:t>
      </w:r>
      <w:r>
        <w:rPr>
          <w:rtl w:val="true"/>
        </w:rPr>
        <w:t xml:space="preserve">. </w:t>
      </w:r>
      <w:r>
        <w:rPr>
          <w:rtl w:val="true"/>
        </w:rPr>
        <w:t>הוא הוסיף כי מאחר שהמשיבה יידעה את המערער כי בכוונתה לעתור לחיובו בתשלום פיצויים לנפגעי עבירת התחבולה</w:t>
      </w:r>
      <w:r>
        <w:rPr>
          <w:rtl w:val="true"/>
        </w:rPr>
        <w:t xml:space="preserve">, </w:t>
      </w:r>
      <w:r>
        <w:rPr>
          <w:rtl w:val="true"/>
        </w:rPr>
        <w:t>והמערער הודה בעובדות המבססות את עבירת התחבולה שעבר כלפי לקוחותיו הנמנים כעדי התביעה</w:t>
      </w:r>
      <w:r>
        <w:rPr>
          <w:rtl w:val="true"/>
        </w:rPr>
        <w:t xml:space="preserve">, </w:t>
      </w:r>
      <w:r>
        <w:rPr>
          <w:rtl w:val="true"/>
        </w:rPr>
        <w:t xml:space="preserve">מקובלת עליו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הסברה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המאשימה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קביעת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הנפגעים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לגביהם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התבקשה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פסיקת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הפיצויים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הצטמצמו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בלבד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</w:t>
      </w:r>
      <w:r>
        <w:rPr>
          <w:rtl w:val="true"/>
        </w:rPr>
        <w:t xml:space="preserve">" </w:t>
      </w:r>
      <w:r>
        <w:rPr>
          <w:rtl w:val="true"/>
        </w:rPr>
        <w:t xml:space="preserve">סכום הפיצוי הועמד על ידי בית המשפט על סך של </w:t>
      </w:r>
      <w:r>
        <w:rPr/>
        <w:t>4,000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לכל אחד מששת הנפגעים לגביהם עתרה המשיבה לפיצוי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>
          <w:rFonts w:ascii="Century" w:hAnsi="Century" w:cs="Miriam"/>
          <w:b/>
          <w:spacing w:val="0"/>
          <w:szCs w:val="24"/>
        </w:rPr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טענות המערער נגעו בין היתר לרכיב זה בגזר דינו של בית המשפט קמא</w:t>
      </w:r>
      <w:r>
        <w:rPr>
          <w:rtl w:val="true"/>
        </w:rPr>
        <w:t xml:space="preserve">. </w:t>
      </w:r>
      <w:r>
        <w:rPr>
          <w:rtl w:val="true"/>
        </w:rPr>
        <w:t xml:space="preserve">חברי בפסק דינו הזכיר את הכלל לפיו ערכאת הערעור אינה נוהגת להתערב בפיצויים מכוח </w:t>
      </w:r>
      <w:hyperlink r:id="rId3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למעט במקרים קיצוניים</w:t>
      </w:r>
      <w:r>
        <w:rPr>
          <w:rtl w:val="true"/>
        </w:rPr>
        <w:t xml:space="preserve">, </w:t>
      </w:r>
      <w:r>
        <w:rPr>
          <w:rtl w:val="true"/>
        </w:rPr>
        <w:t>שלגישתו המקרה דנן אינו נמנה עמם</w:t>
      </w:r>
      <w:r>
        <w:rPr>
          <w:rtl w:val="true"/>
        </w:rPr>
        <w:t xml:space="preserve">. </w:t>
      </w:r>
      <w:r>
        <w:rPr>
          <w:rtl w:val="true"/>
        </w:rPr>
        <w:t>הוא הוסיף כי המערער עודכן במועד עריכת הסדר הטיעון בדבר כוונת המשיבה לעתור לפיצויים לנפגעי עבירה</w:t>
      </w:r>
      <w:r>
        <w:rPr>
          <w:rtl w:val="true"/>
        </w:rPr>
        <w:t xml:space="preserve">, </w:t>
      </w:r>
      <w:r>
        <w:rPr>
          <w:rtl w:val="true"/>
        </w:rPr>
        <w:t xml:space="preserve">וממילא הסדר הטיעון היה </w:t>
      </w:r>
      <w:r>
        <w:rPr>
          <w:rtl w:val="true"/>
        </w:rPr>
        <w:t>"</w:t>
      </w:r>
      <w:r>
        <w:rPr>
          <w:rtl w:val="true"/>
        </w:rPr>
        <w:t>פתוח</w:t>
      </w:r>
      <w:r>
        <w:rPr>
          <w:rtl w:val="true"/>
        </w:rPr>
        <w:t xml:space="preserve">", </w:t>
      </w:r>
      <w:r>
        <w:rPr>
          <w:rtl w:val="true"/>
        </w:rPr>
        <w:t>ולא הגביל את הצדדים בטיעוניהם לעונש</w:t>
      </w:r>
      <w:r>
        <w:rPr>
          <w:rtl w:val="true"/>
        </w:rPr>
        <w:t xml:space="preserve">. </w:t>
      </w:r>
      <w:r>
        <w:rPr>
          <w:rtl w:val="true"/>
        </w:rPr>
        <w:t xml:space="preserve">עוד הדגיש חברי כי הפיצוי מכוח </w:t>
      </w:r>
      <w:hyperlink r:id="rId4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הוא פיצוי בלא הוכחת הנזק</w:t>
      </w:r>
      <w:r>
        <w:rPr>
          <w:rtl w:val="true"/>
        </w:rPr>
        <w:t xml:space="preserve">, </w:t>
      </w:r>
      <w:r>
        <w:rPr>
          <w:rtl w:val="true"/>
        </w:rPr>
        <w:t>על חשבון הפיצויים העתידיים שהנפגע עשוי לתבוע בהליך אזרחי</w:t>
      </w:r>
      <w:r>
        <w:rPr>
          <w:rtl w:val="true"/>
        </w:rPr>
        <w:t xml:space="preserve">; </w:t>
      </w:r>
      <w:r>
        <w:rPr>
          <w:rtl w:val="true"/>
        </w:rPr>
        <w:t>וכי חרף זאת</w:t>
      </w:r>
      <w:r>
        <w:rPr>
          <w:rtl w:val="true"/>
        </w:rPr>
        <w:t xml:space="preserve">, </w:t>
      </w:r>
      <w:r>
        <w:rPr>
          <w:rtl w:val="true"/>
        </w:rPr>
        <w:t>על המאשימה להציג תשתית עובדתית מסוימת</w:t>
      </w:r>
      <w:r>
        <w:rPr>
          <w:rtl w:val="true"/>
        </w:rPr>
        <w:t xml:space="preserve">, </w:t>
      </w:r>
      <w:r>
        <w:rPr>
          <w:rtl w:val="true"/>
        </w:rPr>
        <w:t xml:space="preserve">שתאפשר לבית המשפט להעריך את סכום הפיצוי שיש לפסוק ולו על דרך האומדנה </w:t>
      </w:r>
      <w:r>
        <w:rPr>
          <w:rtl w:val="true"/>
        </w:rPr>
        <w:t>(</w:t>
      </w:r>
      <w:r>
        <w:rPr>
          <w:rtl w:val="true"/>
        </w:rPr>
        <w:t xml:space="preserve">פסקה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לפסק דינו של חברי</w:t>
      </w:r>
      <w:r>
        <w:rPr>
          <w:rtl w:val="true"/>
        </w:rPr>
        <w:t xml:space="preserve">). </w:t>
      </w:r>
      <w:r>
        <w:rPr>
          <w:rtl w:val="true"/>
        </w:rPr>
        <w:t>בסופו של דבר קבע חברי כי יש לדחות את טענות המערער</w:t>
      </w:r>
      <w:r>
        <w:rPr>
          <w:rtl w:val="true"/>
        </w:rPr>
        <w:t xml:space="preserve">. </w:t>
      </w:r>
    </w:p>
    <w:p>
      <w:pPr>
        <w:pStyle w:val="Ruller42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שלזכותם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/>
      </w:pPr>
      <w:hyperlink r:id="rId4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מאפשר לבית המשפט המרשיע נאשם</w:t>
      </w:r>
      <w:r>
        <w:rPr>
          <w:rtl w:val="true"/>
        </w:rPr>
        <w:t xml:space="preserve">, </w:t>
      </w:r>
      <w:r>
        <w:rPr>
          <w:rtl w:val="true"/>
        </w:rPr>
        <w:t>לחייבו לשלם לאדם שניזוק על ידי העבירה</w:t>
      </w:r>
      <w:r>
        <w:rPr>
          <w:rtl w:val="true"/>
        </w:rPr>
        <w:t xml:space="preserve">, </w:t>
      </w:r>
      <w:r>
        <w:rPr>
          <w:rtl w:val="true"/>
        </w:rPr>
        <w:t>כדי לפצותו על הנזק או הסבל שנגרם לו</w:t>
      </w:r>
      <w:r>
        <w:rPr>
          <w:rtl w:val="true"/>
        </w:rPr>
        <w:t xml:space="preserve">. </w:t>
      </w:r>
      <w:r>
        <w:rPr>
          <w:rtl w:val="true"/>
        </w:rPr>
        <w:t xml:space="preserve">בהתאם </w:t>
      </w:r>
      <w:hyperlink r:id="rId44">
        <w:r>
          <w:rPr>
            <w:rStyle w:val="Hyperlink"/>
            <w:rtl w:val="true"/>
          </w:rPr>
          <w:t>לסעיף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קביעת הפיצויים לפי סעיף זה תהיה לפי ערך הנזק או הסבל שנגרמו</w:t>
      </w:r>
      <w:r>
        <w:rPr>
          <w:rtl w:val="true"/>
        </w:rPr>
        <w:t xml:space="preserve">, </w:t>
      </w:r>
      <w:r>
        <w:rPr>
          <w:rtl w:val="true"/>
        </w:rPr>
        <w:t>ביום ביצוע העבירה או ביום מתן ההחלטה על הפיצויים</w:t>
      </w:r>
      <w:r>
        <w:rPr>
          <w:rtl w:val="true"/>
        </w:rPr>
        <w:t xml:space="preserve">, </w:t>
      </w:r>
      <w:r>
        <w:rPr>
          <w:rtl w:val="true"/>
        </w:rPr>
        <w:t>הכל לפי הגדול יותר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 xml:space="preserve">מדובר אפוא בפיצוי בעל </w:t>
      </w:r>
      <w:r>
        <w:rPr>
          <w:rtl w:val="true"/>
        </w:rPr>
        <w:t>"</w:t>
      </w:r>
      <w:r>
        <w:rPr>
          <w:rtl w:val="true"/>
        </w:rPr>
        <w:t>אופי מעין אזרחי</w:t>
      </w:r>
      <w:r>
        <w:rPr>
          <w:rtl w:val="true"/>
        </w:rPr>
        <w:t xml:space="preserve">" </w:t>
      </w:r>
      <w:r>
        <w:rPr>
          <w:rtl w:val="true"/>
        </w:rPr>
        <w:t>שניתן לנפגע העבירה</w:t>
      </w:r>
      <w:r>
        <w:rPr>
          <w:rtl w:val="true"/>
        </w:rPr>
        <w:t xml:space="preserve">, </w:t>
      </w:r>
      <w:r>
        <w:rPr>
          <w:rtl w:val="true"/>
        </w:rPr>
        <w:t>שהוא חריג בנוף ההליך הפלילי שהצדדים לו הם ככלל המדינה והנאשם</w:t>
      </w:r>
      <w:r>
        <w:rPr>
          <w:rtl w:val="true"/>
        </w:rPr>
        <w:t xml:space="preserve">, </w:t>
      </w:r>
      <w:r>
        <w:rPr>
          <w:rtl w:val="true"/>
        </w:rPr>
        <w:t>ולא נפגעי העבירה או קורבנותיה</w:t>
      </w:r>
      <w:r>
        <w:rPr>
          <w:rtl w:val="true"/>
        </w:rPr>
        <w:t xml:space="preserve">. </w:t>
      </w:r>
      <w:r>
        <w:rPr>
          <w:rtl w:val="true"/>
        </w:rPr>
        <w:t xml:space="preserve">הפיצוי הזה יכול להינתן הן בעבירות בהן הפגיעה איננה </w:t>
      </w:r>
      <w:r>
        <w:rPr>
          <w:rtl w:val="true"/>
        </w:rPr>
        <w:t>"</w:t>
      </w:r>
      <w:r>
        <w:rPr>
          <w:rtl w:val="true"/>
        </w:rPr>
        <w:t>כלכלית</w:t>
      </w:r>
      <w:r>
        <w:rPr>
          <w:rtl w:val="true"/>
        </w:rPr>
        <w:t xml:space="preserve">" </w:t>
      </w:r>
      <w:r>
        <w:rPr>
          <w:rtl w:val="true"/>
        </w:rPr>
        <w:t>גרידא</w:t>
      </w:r>
      <w:r>
        <w:rPr>
          <w:rtl w:val="true"/>
        </w:rPr>
        <w:t xml:space="preserve">, </w:t>
      </w:r>
      <w:r>
        <w:rPr>
          <w:rtl w:val="true"/>
        </w:rPr>
        <w:t xml:space="preserve">אלא גופנית או נפשית </w:t>
      </w:r>
      <w:r>
        <w:rPr>
          <w:rtl w:val="true"/>
        </w:rPr>
        <w:t>(</w:t>
      </w:r>
      <w:r>
        <w:rPr>
          <w:rtl w:val="true"/>
        </w:rPr>
        <w:t xml:space="preserve">ראו למשל 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8449/17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16.06.2019</w:t>
      </w:r>
      <w:r>
        <w:rPr>
          <w:rtl w:val="true"/>
        </w:rPr>
        <w:t xml:space="preserve">)), </w:t>
      </w:r>
      <w:r>
        <w:rPr>
          <w:rtl w:val="true"/>
        </w:rPr>
        <w:t>שם נפסק פיצוי לנפגעות מניסיון רצח</w:t>
      </w:r>
      <w:r>
        <w:rPr>
          <w:rStyle w:val="Ruller41"/>
          <w:rtl w:val="true"/>
        </w:rPr>
        <w:t xml:space="preserve">; </w:t>
      </w:r>
      <w:hyperlink r:id="rId46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</w:rPr>
          <w:t>9104/20</w:t>
        </w:r>
      </w:hyperlink>
      <w:r>
        <w:rPr>
          <w:rStyle w:val="Ruller41"/>
          <w:rtl w:val="true"/>
        </w:rPr>
        <w:t xml:space="preserve"> </w:t>
      </w:r>
      <w:r>
        <w:rPr>
          <w:rStyle w:val="Ruller41"/>
          <w:rFonts w:ascii="Century" w:hAnsi="Century" w:cs="Miriam"/>
          <w:spacing w:val="0"/>
          <w:szCs w:val="24"/>
          <w:rtl w:val="true"/>
        </w:rPr>
        <w:t>מדינת</w:t>
      </w:r>
      <w:r>
        <w:rPr>
          <w:rStyle w:val="Ruller41"/>
          <w:rtl w:val="true"/>
        </w:rPr>
        <w:t xml:space="preserve"> </w:t>
      </w:r>
      <w:r>
        <w:rPr>
          <w:rStyle w:val="Ruller41"/>
          <w:rFonts w:ascii="Century" w:hAnsi="Century" w:cs="Miriam"/>
          <w:spacing w:val="0"/>
          <w:szCs w:val="24"/>
          <w:rtl w:val="true"/>
        </w:rPr>
        <w:t>ישראל</w:t>
      </w:r>
      <w:r>
        <w:rPr>
          <w:rStyle w:val="Ruller41"/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Style w:val="Ruller41"/>
          <w:rFonts w:ascii="Century" w:hAnsi="Century" w:cs="Miriam"/>
          <w:spacing w:val="0"/>
          <w:szCs w:val="24"/>
          <w:rtl w:val="true"/>
        </w:rPr>
        <w:t>נ</w:t>
      </w:r>
      <w:r>
        <w:rPr>
          <w:rStyle w:val="Ruller41"/>
          <w:rFonts w:cs="Miriam" w:ascii="Century" w:hAnsi="Century"/>
          <w:spacing w:val="0"/>
          <w:szCs w:val="24"/>
          <w:rtl w:val="true"/>
        </w:rPr>
        <w:t xml:space="preserve">' </w:t>
      </w:r>
      <w:r>
        <w:rPr>
          <w:rStyle w:val="Ruller41"/>
          <w:rFonts w:ascii="Century" w:hAnsi="Century" w:cs="Miriam"/>
          <w:spacing w:val="0"/>
          <w:szCs w:val="24"/>
          <w:rtl w:val="true"/>
        </w:rPr>
        <w:t>טבצ</w:t>
      </w:r>
      <w:r>
        <w:rPr>
          <w:rStyle w:val="Ruller41"/>
          <w:rFonts w:cs="Miriam" w:ascii="Century" w:hAnsi="Century"/>
          <w:spacing w:val="0"/>
          <w:szCs w:val="24"/>
          <w:rtl w:val="true"/>
        </w:rPr>
        <w:t>'</w:t>
      </w:r>
      <w:r>
        <w:rPr>
          <w:rStyle w:val="Ruller41"/>
          <w:rFonts w:ascii="Century" w:hAnsi="Century" w:cs="Miriam"/>
          <w:spacing w:val="0"/>
          <w:szCs w:val="24"/>
          <w:rtl w:val="true"/>
        </w:rPr>
        <w:t>ניקוב</w:t>
      </w:r>
      <w:r>
        <w:rPr>
          <w:rStyle w:val="Ruller41"/>
          <w:rtl w:val="true"/>
        </w:rPr>
        <w:t xml:space="preserve"> </w:t>
      </w:r>
      <w:r>
        <w:rPr>
          <w:rStyle w:val="Ruller41"/>
          <w:rtl w:val="true"/>
        </w:rPr>
        <w:t>[</w:t>
      </w:r>
      <w:r>
        <w:rPr>
          <w:rStyle w:val="Ruller41"/>
          <w:rtl w:val="true"/>
        </w:rPr>
        <w:t>פורסם בנבו</w:t>
      </w:r>
      <w:r>
        <w:rPr>
          <w:rStyle w:val="Ruller41"/>
          <w:rtl w:val="true"/>
        </w:rPr>
        <w:t>]</w:t>
      </w:r>
      <w:r>
        <w:rPr>
          <w:rStyle w:val="Ruller41"/>
          <w:rtl w:val="true"/>
        </w:rPr>
        <w:t xml:space="preserve"> </w:t>
      </w:r>
      <w:r>
        <w:rPr>
          <w:rStyle w:val="Ruller41"/>
          <w:rtl w:val="true"/>
        </w:rPr>
        <w:t>(</w:t>
      </w:r>
      <w:r>
        <w:rPr>
          <w:rStyle w:val="Ruller41"/>
        </w:rPr>
        <w:t>4.3.2021</w:t>
      </w:r>
      <w:r>
        <w:rPr>
          <w:rStyle w:val="Ruller41"/>
          <w:rtl w:val="true"/>
        </w:rPr>
        <w:t xml:space="preserve">), </w:t>
      </w:r>
      <w:r>
        <w:rPr>
          <w:rStyle w:val="Ruller41"/>
          <w:rtl w:val="true"/>
        </w:rPr>
        <w:t>שם נפסק פיצוי לנפגע עבירת ירי שנגרם לו נזק פיזי ברגלו</w:t>
      </w:r>
      <w:r>
        <w:rPr>
          <w:rtl w:val="true"/>
        </w:rPr>
        <w:t xml:space="preserve">); </w:t>
      </w:r>
      <w:r>
        <w:rPr>
          <w:rtl w:val="true"/>
        </w:rPr>
        <w:t xml:space="preserve">והן </w:t>
      </w:r>
      <w:r>
        <w:rPr>
          <w:rtl w:val="true"/>
        </w:rPr>
        <w:t>–</w:t>
      </w:r>
      <w:r>
        <w:rPr>
          <w:rtl w:val="true"/>
        </w:rPr>
        <w:t xml:space="preserve"> כמו במקרה דנן </w:t>
      </w:r>
      <w:r>
        <w:rPr>
          <w:rtl w:val="true"/>
        </w:rPr>
        <w:t>–</w:t>
      </w:r>
      <w:r>
        <w:rPr>
          <w:rtl w:val="true"/>
        </w:rPr>
        <w:t xml:space="preserve"> כאשר מדובר גם בפגיעה בעלת היבט כלכלי</w:t>
      </w:r>
      <w:r>
        <w:rPr>
          <w:rtl w:val="true"/>
        </w:rPr>
        <w:t>-</w:t>
      </w:r>
      <w:r>
        <w:rPr>
          <w:rtl w:val="true"/>
        </w:rPr>
        <w:t>כספי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 xml:space="preserve">תקרת הפיצוי הקבועה בחוק היא בסכום של </w:t>
      </w:r>
      <w:r>
        <w:rPr/>
        <w:t>258,000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 xml:space="preserve">היא נועדה בעיקרה לאזן בין שני שיקולים מנוגדים </w:t>
      </w:r>
      <w:r>
        <w:rPr>
          <w:rtl w:val="true"/>
        </w:rPr>
        <w:t>–</w:t>
      </w:r>
      <w:r>
        <w:rPr>
          <w:rtl w:val="true"/>
        </w:rPr>
        <w:t xml:space="preserve"> מחד גיסא</w:t>
      </w:r>
      <w:r>
        <w:rPr>
          <w:rtl w:val="true"/>
        </w:rPr>
        <w:t xml:space="preserve">, </w:t>
      </w:r>
      <w:r>
        <w:rPr>
          <w:rtl w:val="true"/>
        </w:rPr>
        <w:t>הרצון להקל על נפגעי העבירה בקבלת פיצוי על נזקיהם</w:t>
      </w:r>
      <w:r>
        <w:rPr>
          <w:rtl w:val="true"/>
        </w:rPr>
        <w:t xml:space="preserve">; </w:t>
      </w:r>
      <w:r>
        <w:rPr>
          <w:rtl w:val="true"/>
        </w:rPr>
        <w:t>ומאידך גיסא</w:t>
      </w:r>
      <w:r>
        <w:rPr>
          <w:rtl w:val="true"/>
        </w:rPr>
        <w:t xml:space="preserve">, </w:t>
      </w:r>
      <w:r>
        <w:rPr>
          <w:rtl w:val="true"/>
        </w:rPr>
        <w:t>הכרה במגבלותיו של ההליך הפלילי כהליך שבו לא נערך בירור ממשי של היקף הנזק</w:t>
      </w:r>
      <w:r>
        <w:rPr>
          <w:rtl w:val="true"/>
        </w:rPr>
        <w:t xml:space="preserve">, </w:t>
      </w:r>
      <w:r>
        <w:rPr>
          <w:rtl w:val="true"/>
        </w:rPr>
        <w:t xml:space="preserve">ולא חלים עליו כלל הכללים של דיני הנזיקין לפסיקת פיצויים </w:t>
      </w:r>
      <w:r>
        <w:rPr>
          <w:rtl w:val="true"/>
        </w:rPr>
        <w:t>(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1076/15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פסקה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לפסק דינה של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פורסם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בנבו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טווק</w:t>
      </w:r>
      <w:r>
        <w:rPr>
          <w:rtl w:val="true"/>
        </w:rPr>
        <w:t xml:space="preserve">)). </w:t>
      </w:r>
    </w:p>
    <w:p>
      <w:pPr>
        <w:pStyle w:val="Ruller42"/>
        <w:spacing w:before="240" w:after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להוכיח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לפסוק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פיצוי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לנפגע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ובאיזה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ראייתי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? 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>
          <w:rFonts w:ascii="Arial TUR;Arial" w:hAnsi="Arial TUR;Arial" w:cs="Arial TUR;Arial"/>
          <w:sz w:val="22"/>
        </w:rPr>
      </w:pP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טווק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נק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בע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tl w:val="true"/>
        </w:rPr>
        <w:t xml:space="preserve">כי יש לפרש את </w:t>
      </w:r>
      <w:hyperlink r:id="rId4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77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בהתאם לעיקרון לפיו הוכחה של הנזק ושל גובה הנזק היא </w:t>
      </w:r>
      <w:r>
        <w:rPr>
          <w:rtl w:val="true"/>
        </w:rPr>
        <w:t>"</w:t>
      </w:r>
      <w:r>
        <w:rPr>
          <w:rtl w:val="true"/>
        </w:rPr>
        <w:t>דרך המלך</w:t>
      </w:r>
      <w:r>
        <w:rPr>
          <w:rtl w:val="true"/>
        </w:rPr>
        <w:t xml:space="preserve">" </w:t>
      </w:r>
      <w:r>
        <w:rPr>
          <w:rtl w:val="true"/>
        </w:rPr>
        <w:t>לפסיקת פיצויים</w:t>
      </w:r>
      <w:r>
        <w:rPr>
          <w:rtl w:val="true"/>
        </w:rPr>
        <w:t xml:space="preserve">. </w:t>
      </w:r>
      <w:r>
        <w:rPr>
          <w:rtl w:val="true"/>
        </w:rPr>
        <w:t>כדי לחייב נאשם שהורשע בפיצוי קורבנות העבירה</w:t>
      </w:r>
      <w:r>
        <w:rPr>
          <w:rtl w:val="true"/>
        </w:rPr>
        <w:t xml:space="preserve">, </w:t>
      </w:r>
      <w:r>
        <w:rPr>
          <w:rtl w:val="true"/>
        </w:rPr>
        <w:t xml:space="preserve">יש אפוא לבחון מהו רף ההוכחה </w:t>
      </w:r>
      <w:r>
        <w:rPr>
          <w:rtl w:val="true"/>
        </w:rPr>
        <w:t>–</w:t>
      </w:r>
      <w:r>
        <w:rPr>
          <w:rtl w:val="true"/>
        </w:rPr>
        <w:t xml:space="preserve"> הן ביחס לעצם קיומו של נזק</w:t>
      </w:r>
      <w:r>
        <w:rPr>
          <w:rtl w:val="true"/>
        </w:rPr>
        <w:t xml:space="preserve">; </w:t>
      </w:r>
      <w:r>
        <w:rPr>
          <w:rtl w:val="true"/>
        </w:rPr>
        <w:t>והן ביחס לגובה הנזק</w:t>
      </w:r>
      <w:r>
        <w:rPr>
          <w:rtl w:val="true"/>
        </w:rPr>
        <w:t xml:space="preserve">, </w:t>
      </w:r>
      <w:r>
        <w:rPr>
          <w:rtl w:val="true"/>
        </w:rPr>
        <w:t>ולבחון האם המשיבה עמדה ברף זה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>
          <w:rFonts w:ascii="Arial TUR;Arial" w:hAnsi="Arial TUR;Arial" w:cs="Arial TUR;Arial"/>
          <w:sz w:val="22"/>
        </w:rPr>
      </w:pPr>
      <w:r>
        <w:rPr>
          <w:rtl w:val="true"/>
        </w:rPr>
        <w:t xml:space="preserve">רמת ההוכחה ביחס לעצם </w:t>
      </w:r>
      <w:r>
        <w:rPr>
          <w:rFonts w:ascii="Miriam" w:hAnsi="Miriam" w:cs="Miriam"/>
          <w:szCs w:val="24"/>
          <w:rtl w:val="true"/>
        </w:rPr>
        <w:t>קיומו של נזק</w:t>
      </w:r>
      <w:r>
        <w:rPr>
          <w:rtl w:val="true"/>
        </w:rPr>
        <w:t xml:space="preserve"> היא רמת הוכחה </w:t>
      </w:r>
      <w:r>
        <w:rPr>
          <w:rtl w:val="true"/>
        </w:rPr>
        <w:t>"</w:t>
      </w:r>
      <w:r>
        <w:rPr>
          <w:rtl w:val="true"/>
        </w:rPr>
        <w:t>אזרחית</w:t>
      </w:r>
      <w:r>
        <w:rPr>
          <w:rtl w:val="true"/>
        </w:rPr>
        <w:t xml:space="preserve">" </w:t>
      </w:r>
      <w:r>
        <w:rPr>
          <w:rtl w:val="true"/>
        </w:rPr>
        <w:t xml:space="preserve">של </w:t>
      </w:r>
      <w:r>
        <w:rPr>
          <w:rtl w:val="true"/>
        </w:rPr>
        <w:t>"</w:t>
      </w:r>
      <w:r>
        <w:rPr>
          <w:rtl w:val="true"/>
        </w:rPr>
        <w:t>מאזן הסתברויות</w:t>
      </w:r>
      <w:r>
        <w:rPr>
          <w:rtl w:val="true"/>
        </w:rPr>
        <w:t xml:space="preserve">", </w:t>
      </w:r>
      <w:r>
        <w:rPr>
          <w:rtl w:val="true"/>
        </w:rPr>
        <w:t xml:space="preserve">ולא רמה פלילית של </w:t>
      </w:r>
      <w:r>
        <w:rPr>
          <w:rtl w:val="true"/>
        </w:rPr>
        <w:t>"</w:t>
      </w:r>
      <w:r>
        <w:rPr>
          <w:rtl w:val="true"/>
        </w:rPr>
        <w:t>למעלה מספק סביר</w:t>
      </w:r>
      <w:r>
        <w:rPr>
          <w:rtl w:val="true"/>
        </w:rPr>
        <w:t xml:space="preserve">". </w:t>
      </w:r>
      <w:r>
        <w:rPr>
          <w:rtl w:val="true"/>
        </w:rPr>
        <w:t>כך עולה מ</w:t>
      </w:r>
      <w:hyperlink r:id="rId49">
        <w:r>
          <w:rPr>
            <w:rStyle w:val="Hyperlink"/>
            <w:rFonts w:ascii="Arial TUR;Arial" w:hAnsi="Arial TUR;Arial" w:cs="Arial TUR;Arial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Arial TUR;Arial" w:ascii="Arial TUR;Arial" w:hAnsi="Arial TUR;Arial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Arial TUR;Arial"/>
            <w:color w:val="0000FF"/>
            <w:sz w:val="22"/>
            <w:sz w:val="22"/>
            <w:u w:val="single"/>
            <w:rtl w:val="true"/>
          </w:rPr>
          <w:t xml:space="preserve">פ </w:t>
        </w:r>
        <w:r>
          <w:rPr>
            <w:rStyle w:val="Hyperlink"/>
            <w:rFonts w:cs="Arial TUR;Arial" w:ascii="Arial TUR;Arial" w:hAnsi="Arial TUR;Arial"/>
            <w:color w:val="0000FF"/>
            <w:sz w:val="22"/>
            <w:u w:val="single"/>
          </w:rPr>
          <w:t>961/16</w:t>
        </w:r>
      </w:hyperlink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אלהרוש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cs="Arial TUR;Arial" w:ascii="Arial TUR;Arial" w:hAnsi="Arial TUR;Arial"/>
          <w:sz w:val="22"/>
          <w:rtl w:val="true"/>
        </w:rPr>
        <w:t>[</w:t>
      </w:r>
      <w:r>
        <w:rPr>
          <w:rFonts w:ascii="Arial TUR;Arial" w:hAnsi="Arial TUR;Arial" w:cs="Arial TUR;Arial"/>
          <w:sz w:val="22"/>
          <w:sz w:val="22"/>
          <w:rtl w:val="true"/>
        </w:rPr>
        <w:t>פורסם בנבו</w:t>
      </w:r>
      <w:r>
        <w:rPr>
          <w:rFonts w:cs="Arial TUR;Arial" w:ascii="Arial TUR;Arial" w:hAnsi="Arial TUR;Arial"/>
          <w:sz w:val="22"/>
          <w:rtl w:val="true"/>
        </w:rPr>
        <w:t>]</w:t>
      </w:r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cs="Arial TUR;Arial" w:ascii="Arial TUR;Arial" w:hAnsi="Arial TUR;Arial"/>
          <w:sz w:val="22"/>
          <w:rtl w:val="true"/>
        </w:rPr>
        <w:t>(</w:t>
      </w:r>
      <w:r>
        <w:rPr>
          <w:rFonts w:cs="Arial TUR;Arial" w:ascii="Arial TUR;Arial" w:hAnsi="Arial TUR;Arial"/>
          <w:sz w:val="22"/>
        </w:rPr>
        <w:t>25.11.2018</w:t>
      </w:r>
      <w:r>
        <w:rPr>
          <w:rFonts w:cs="Arial TUR;Arial" w:ascii="Arial TUR;Arial" w:hAnsi="Arial TUR;Arial"/>
          <w:sz w:val="22"/>
          <w:rtl w:val="true"/>
        </w:rPr>
        <w:t>)</w:t>
      </w:r>
      <w:r>
        <w:rPr>
          <w:rFonts w:cs="Arial TUR;Arial" w:ascii="Arial TUR;Arial" w:hAnsi="Arial TUR;Arial"/>
          <w:sz w:val="22"/>
          <w:rtl w:val="true"/>
        </w:rPr>
        <w:t xml:space="preserve"> (</w:t>
      </w:r>
      <w:r>
        <w:rPr>
          <w:rFonts w:ascii="Arial TUR;Arial" w:hAnsi="Arial TUR;Arial" w:cs="Arial TUR;Arial"/>
          <w:sz w:val="22"/>
          <w:sz w:val="22"/>
          <w:rtl w:val="true"/>
        </w:rPr>
        <w:t>להלן</w:t>
      </w:r>
      <w:r>
        <w:rPr>
          <w:rFonts w:cs="Arial TUR;Arial" w:ascii="Arial TUR;Arial" w:hAnsi="Arial TUR;Arial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אלהרוש</w:t>
      </w:r>
      <w:r>
        <w:rPr>
          <w:rFonts w:cs="Arial TUR;Arial" w:ascii="Arial TUR;Arial" w:hAnsi="Arial TUR;Arial"/>
          <w:sz w:val="22"/>
          <w:rtl w:val="true"/>
        </w:rPr>
        <w:t xml:space="preserve">),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שם נדונה </w:t>
      </w:r>
      <w:r>
        <w:rPr>
          <w:rtl w:val="true"/>
        </w:rPr>
        <w:t>רמת ההוכחה הנדרשת להוכחת קיומו של קשר סיבתי עובדתי בין העבירה בה הורשע הנאשם לבין הנזק שנגרם לנפגע העבירה</w:t>
      </w:r>
      <w:r>
        <w:rPr>
          <w:rtl w:val="true"/>
        </w:rPr>
        <w:t xml:space="preserve">, </w:t>
      </w:r>
      <w:r>
        <w:rPr>
          <w:rtl w:val="true"/>
        </w:rPr>
        <w:t xml:space="preserve">ונקבע שהיא תהיה ברמה של </w:t>
      </w:r>
      <w:r>
        <w:rPr>
          <w:rtl w:val="true"/>
        </w:rPr>
        <w:t>"</w:t>
      </w:r>
      <w:r>
        <w:rPr>
          <w:rtl w:val="true"/>
        </w:rPr>
        <w:t>מאזן הסתברויות</w:t>
      </w:r>
      <w:r>
        <w:rPr>
          <w:rtl w:val="true"/>
        </w:rPr>
        <w:t>"</w:t>
      </w:r>
      <w:r>
        <w:rPr>
          <w:rFonts w:cs="Arial TUR;Arial" w:ascii="Arial TUR;Arial" w:hAnsi="Arial TUR;Arial"/>
          <w:sz w:val="22"/>
          <w:rtl w:val="true"/>
        </w:rPr>
        <w:t xml:space="preserve">. </w:t>
      </w:r>
      <w:r>
        <w:rPr>
          <w:rFonts w:ascii="Arial TUR;Arial" w:hAnsi="Arial TUR;Arial" w:cs="Arial TUR;Arial"/>
          <w:sz w:val="22"/>
          <w:sz w:val="22"/>
          <w:rtl w:val="true"/>
        </w:rPr>
        <w:t>זאת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לאור תכליתו העיקרית של </w:t>
      </w:r>
      <w:hyperlink r:id="rId50">
        <w:r>
          <w:rPr>
            <w:rStyle w:val="Hyperlink"/>
            <w:rFonts w:ascii="Arial TUR;Arial" w:hAnsi="Arial TUR;Arial" w:cs="Arial TUR;Arial"/>
            <w:sz w:val="22"/>
            <w:sz w:val="22"/>
            <w:rtl w:val="true"/>
          </w:rPr>
          <w:t>סעיף</w:t>
        </w:r>
        <w:r>
          <w:rPr>
            <w:rStyle w:val="Hyperlink"/>
            <w:rFonts w:ascii="Arial TUR;Arial" w:hAnsi="Arial TUR;Arial" w:cs="Arial TUR;Arial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Arial TUR;Arial" w:ascii="Arial TUR;Arial" w:hAnsi="Arial TUR;Arial"/>
            <w:sz w:val="22"/>
          </w:rPr>
          <w:t>77</w:t>
        </w:r>
      </w:hyperlink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לחוק שהיא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לפסוק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פיצויים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ראשוניים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מהירים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ויעילים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לנפגעי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בגדרי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הפלילי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יידרש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לנהל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אזרחי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זוטא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בשלב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הטיעונים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הוכחת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הסיבתי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לנזק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ההוכ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המחמירה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הנהוגה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הפלילי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cs="Arial TUR;Arial" w:ascii="Arial TUR;Arial" w:hAnsi="Arial TUR;Arial"/>
          <w:sz w:val="22"/>
          <w:rtl w:val="true"/>
        </w:rPr>
        <w:t>(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אלהרוש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בפסקה </w:t>
      </w:r>
      <w:r>
        <w:rPr>
          <w:rFonts w:cs="Arial TUR;Arial" w:ascii="Arial TUR;Arial" w:hAnsi="Arial TUR;Arial"/>
          <w:sz w:val="22"/>
        </w:rPr>
        <w:t>18</w:t>
      </w:r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לפסק דינה של הנשיאה </w:t>
      </w:r>
      <w:r>
        <w:rPr>
          <w:rFonts w:cs="Arial TUR;Arial" w:ascii="Arial TUR;Arial" w:hAnsi="Arial TUR;Arial"/>
          <w:sz w:val="22"/>
          <w:rtl w:val="true"/>
        </w:rPr>
        <w:t>(</w:t>
      </w:r>
      <w:r>
        <w:rPr>
          <w:rFonts w:ascii="Arial TUR;Arial" w:hAnsi="Arial TUR;Arial" w:cs="Arial TUR;Arial"/>
          <w:sz w:val="22"/>
          <w:sz w:val="22"/>
          <w:rtl w:val="true"/>
        </w:rPr>
        <w:t>בדימוס</w:t>
      </w:r>
      <w:r>
        <w:rPr>
          <w:rFonts w:cs="Arial TUR;Arial" w:ascii="Arial TUR;Arial" w:hAnsi="Arial TUR;Arial"/>
          <w:sz w:val="22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חיות</w:t>
      </w:r>
      <w:r>
        <w:rPr>
          <w:rFonts w:cs="Arial TUR;Arial" w:ascii="Arial TUR;Arial" w:hAnsi="Arial TUR;Arial"/>
          <w:sz w:val="22"/>
          <w:rtl w:val="true"/>
        </w:rPr>
        <w:t>)</w:t>
      </w:r>
      <w:r>
        <w:rPr>
          <w:rFonts w:cs="Arial TUR;Arial" w:ascii="Arial TUR;Arial" w:hAnsi="Arial TUR;Arial"/>
          <w:sz w:val="22"/>
          <w:rtl w:val="true"/>
        </w:rPr>
        <w:t>.</w:t>
      </w:r>
      <w:r>
        <w:rPr>
          <w:rFonts w:cs="Arial TUR;Arial" w:ascii="Arial TUR;Arial" w:hAnsi="Arial TUR;Arial"/>
          <w:sz w:val="22"/>
          <w:rtl w:val="true"/>
        </w:rPr>
        <w:t xml:space="preserve"> 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  <w:tab/>
      </w:r>
      <w:r>
        <w:rPr>
          <w:rFonts w:ascii="Arial TUR;Arial" w:hAnsi="Arial TUR;Arial" w:cs="Arial TUR;Arial"/>
          <w:sz w:val="22"/>
          <w:sz w:val="22"/>
          <w:rtl w:val="true"/>
        </w:rPr>
        <w:t>קיומו של נזק צריך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אם כן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להיות מוכח ברמה של </w:t>
      </w:r>
      <w:r>
        <w:rPr>
          <w:rFonts w:cs="Arial TUR;Arial" w:ascii="Arial TUR;Arial" w:hAnsi="Arial TUR;Arial"/>
          <w:sz w:val="22"/>
          <w:rtl w:val="true"/>
        </w:rPr>
        <w:t>"</w:t>
      </w:r>
      <w:r>
        <w:rPr>
          <w:rFonts w:ascii="Arial TUR;Arial" w:hAnsi="Arial TUR;Arial" w:cs="Arial TUR;Arial"/>
          <w:sz w:val="22"/>
          <w:sz w:val="22"/>
          <w:rtl w:val="true"/>
        </w:rPr>
        <w:t>מאזן הסתברויות</w:t>
      </w:r>
      <w:r>
        <w:rPr>
          <w:rFonts w:cs="Arial TUR;Arial" w:ascii="Arial TUR;Arial" w:hAnsi="Arial TUR;Arial"/>
          <w:sz w:val="22"/>
          <w:rtl w:val="true"/>
        </w:rPr>
        <w:t xml:space="preserve">"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כדי לשמור על העיקרון </w:t>
      </w:r>
      <w:r>
        <w:rPr>
          <w:rFonts w:cs="Arial TUR;Arial" w:ascii="Arial TUR;Arial" w:hAnsi="Arial TUR;Arial"/>
          <w:sz w:val="22"/>
          <w:rtl w:val="true"/>
        </w:rPr>
        <w:t>"</w:t>
      </w:r>
      <w:r>
        <w:rPr>
          <w:rFonts w:ascii="Arial TUR;Arial" w:hAnsi="Arial TUR;Arial" w:cs="Arial TUR;Arial"/>
          <w:sz w:val="22"/>
          <w:sz w:val="22"/>
          <w:rtl w:val="true"/>
        </w:rPr>
        <w:t>האזרחי</w:t>
      </w:r>
      <w:r>
        <w:rPr>
          <w:rFonts w:cs="Arial TUR;Arial" w:ascii="Arial TUR;Arial" w:hAnsi="Arial TUR;Arial"/>
          <w:sz w:val="22"/>
          <w:rtl w:val="true"/>
        </w:rPr>
        <w:t xml:space="preserve">" </w:t>
      </w:r>
      <w:r>
        <w:rPr>
          <w:rFonts w:ascii="Arial TUR;Arial" w:hAnsi="Arial TUR;Arial" w:cs="Arial TUR;Arial"/>
          <w:sz w:val="22"/>
          <w:sz w:val="22"/>
          <w:rtl w:val="true"/>
        </w:rPr>
        <w:t>של ההסדר</w:t>
      </w:r>
      <w:r>
        <w:rPr>
          <w:rFonts w:cs="Arial TUR;Arial" w:ascii="Arial TUR;Arial" w:hAnsi="Arial TUR;Arial"/>
          <w:sz w:val="22"/>
          <w:rtl w:val="true"/>
        </w:rPr>
        <w:t xml:space="preserve">. </w:t>
      </w:r>
      <w:r>
        <w:rPr>
          <w:rFonts w:ascii="Arial TUR;Arial" w:hAnsi="Arial TUR;Arial" w:cs="Arial TUR;Arial"/>
          <w:sz w:val="22"/>
          <w:sz w:val="22"/>
          <w:rtl w:val="true"/>
        </w:rPr>
        <w:t>עיקרון זה עולה בקנה אחד עם הרצון להקל על נפגעי העבירה בקבלת פיצוי על נזקיהם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שהוא העומד ביסוד האפשרות לפסוק את הפיצוי האמור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5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2976/01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אסף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פ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ד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נו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3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</w:rPr>
        <w:t>418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476</w:t>
      </w:r>
      <w:r>
        <w:rPr>
          <w:rtl w:val="true"/>
        </w:rPr>
        <w:t xml:space="preserve"> (</w:t>
      </w:r>
      <w:r>
        <w:rPr/>
        <w:t>2002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אסף</w:t>
      </w:r>
      <w:r>
        <w:rPr>
          <w:rtl w:val="true"/>
        </w:rPr>
        <w:t>)).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עמידה ברף האזרחי משמעה כי אף שפסיקת פיצוי לנפגע עבירה איננה דומה להליך נזיקי</w:t>
      </w:r>
      <w:r>
        <w:rPr>
          <w:rtl w:val="true"/>
        </w:rPr>
        <w:t xml:space="preserve">, </w:t>
      </w:r>
      <w:r>
        <w:rPr>
          <w:rtl w:val="true"/>
        </w:rPr>
        <w:t>הרי שלא ניתן לפסוק פיצוי כזה בלא שהוכח שנגרם לנפגע נזק כלשהו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במקרים רבים די באופי העבירה בה הורשע הנאשם כדי להוכיח כי נגרם נזק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כאשר מדובר בפגיעה גופנית או נפשית ובנזק שאינו ממוני</w:t>
      </w:r>
      <w:r>
        <w:rPr>
          <w:rtl w:val="true"/>
        </w:rPr>
        <w:t xml:space="preserve">, </w:t>
      </w:r>
      <w:r>
        <w:rPr>
          <w:rtl w:val="true"/>
        </w:rPr>
        <w:t xml:space="preserve">די בכך שהמתלונן נפגע </w:t>
      </w:r>
      <w:r>
        <w:rPr>
          <w:rtl w:val="true"/>
        </w:rPr>
        <w:t>(</w:t>
      </w:r>
      <w:r>
        <w:rPr>
          <w:rtl w:val="true"/>
        </w:rPr>
        <w:t>בגופו או בנפשו</w:t>
      </w:r>
      <w:r>
        <w:rPr>
          <w:rtl w:val="true"/>
        </w:rPr>
        <w:t xml:space="preserve">) </w:t>
      </w:r>
      <w:r>
        <w:rPr>
          <w:rtl w:val="true"/>
        </w:rPr>
        <w:t>כדי להצדיק פסיקת פיצוי לזכותו בסכום אותו יעריך בית המשפט</w:t>
      </w:r>
      <w:r>
        <w:rPr>
          <w:rtl w:val="true"/>
        </w:rPr>
        <w:t xml:space="preserve">. </w:t>
      </w:r>
      <w:r>
        <w:rPr>
          <w:rtl w:val="true"/>
        </w:rPr>
        <w:t xml:space="preserve">באופן זה </w:t>
      </w:r>
      <w:r>
        <w:rPr>
          <w:rFonts w:ascii="Century" w:hAnsi="Century" w:cs="Century"/>
          <w:sz w:val="22"/>
          <w:sz w:val="22"/>
          <w:rtl w:val="true"/>
        </w:rPr>
        <w:t>נקבע במקרה בו המערער הורשע בעבירה של תקיפה בנסיבות מחמירות שגרמה לחבלה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די בעובדות שבהן הודה המערער במסגרת כתב האישום המבססות את קיומו של הנזק כאשר מדובר בפיצוי מתון </w:t>
      </w:r>
      <w:r>
        <w:rPr>
          <w:rFonts w:cs="Century" w:ascii="Century" w:hAnsi="Century"/>
          <w:sz w:val="22"/>
          <w:rtl w:val="true"/>
        </w:rPr>
        <w:t>(</w:t>
      </w:r>
      <w:hyperlink r:id="rId52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2906/19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פורסם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בנבו</w:t>
      </w:r>
      <w:r>
        <w:rPr>
          <w:rFonts w:cs="Century" w:ascii="Century" w:hAnsi="Century"/>
          <w:sz w:val="22"/>
          <w:rtl w:val="true"/>
        </w:rPr>
        <w:t>]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14.</w:t>
      </w:r>
      <w:r>
        <w:rPr>
          <w:rFonts w:cs="Century" w:ascii="Century" w:hAnsi="Century"/>
          <w:sz w:val="22"/>
        </w:rPr>
        <w:t>7</w:t>
      </w:r>
      <w:r>
        <w:rPr>
          <w:rFonts w:cs="Century" w:ascii="Century" w:hAnsi="Century"/>
          <w:sz w:val="22"/>
        </w:rPr>
        <w:t>.2019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אני סבורה כי כאשר מדובר בנזק כלכלי</w:t>
      </w:r>
      <w:r>
        <w:rPr>
          <w:rtl w:val="true"/>
        </w:rPr>
        <w:t xml:space="preserve">, </w:t>
      </w:r>
      <w:r>
        <w:rPr>
          <w:rtl w:val="true"/>
        </w:rPr>
        <w:t>נדרשת הוכחה ממשית כלשהי לכך שהמתלונן אכן סבל נזק כלשהו כתוצאה ממעשה העבירה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 xml:space="preserve">ביחס לקביעת </w:t>
      </w:r>
      <w:r>
        <w:rPr>
          <w:rFonts w:ascii="Miriam" w:hAnsi="Miriam" w:cs="Miriam"/>
          <w:szCs w:val="24"/>
          <w:rtl w:val="true"/>
        </w:rPr>
        <w:t>גובה הפיצוי</w:t>
      </w:r>
      <w:r>
        <w:rPr>
          <w:rtl w:val="true"/>
        </w:rPr>
        <w:t xml:space="preserve">, </w:t>
      </w:r>
      <w:r>
        <w:rPr>
          <w:rtl w:val="true"/>
        </w:rPr>
        <w:t>נקבע בפסיקה באופן מפורש שיש לתת משקל משמעותי לאופי האזרחי</w:t>
      </w:r>
      <w:r>
        <w:rPr>
          <w:rtl w:val="true"/>
        </w:rPr>
        <w:t>-</w:t>
      </w:r>
      <w:r>
        <w:rPr>
          <w:rtl w:val="true"/>
        </w:rPr>
        <w:t xml:space="preserve">נזיקי של ההסדר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אסף</w:t>
      </w:r>
      <w:r>
        <w:rPr>
          <w:rtl w:val="true"/>
        </w:rPr>
        <w:t xml:space="preserve">).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אין מקום להתחשב במצבו הכלכלי של מבצע העבירה לצורך קביעת גובה הפיצוי </w:t>
      </w:r>
      <w:r>
        <w:rPr>
          <w:rtl w:val="true"/>
        </w:rPr>
        <w:t>(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5761/05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דלאוי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 ט</w:t>
      </w:r>
      <w:r>
        <w:rPr>
          <w:rtl w:val="true"/>
        </w:rPr>
        <w:t>' 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24.7.2006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אף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נקבע כי לפיצויים הנפסקים בהליך הפלילי ישנו היבט עונשי לצד ההיבט האזרחי</w:t>
      </w:r>
      <w:r>
        <w:rPr>
          <w:rtl w:val="true"/>
        </w:rPr>
        <w:t xml:space="preserve">, </w:t>
      </w:r>
      <w:r>
        <w:rPr>
          <w:rtl w:val="true"/>
        </w:rPr>
        <w:t xml:space="preserve">ולכן אין למדוד אותם על פי אמות המידה הנזיקיות בלבד </w:t>
      </w:r>
      <w:r>
        <w:rPr>
          <w:rtl w:val="true"/>
        </w:rPr>
        <w:t>(</w:t>
      </w: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10996/03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נרקיס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27.11.2006</w:t>
      </w:r>
      <w:r>
        <w:rPr>
          <w:rtl w:val="true"/>
        </w:rPr>
        <w:t xml:space="preserve">); </w:t>
      </w:r>
      <w:hyperlink r:id="rId5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2965/13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אלרפעיה</w:t>
      </w:r>
      <w:r>
        <w:rPr>
          <w:rtl w:val="true"/>
        </w:rPr>
        <w:t xml:space="preserve"> פסקה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1.7.2014</w:t>
      </w:r>
      <w:r>
        <w:rPr>
          <w:rtl w:val="true"/>
        </w:rPr>
        <w:t xml:space="preserve">)). </w:t>
      </w:r>
      <w:r>
        <w:rPr>
          <w:rtl w:val="true"/>
        </w:rPr>
        <w:t xml:space="preserve">גובה הפיצוי נקבע לכן בדרך של אומדנה ואין הכרח בהוכחה מדויקת של שיעור הנזק </w:t>
      </w:r>
      <w:r>
        <w:rPr>
          <w:rtl w:val="true"/>
        </w:rPr>
        <w:t>(</w:t>
      </w:r>
      <w:hyperlink r:id="rId56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דנ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5625/16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אסרף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בוקובזה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פורסם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בנבו</w:t>
      </w:r>
      <w:r>
        <w:rPr>
          <w:rFonts w:cs="Century" w:ascii="Century" w:hAnsi="Century"/>
          <w:sz w:val="22"/>
          <w:rtl w:val="true"/>
        </w:rPr>
        <w:t>]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13.09.2017</w:t>
      </w:r>
      <w:r>
        <w:rPr>
          <w:rFonts w:cs="Century" w:ascii="Century" w:hAnsi="Century"/>
          <w:sz w:val="22"/>
          <w:rtl w:val="true"/>
        </w:rPr>
        <w:t>)).</w:t>
      </w:r>
      <w:r>
        <w:rPr>
          <w:rtl w:val="true"/>
        </w:rPr>
        <w:t xml:space="preserve"> 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כך למשל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קבע בהקשר זה בית המשפט ב</w:t>
      </w:r>
      <w:hyperlink r:id="rId57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רע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9727/05</w:t>
        </w:r>
      </w:hyperlink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פורסם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בנבו</w:t>
      </w:r>
      <w:r>
        <w:rPr>
          <w:rFonts w:cs="Century" w:ascii="Century" w:hAnsi="Century"/>
          <w:sz w:val="22"/>
          <w:rtl w:val="true"/>
        </w:rPr>
        <w:t>]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8.8.2007</w:t>
      </w:r>
      <w:r>
        <w:rPr>
          <w:rFonts w:cs="Century" w:ascii="Century" w:hAnsi="Century"/>
          <w:sz w:val="22"/>
          <w:rtl w:val="true"/>
        </w:rPr>
        <w:t>):</w:t>
      </w:r>
    </w:p>
    <w:p>
      <w:pPr>
        <w:pStyle w:val="Ruller5"/>
        <w:spacing w:before="240" w:after="240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77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;Arial" w:cs="Arial TUR;Arial"/>
          <w:rtl w:val="true"/>
        </w:rPr>
        <w:t xml:space="preserve"> </w:t>
      </w:r>
      <w:r>
        <w:rPr>
          <w:shd w:fill="FFFFFF" w:val="clear"/>
          <w:rtl w:val="true"/>
        </w:rPr>
        <w:t>פיצוי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המותאם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להליך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הפלילי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שבמסגרתו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הוא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ניתן</w:t>
      </w:r>
      <w:r>
        <w:rPr>
          <w:shd w:fill="FFFFFF" w:val="clear"/>
          <w:rtl w:val="true"/>
        </w:rPr>
        <w:t xml:space="preserve">; </w:t>
      </w:r>
      <w:r>
        <w:rPr>
          <w:shd w:fill="FFFFFF" w:val="clear"/>
          <w:rtl w:val="true"/>
        </w:rPr>
        <w:t>מדובר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בפיצוי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שאינו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מחייב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הליך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של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הוכחת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נזק</w:t>
      </w:r>
      <w:r>
        <w:rPr>
          <w:shd w:fill="FFFFFF" w:val="clear"/>
          <w:rtl w:val="true"/>
        </w:rPr>
        <w:t>,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ואשר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נפסק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בהתאם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להתרשמותו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והערכתו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של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בית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המשפט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בדרך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כלל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על</w:t>
      </w:r>
      <w:r>
        <w:rPr>
          <w:shd w:fill="FFFFFF" w:val="clear"/>
          <w:rtl w:val="true"/>
        </w:rPr>
        <w:t>-</w:t>
      </w:r>
      <w:r>
        <w:rPr>
          <w:shd w:fill="FFFFFF" w:val="clear"/>
          <w:rtl w:val="true"/>
        </w:rPr>
        <w:t>פי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נתונים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המובאים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בפניו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שלא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על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דרך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ההוכחה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המקובלת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בהליך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האזרחי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.</w:t>
      </w:r>
      <w:r>
        <w:rPr>
          <w:rtl w:val="true"/>
        </w:rPr>
        <w:t xml:space="preserve">" 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>
          <w:szCs w:val="20"/>
        </w:rPr>
      </w:pP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ולמרות ששיעור הפיצוי אינו נמדד רק לפי אמות מידה נזיקיות והוא אינו חייב להיות מדויק</w:t>
      </w:r>
      <w:r>
        <w:rPr>
          <w:rtl w:val="true"/>
        </w:rPr>
        <w:t xml:space="preserve">, </w:t>
      </w:r>
      <w:r>
        <w:rPr>
          <w:rtl w:val="true"/>
        </w:rPr>
        <w:t>עליו להיות בהלימה לנזק או לסבל שנגרמו</w:t>
      </w:r>
      <w:r>
        <w:rPr>
          <w:rtl w:val="true"/>
        </w:rPr>
        <w:t xml:space="preserve">. </w:t>
      </w:r>
      <w:r>
        <w:rPr>
          <w:rtl w:val="true"/>
        </w:rPr>
        <w:t>כך נקבע ב</w:t>
      </w:r>
      <w:hyperlink r:id="rId5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4666/12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גורבץ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Ruller41"/>
          <w:rtl w:val="true"/>
        </w:rPr>
        <w:t xml:space="preserve">פסקה </w:t>
      </w:r>
      <w:r>
        <w:rPr>
          <w:rStyle w:val="Ruller41"/>
        </w:rPr>
        <w:t>14</w:t>
      </w:r>
      <w:r>
        <w:rPr>
          <w:rtl w:val="true"/>
        </w:rPr>
        <w:t xml:space="preserve"> 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8.11.2012</w:t>
      </w:r>
      <w:r>
        <w:rPr>
          <w:rtl w:val="true"/>
        </w:rPr>
        <w:t xml:space="preserve">), </w:t>
      </w:r>
      <w:r>
        <w:rPr>
          <w:rtl w:val="true"/>
        </w:rPr>
        <w:t xml:space="preserve">שם </w:t>
      </w:r>
      <w:r>
        <w:rPr>
          <w:shd w:fill="FFFFFF" w:val="clear"/>
          <w:rtl w:val="true"/>
        </w:rPr>
        <w:t>בחן בית משפט זה את שאלת הפיצוי במקרה בו דובר במספר רב של נפגעים וכאשר מידת הפגיעה בכל אחד מהם לא הייתה ברורה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בית המשפט קבע כי</w:t>
      </w:r>
      <w:r>
        <w:rPr>
          <w:rFonts w:cs="Century" w:ascii="Century" w:hAnsi="Century"/>
          <w:sz w:val="22"/>
          <w:rtl w:val="true"/>
        </w:rPr>
        <w:t>:</w:t>
      </w:r>
    </w:p>
    <w:p>
      <w:pPr>
        <w:pStyle w:val="Ruller5"/>
        <w:spacing w:before="240" w:after="240"/>
        <w:ind w:end="1282"/>
        <w:jc w:val="both"/>
        <w:rPr/>
      </w:pPr>
      <w:r>
        <w:rPr>
          <w:rtl w:val="true"/>
        </w:rPr>
        <w:t>"...</w:t>
      </w:r>
      <w:r>
        <w:rPr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לנפגעים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עליו להיות בהלימה ל</w:t>
      </w:r>
      <w:r>
        <w:rPr>
          <w:rFonts w:cs="Miriam" w:ascii="Miriam" w:hAnsi="Miriam"/>
          <w:sz w:val="24"/>
          <w:szCs w:val="24"/>
          <w:rtl w:val="true"/>
        </w:rPr>
        <w:t>'</w:t>
      </w:r>
      <w:r>
        <w:rPr>
          <w:rFonts w:ascii="Miriam" w:hAnsi="Miriam" w:cs="Miriam"/>
          <w:sz w:val="24"/>
          <w:sz w:val="24"/>
          <w:szCs w:val="24"/>
          <w:rtl w:val="true"/>
        </w:rPr>
        <w:t>ערך הנזק או הסבל שנגרמו</w:t>
      </w:r>
      <w:r>
        <w:rPr>
          <w:rFonts w:cs="Miriam" w:ascii="Miriam" w:hAnsi="Miriam"/>
          <w:sz w:val="24"/>
          <w:szCs w:val="24"/>
          <w:rtl w:val="true"/>
        </w:rPr>
        <w:t>'</w:t>
      </w:r>
      <w:r>
        <w:rPr>
          <w:rtl w:val="true"/>
        </w:rPr>
        <w:t xml:space="preserve"> (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77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5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שבפניו</w:t>
      </w:r>
      <w:r>
        <w:rPr>
          <w:rtl w:val="true"/>
        </w:rPr>
        <w:t xml:space="preserve">, </w:t>
      </w:r>
      <w:r>
        <w:rPr>
          <w:rtl w:val="true"/>
        </w:rPr>
        <w:t>לכאורה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ותחולק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אזרחי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מורכבות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הפיצויים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tl w:val="true"/>
        </w:rPr>
        <w:t xml:space="preserve">:  </w:t>
      </w:r>
      <w:hyperlink r:id="rId6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2976/01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אסף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418</w:t>
      </w:r>
      <w:r>
        <w:rPr>
          <w:rtl w:val="true"/>
        </w:rPr>
        <w:t xml:space="preserve"> (</w:t>
      </w:r>
      <w:r>
        <w:rPr/>
        <w:t>2002</w:t>
      </w:r>
      <w:r>
        <w:rPr>
          <w:rtl w:val="true"/>
        </w:rPr>
        <w:t>)</w:t>
      </w:r>
      <w:r>
        <w:rPr>
          <w:rtl w:val="true"/>
        </w:rPr>
        <w:t>)" (</w:t>
      </w:r>
      <w:r>
        <w:rPr>
          <w:rtl w:val="true"/>
        </w:rPr>
        <w:t>ההדגשה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הוספה</w:t>
      </w:r>
      <w:r>
        <w:rPr>
          <w:rtl w:val="true"/>
        </w:rPr>
        <w:t xml:space="preserve">, </w:t>
      </w:r>
      <w:r>
        <w:rPr>
          <w:rtl w:val="true"/>
        </w:rPr>
        <w:t>ר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tl w:val="true"/>
        </w:rPr>
        <w:t>.</w:t>
      </w:r>
      <w:r>
        <w:rPr>
          <w:rtl w:val="true"/>
        </w:rPr>
        <w:t>).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לעניין התשתית העובדתית הנדרשת לשם קביעת גובה הפיצוי</w:t>
      </w:r>
      <w:r>
        <w:rPr>
          <w:rtl w:val="true"/>
        </w:rPr>
        <w:t xml:space="preserve">, </w:t>
      </w:r>
      <w:r>
        <w:rPr>
          <w:rtl w:val="true"/>
        </w:rPr>
        <w:t xml:space="preserve">נקבע כי על המדינה להניח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תשתית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עובדתית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מסוימת</w:t>
      </w:r>
      <w:r>
        <w:rPr>
          <w:rtl w:val="true"/>
        </w:rPr>
        <w:t xml:space="preserve"> על מנת לאפשר לבית המשפט להעריך את סכום הפיצוי שראוי לפסוק</w:t>
      </w:r>
      <w:r>
        <w:rPr>
          <w:rtl w:val="true"/>
        </w:rPr>
        <w:t xml:space="preserve">, </w:t>
      </w:r>
      <w:r>
        <w:rPr>
          <w:rtl w:val="true"/>
        </w:rPr>
        <w:t xml:space="preserve">ולו על דרך האומדנה </w:t>
      </w:r>
      <w:r>
        <w:rPr>
          <w:rtl w:val="true"/>
        </w:rPr>
        <w:t>(</w:t>
      </w:r>
      <w:hyperlink r:id="rId6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6925/16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רחי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12.5.2019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Style w:val="Ruller41"/>
          <w:rFonts w:ascii="Century" w:hAnsi="Century" w:cs="Miriam"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רחי</w:t>
      </w:r>
      <w:r>
        <w:rPr>
          <w:rtl w:val="true"/>
        </w:rPr>
        <w:t xml:space="preserve">); </w:t>
      </w:r>
      <w:hyperlink r:id="rId6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3600/18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20.</w:t>
      </w:r>
      <w:r>
        <w:rPr/>
        <w:t>6</w:t>
      </w:r>
      <w:r>
        <w:rPr/>
        <w:t>.2019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 xml:space="preserve">בית המשפט הבהיר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רחי</w:t>
      </w:r>
      <w:r>
        <w:rPr>
          <w:rtl w:val="true"/>
        </w:rPr>
        <w:t xml:space="preserve"> את הכלים העיקריים העומדים לרשות בית המשפט בעניין זה</w:t>
      </w:r>
      <w:r>
        <w:rPr>
          <w:rtl w:val="true"/>
        </w:rPr>
        <w:t xml:space="preserve">: </w:t>
      </w:r>
    </w:p>
    <w:p>
      <w:pPr>
        <w:pStyle w:val="Ruller5"/>
        <w:spacing w:before="240" w:after="240"/>
        <w:ind w:end="1282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"[...]</w:t>
      </w:r>
      <w:r>
        <w:rPr>
          <w:rtl w:val="true"/>
        </w:rPr>
        <w:t xml:space="preserve"> </w:t>
      </w:r>
      <w:r>
        <w:rPr>
          <w:rtl w:val="true"/>
        </w:rPr>
        <w:t>תסקירי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לניזוקים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הישירים</w:t>
      </w:r>
      <w:r>
        <w:rPr>
          <w:rtl w:val="true"/>
        </w:rPr>
        <w:t xml:space="preserve">, </w:t>
      </w:r>
      <w:r>
        <w:rPr>
          <w:rtl w:val="true"/>
        </w:rPr>
        <w:t>ובהקשר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</w:t>
      </w:r>
      <w:r>
        <w:rPr>
          <w:rtl w:val="true"/>
        </w:rPr>
        <w:t>תם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והאפשרות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והבהרות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הבהרת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סעיפים</w:t>
      </w:r>
      <w:r>
        <w:rPr>
          <w:rFonts w:eastAsia="Arial TUR;Arial" w:cs="Arial TUR;Arial"/>
          <w:rtl w:val="true"/>
        </w:rPr>
        <w:t xml:space="preserve"> </w:t>
      </w:r>
      <w:r>
        <w:rPr/>
        <w:t>187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191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6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המתאימים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להיעזר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במסמכים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רלוונטיים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קיימים</w:t>
      </w:r>
      <w:r>
        <w:rPr>
          <w:rtl w:val="true"/>
        </w:rPr>
        <w:t>.</w:t>
      </w:r>
      <w:r>
        <w:rPr>
          <w:rtl w:val="true"/>
        </w:rPr>
        <w:t>"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Arial TUR;Arial" w:hAnsi="Arial TUR;Arial" w:cs="Arial TUR;Arial"/>
          <w:color w:val="000000"/>
          <w:sz w:val="22"/>
          <w:szCs w:val="22"/>
        </w:rPr>
      </w:pPr>
      <w:r>
        <w:rPr>
          <w:rtl w:val="true"/>
        </w:rPr>
        <w:tab/>
      </w:r>
      <w:r>
        <w:rPr>
          <w:rtl w:val="true"/>
        </w:rPr>
        <w:t>מאחר שבאותו עניין לא התקיים בירור עובדתי מלא ביחס לפסיקת הפיצויים</w:t>
      </w:r>
      <w:r>
        <w:rPr>
          <w:rtl w:val="true"/>
        </w:rPr>
        <w:t xml:space="preserve">, </w:t>
      </w:r>
      <w:r>
        <w:rPr>
          <w:rtl w:val="true"/>
        </w:rPr>
        <w:t>התלבט בית המשפט האם להחזיר את הדיון לבית המשפט המחוזי לצורך השלמתו של הבירור</w:t>
      </w:r>
      <w:r>
        <w:rPr>
          <w:rtl w:val="true"/>
        </w:rPr>
        <w:t xml:space="preserve">. </w:t>
      </w:r>
      <w:r>
        <w:rPr>
          <w:rtl w:val="true"/>
        </w:rPr>
        <w:t>בסופו של דבר לאור הזמן הרב שחלף</w:t>
      </w:r>
      <w:r>
        <w:rPr>
          <w:rtl w:val="true"/>
        </w:rPr>
        <w:t xml:space="preserve">, </w:t>
      </w:r>
      <w:r>
        <w:rPr>
          <w:rtl w:val="true"/>
        </w:rPr>
        <w:t>הסתפק בית המשפט בחומר שלפניו</w:t>
      </w:r>
      <w:r>
        <w:rPr>
          <w:rtl w:val="true"/>
        </w:rPr>
        <w:t xml:space="preserve">, </w:t>
      </w:r>
      <w:r>
        <w:rPr>
          <w:rtl w:val="true"/>
        </w:rPr>
        <w:t>תוך תקווה כי בעתיד יופקו הלקחים הדרושים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סיכומו של דבר</w:t>
      </w:r>
      <w:r>
        <w:rPr>
          <w:rtl w:val="true"/>
        </w:rPr>
        <w:t xml:space="preserve">, </w:t>
      </w:r>
      <w:r>
        <w:rPr>
          <w:rtl w:val="true"/>
        </w:rPr>
        <w:t xml:space="preserve">פסיקת פיצוי לנפגע עבירה מחייבת </w:t>
      </w:r>
      <w:r>
        <w:rPr>
          <w:rFonts w:ascii="Miriam" w:hAnsi="Miriam" w:cs="Miriam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הוכחה ברמת של מאזן ההסתברויות כי לנפגע נגרם נזק כלשהו</w:t>
      </w:r>
      <w:r>
        <w:rPr>
          <w:rtl w:val="true"/>
        </w:rPr>
        <w:t xml:space="preserve">; </w:t>
      </w:r>
      <w:r>
        <w:rPr>
          <w:rFonts w:ascii="Miriam" w:hAnsi="Miriam" w:cs="Miriam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 xml:space="preserve">כאשר הוכח קיומו של נזק </w:t>
      </w:r>
      <w:r>
        <w:rPr>
          <w:rtl w:val="true"/>
        </w:rPr>
        <w:t>–</w:t>
      </w:r>
      <w:r>
        <w:rPr>
          <w:rtl w:val="true"/>
        </w:rPr>
        <w:t xml:space="preserve"> בית המשפט רשאי לפסוק את שיעורו בדרך של אומדנה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בלא הקפדה על הכללים החלים בפסיקת פיצויים במסגרת הליכי נזיקין אזרחיים</w:t>
      </w:r>
      <w:r>
        <w:rPr>
          <w:rtl w:val="true"/>
        </w:rPr>
        <w:t xml:space="preserve">, </w:t>
      </w:r>
      <w:r>
        <w:rPr>
          <w:rtl w:val="true"/>
        </w:rPr>
        <w:t>אך בהלימה לערך הסבל או הנזק שנגרמו</w:t>
      </w:r>
      <w:r>
        <w:rPr>
          <w:rtl w:val="true"/>
        </w:rPr>
        <w:t xml:space="preserve">.  </w:t>
      </w:r>
      <w:r>
        <w:rPr>
          <w:rtl w:val="true"/>
        </w:rPr>
        <w:t>כדי שבית המשפט יוכל לאמוד את שיעורו של הנזק וכדי שהפיצוי יהלום אותו</w:t>
      </w:r>
      <w:r>
        <w:rPr>
          <w:rtl w:val="true"/>
        </w:rPr>
        <w:t xml:space="preserve">, </w:t>
      </w:r>
      <w:r>
        <w:rPr>
          <w:rtl w:val="true"/>
        </w:rPr>
        <w:t xml:space="preserve">על המדינה להציג </w:t>
      </w:r>
      <w:r>
        <w:rPr>
          <w:rtl w:val="true"/>
        </w:rPr>
        <w:t>–</w:t>
      </w:r>
      <w:r>
        <w:rPr>
          <w:rtl w:val="true"/>
        </w:rPr>
        <w:t xml:space="preserve"> כפי שנפסק ב</w:t>
      </w:r>
      <w:r>
        <w:rPr>
          <w:rStyle w:val="Ruller41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רחי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תשתית עובדתית כלשהי שתאפשר לבית המשפט לעשות כן</w:t>
      </w:r>
      <w:r>
        <w:rPr>
          <w:rtl w:val="true"/>
        </w:rPr>
        <w:t xml:space="preserve">. </w:t>
      </w:r>
      <w:r>
        <w:rPr>
          <w:rtl w:val="true"/>
        </w:rPr>
        <w:t>כך כאשר מדובר בנזק על סבל או כאב כתוצאה מפגיעה</w:t>
      </w:r>
      <w:r>
        <w:rPr>
          <w:rtl w:val="true"/>
        </w:rPr>
        <w:t xml:space="preserve">; </w:t>
      </w:r>
      <w:r>
        <w:rPr>
          <w:rtl w:val="true"/>
        </w:rPr>
        <w:t>וכך גם כאשר הפיצוי נפסק בגין נזק כלכלי או כספי</w:t>
      </w:r>
      <w:r>
        <w:rPr>
          <w:rtl w:val="true"/>
        </w:rPr>
        <w:t xml:space="preserve">. </w:t>
      </w:r>
      <w:r>
        <w:rPr>
          <w:rtl w:val="true"/>
        </w:rPr>
        <w:t>גם במקרה אחרון זה</w:t>
      </w:r>
      <w:r>
        <w:rPr>
          <w:rtl w:val="true"/>
        </w:rPr>
        <w:t xml:space="preserve">, </w:t>
      </w:r>
      <w:r>
        <w:rPr>
          <w:rtl w:val="true"/>
        </w:rPr>
        <w:t>ולמרות שמדובר באומדנה ולא בנזק המחושב באופן מדויק</w:t>
      </w:r>
      <w:r>
        <w:rPr>
          <w:rtl w:val="true"/>
        </w:rPr>
        <w:t xml:space="preserve">, </w:t>
      </w:r>
      <w:r>
        <w:rPr>
          <w:rtl w:val="true"/>
        </w:rPr>
        <w:t>נדרשת תשתית עובדתית מינימלית אודות היקף הנזק</w:t>
      </w:r>
      <w:r>
        <w:rPr>
          <w:rtl w:val="true"/>
        </w:rPr>
        <w:t xml:space="preserve">, </w:t>
      </w:r>
      <w:r>
        <w:rPr>
          <w:rtl w:val="true"/>
        </w:rPr>
        <w:t>כגון בדבר היקף העסקה של הנפגע עם הנאשם או שיעור התשלומים ששילם לו הנפגע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עוד יש להדגיש</w:t>
      </w:r>
      <w:r>
        <w:rPr>
          <w:rtl w:val="true"/>
        </w:rPr>
        <w:t xml:space="preserve">, </w:t>
      </w:r>
      <w:r>
        <w:rPr>
          <w:rtl w:val="true"/>
        </w:rPr>
        <w:t>כפי שציין גם חברי</w:t>
      </w:r>
      <w:r>
        <w:rPr>
          <w:rtl w:val="true"/>
        </w:rPr>
        <w:t xml:space="preserve">, </w:t>
      </w:r>
      <w:r>
        <w:rPr>
          <w:rtl w:val="true"/>
        </w:rPr>
        <w:t>כי כאשר ישנו קשר כלשהו בין הנזק לבין הפיצוי</w:t>
      </w:r>
      <w:r>
        <w:rPr>
          <w:rtl w:val="true"/>
        </w:rPr>
        <w:t xml:space="preserve">, </w:t>
      </w:r>
      <w:r>
        <w:rPr>
          <w:rtl w:val="true"/>
        </w:rPr>
        <w:t>די בכך</w:t>
      </w:r>
      <w:r>
        <w:rPr>
          <w:rtl w:val="true"/>
        </w:rPr>
        <w:t xml:space="preserve">, </w:t>
      </w:r>
      <w:r>
        <w:rPr>
          <w:rtl w:val="true"/>
        </w:rPr>
        <w:t>וערכאת הערעור לא תיטה להתערב בשיקול הדעת של הערכאה הדיונית בהקשר זה</w:t>
      </w:r>
      <w:r>
        <w:rPr>
          <w:rtl w:val="true"/>
        </w:rPr>
        <w:t xml:space="preserve">. </w:t>
      </w:r>
      <w:r>
        <w:rPr>
          <w:rtl w:val="true"/>
        </w:rPr>
        <w:t>כפי שצוין לעיל</w:t>
      </w:r>
      <w:r>
        <w:rPr>
          <w:rtl w:val="true"/>
        </w:rPr>
        <w:t xml:space="preserve">, </w:t>
      </w:r>
      <w:r>
        <w:rPr>
          <w:rtl w:val="true"/>
        </w:rPr>
        <w:t xml:space="preserve">גם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רחי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Miriam"/>
          <w:rtl w:val="true"/>
        </w:rPr>
        <w:t xml:space="preserve"> </w:t>
      </w:r>
      <w:r>
        <w:rPr>
          <w:rtl w:val="true"/>
        </w:rPr>
        <w:t>בו נמתחה ביקורת מסוימת על היקף המידע שעמד בפני הערכאה הדיונית בטרם נקבע שיעור הפיצוי</w:t>
      </w:r>
      <w:r>
        <w:rPr>
          <w:rtl w:val="true"/>
        </w:rPr>
        <w:t xml:space="preserve">, </w:t>
      </w:r>
      <w:r>
        <w:rPr>
          <w:rtl w:val="true"/>
        </w:rPr>
        <w:t>אושרה בסופו של דבר קביעתו של בית המשפט המחוזי בפסק הדין בערעור</w:t>
      </w:r>
      <w:r>
        <w:rPr>
          <w:rtl w:val="true"/>
        </w:rPr>
        <w:t xml:space="preserve">. </w:t>
      </w:r>
    </w:p>
    <w:p>
      <w:pPr>
        <w:pStyle w:val="Ruller42"/>
        <w:spacing w:before="240" w:after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מהכלל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הפרט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יישום האמור לעיל על עובדות המקרה דנן</w:t>
      </w:r>
      <w:r>
        <w:rPr>
          <w:rtl w:val="true"/>
        </w:rPr>
        <w:t xml:space="preserve">, </w:t>
      </w:r>
      <w:r>
        <w:rPr>
          <w:rtl w:val="true"/>
        </w:rPr>
        <w:t>מביא לטעמי למסקנה לפיה יש להתערב בהכרעתו של בית משפט קמא ביחס לשניים מנפגעי העבירה</w:t>
      </w:r>
      <w:r>
        <w:rPr>
          <w:rtl w:val="true"/>
        </w:rPr>
        <w:t xml:space="preserve">. </w:t>
      </w:r>
      <w:r>
        <w:rPr>
          <w:rtl w:val="true"/>
        </w:rPr>
        <w:t>העבירה המיוחסת למערער דנן היא עבירה בעלת אופי כלכלי</w:t>
      </w:r>
      <w:r>
        <w:rPr>
          <w:rtl w:val="true"/>
        </w:rPr>
        <w:t xml:space="preserve">, </w:t>
      </w:r>
      <w:r>
        <w:rPr>
          <w:rtl w:val="true"/>
        </w:rPr>
        <w:t>הנוגעת לגביית תשלום מלקוחותיו של המערער תוך ניצול סברתם המוטעית כי הוא עורך דין</w:t>
      </w:r>
      <w:r>
        <w:rPr>
          <w:rtl w:val="true"/>
        </w:rPr>
        <w:t xml:space="preserve">, </w:t>
      </w:r>
      <w:r>
        <w:rPr>
          <w:rtl w:val="true"/>
        </w:rPr>
        <w:t>משפטן או מהנדס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ככל שנגרם נזק לנפגעי העבירה במקרה דנן</w:t>
      </w:r>
      <w:r>
        <w:rPr>
          <w:rtl w:val="true"/>
        </w:rPr>
        <w:t xml:space="preserve">, </w:t>
      </w:r>
      <w:r>
        <w:rPr>
          <w:rtl w:val="true"/>
        </w:rPr>
        <w:t>הוא נובע מכך שהם שילמו למערער שכר ולא קיבלו תמורה ראויה עבורו</w:t>
      </w:r>
      <w:r>
        <w:rPr>
          <w:rtl w:val="true"/>
        </w:rPr>
        <w:t xml:space="preserve">; </w:t>
      </w:r>
      <w:r>
        <w:rPr>
          <w:rtl w:val="true"/>
        </w:rPr>
        <w:t xml:space="preserve">או מכך שהם שילמו לו שכר גבוה יותר מאחר שהיו סבורים </w:t>
      </w:r>
      <w:r>
        <w:rPr>
          <w:rtl w:val="true"/>
        </w:rPr>
        <w:t>–</w:t>
      </w:r>
      <w:r>
        <w:rPr>
          <w:rtl w:val="true"/>
        </w:rPr>
        <w:t xml:space="preserve"> נוכח המצג המטעה שהוא הציג להם </w:t>
      </w:r>
      <w:r>
        <w:rPr>
          <w:rtl w:val="true"/>
        </w:rPr>
        <w:t>–</w:t>
      </w:r>
      <w:r>
        <w:rPr>
          <w:rtl w:val="true"/>
        </w:rPr>
        <w:t xml:space="preserve"> כי הוא עורך דין</w:t>
      </w:r>
      <w:r>
        <w:rPr>
          <w:rtl w:val="true"/>
        </w:rPr>
        <w:t xml:space="preserve">, </w:t>
      </w:r>
      <w:r>
        <w:rPr>
          <w:rtl w:val="true"/>
        </w:rPr>
        <w:t>משפטן או מהנדס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הדעת נותנת כי תשלום שכר טרחה למי שהוא עורך דין</w:t>
      </w:r>
      <w:r>
        <w:rPr>
          <w:rtl w:val="true"/>
        </w:rPr>
        <w:t xml:space="preserve">, </w:t>
      </w:r>
      <w:r>
        <w:rPr>
          <w:rtl w:val="true"/>
        </w:rPr>
        <w:t>משפטן או מהנדס</w:t>
      </w:r>
      <w:r>
        <w:rPr>
          <w:rtl w:val="true"/>
        </w:rPr>
        <w:t xml:space="preserve">, </w:t>
      </w:r>
      <w:r>
        <w:rPr>
          <w:rtl w:val="true"/>
        </w:rPr>
        <w:t>עשוי במקרים רבים להיות גבוה יותר מהתשלום עבור אותו שירות למי שאיננו נושא באחד התארים הללו</w:t>
      </w:r>
      <w:r>
        <w:rPr>
          <w:rtl w:val="true"/>
        </w:rPr>
        <w:t xml:space="preserve">. </w:t>
      </w:r>
      <w:r>
        <w:rPr>
          <w:rtl w:val="true"/>
        </w:rPr>
        <w:t>סביר להניח כי זהו אחד הטעמים לכך שהמערער הציג ללקוחות הפוטנציאליים שלו מצג שווא לפיו הוא בעל תואר משפטי או הנדסי</w:t>
      </w:r>
      <w:r>
        <w:rPr>
          <w:rtl w:val="true"/>
        </w:rPr>
        <w:t xml:space="preserve">. </w:t>
      </w:r>
      <w:r>
        <w:rPr>
          <w:rtl w:val="true"/>
        </w:rPr>
        <w:t xml:space="preserve">תואר כזה עשוי לסייע הן בעצם ההתקשרות עם המערער </w:t>
      </w:r>
      <w:r>
        <w:rPr>
          <w:rtl w:val="true"/>
        </w:rPr>
        <w:t>(</w:t>
      </w:r>
      <w:r>
        <w:rPr>
          <w:rtl w:val="true"/>
        </w:rPr>
        <w:t>ולא עם בעל מקצוע אחר</w:t>
      </w:r>
      <w:r>
        <w:rPr>
          <w:rtl w:val="true"/>
        </w:rPr>
        <w:t xml:space="preserve">), </w:t>
      </w:r>
      <w:r>
        <w:rPr>
          <w:rtl w:val="true"/>
        </w:rPr>
        <w:t>והן בקביעת שכרו</w:t>
      </w:r>
      <w:r>
        <w:rPr>
          <w:rtl w:val="true"/>
        </w:rPr>
        <w:t xml:space="preserve">. </w:t>
      </w:r>
      <w:r>
        <w:rPr>
          <w:rtl w:val="true"/>
        </w:rPr>
        <w:t>אולם כדי להוכיח קיומו של נזק</w:t>
      </w:r>
      <w:r>
        <w:rPr>
          <w:rtl w:val="true"/>
        </w:rPr>
        <w:t xml:space="preserve">, </w:t>
      </w:r>
      <w:r>
        <w:rPr>
          <w:rtl w:val="true"/>
        </w:rPr>
        <w:t>אין די בכך שאדם כלשהו התקשר עם המערער</w:t>
      </w:r>
      <w:r>
        <w:rPr>
          <w:rtl w:val="true"/>
        </w:rPr>
        <w:t xml:space="preserve">, </w:t>
      </w:r>
      <w:r>
        <w:rPr>
          <w:rtl w:val="true"/>
        </w:rPr>
        <w:t>אלא נדרשת הוכחה כי הוא שילם לו תמורה עבור שירותיו</w:t>
      </w:r>
      <w:r>
        <w:rPr>
          <w:rtl w:val="true"/>
        </w:rPr>
        <w:t xml:space="preserve">. </w:t>
      </w:r>
      <w:r>
        <w:rPr>
          <w:rtl w:val="true"/>
        </w:rPr>
        <w:t>בלא תשלום כל תמורה</w:t>
      </w:r>
      <w:r>
        <w:rPr>
          <w:rtl w:val="true"/>
        </w:rPr>
        <w:t xml:space="preserve">, </w:t>
      </w:r>
      <w:r>
        <w:rPr>
          <w:rtl w:val="true"/>
        </w:rPr>
        <w:t>לא ניתן לקבוע כי נגרם נזק כלשהו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 xml:space="preserve">המשיבה עתרה לפיצוי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נפגעי עבירה אשר צוינו כעדי תביעה בכתב האישום</w:t>
      </w:r>
      <w:r>
        <w:rPr>
          <w:rtl w:val="true"/>
        </w:rPr>
        <w:t xml:space="preserve">. </w:t>
      </w:r>
      <w:r>
        <w:rPr>
          <w:rtl w:val="true"/>
        </w:rPr>
        <w:t>ביחס לשלושה מהם פורטו בנספח א</w:t>
      </w:r>
      <w:r>
        <w:rPr>
          <w:rtl w:val="true"/>
        </w:rPr>
        <w:t xml:space="preserve">' </w:t>
      </w:r>
      <w:r>
        <w:rPr>
          <w:rtl w:val="true"/>
        </w:rPr>
        <w:t>לכתב האישום הסכומים ששולמו על ידיהם למערער</w:t>
      </w:r>
      <w:r>
        <w:rPr>
          <w:rtl w:val="true"/>
        </w:rPr>
        <w:t xml:space="preserve">: </w:t>
      </w:r>
      <w:r>
        <w:rPr>
          <w:rtl w:val="true"/>
        </w:rPr>
        <w:t>מחמד</w:t>
      </w:r>
      <w:r>
        <w:rPr>
          <w:rtl w:val="true"/>
        </w:rPr>
        <w:t xml:space="preserve"> </w:t>
      </w:r>
      <w:r>
        <w:rPr>
          <w:rtl w:val="true"/>
        </w:rPr>
        <w:t>אמין</w:t>
      </w:r>
      <w:r>
        <w:rPr>
          <w:rtl w:val="true"/>
        </w:rPr>
        <w:t xml:space="preserve"> </w:t>
      </w:r>
      <w:r>
        <w:rPr>
          <w:rtl w:val="true"/>
        </w:rPr>
        <w:t>שלאלדה</w:t>
      </w:r>
      <w:r>
        <w:rPr>
          <w:rtl w:val="true"/>
        </w:rPr>
        <w:t xml:space="preserve"> </w:t>
      </w:r>
      <w:r>
        <w:rPr>
          <w:rtl w:val="true"/>
        </w:rPr>
        <w:t>שילם</w:t>
      </w:r>
      <w:r>
        <w:rPr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 </w:t>
      </w:r>
      <w:r>
        <w:rPr/>
        <w:t>33,000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אחמד</w:t>
      </w:r>
      <w:r>
        <w:rPr>
          <w:rtl w:val="true"/>
        </w:rPr>
        <w:t xml:space="preserve"> </w:t>
      </w:r>
      <w:r>
        <w:rPr>
          <w:rtl w:val="true"/>
        </w:rPr>
        <w:t>ווזוז</w:t>
      </w:r>
      <w:r>
        <w:rPr>
          <w:rtl w:val="true"/>
        </w:rPr>
        <w:t xml:space="preserve"> </w:t>
      </w:r>
      <w:r>
        <w:rPr>
          <w:rtl w:val="true"/>
        </w:rPr>
        <w:t>שילם</w:t>
      </w:r>
      <w:r>
        <w:rPr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 </w:t>
      </w:r>
      <w:r>
        <w:rPr>
          <w:rtl w:val="true"/>
        </w:rPr>
        <w:t>ואמג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עפאנה</w:t>
      </w:r>
      <w:r>
        <w:rPr>
          <w:rtl w:val="true"/>
        </w:rPr>
        <w:t xml:space="preserve"> </w:t>
      </w:r>
      <w:r>
        <w:rPr>
          <w:rtl w:val="true"/>
        </w:rPr>
        <w:t>שילם</w:t>
      </w:r>
      <w:r>
        <w:rPr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 </w:t>
      </w:r>
      <w:r>
        <w:rPr/>
        <w:t>26,500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לגבי המתלונן הרביעי</w:t>
      </w:r>
      <w:r>
        <w:rPr>
          <w:rtl w:val="true"/>
        </w:rPr>
        <w:t xml:space="preserve">, </w:t>
      </w:r>
      <w:r>
        <w:rPr>
          <w:rtl w:val="true"/>
        </w:rPr>
        <w:t>נאאל אבו</w:t>
      </w:r>
      <w:r>
        <w:rPr>
          <w:rtl w:val="true"/>
        </w:rPr>
        <w:t>-</w:t>
      </w:r>
      <w:r>
        <w:rPr>
          <w:rtl w:val="true"/>
        </w:rPr>
        <w:t>דיאב</w:t>
      </w:r>
      <w:r>
        <w:rPr>
          <w:rtl w:val="true"/>
        </w:rPr>
        <w:t xml:space="preserve">, </w:t>
      </w:r>
      <w:r>
        <w:rPr>
          <w:rtl w:val="true"/>
        </w:rPr>
        <w:t>מסרה המשיבה כי יש לפצותו יחד עם אחיו</w:t>
      </w:r>
      <w:r>
        <w:rPr>
          <w:rtl w:val="true"/>
        </w:rPr>
        <w:t xml:space="preserve">, </w:t>
      </w:r>
      <w:r>
        <w:rPr>
          <w:rtl w:val="true"/>
        </w:rPr>
        <w:t>אחמד אבו</w:t>
      </w:r>
      <w:r>
        <w:rPr>
          <w:rtl w:val="true"/>
        </w:rPr>
        <w:t>-</w:t>
      </w:r>
      <w:r>
        <w:rPr>
          <w:rtl w:val="true"/>
        </w:rPr>
        <w:t>דיאב</w:t>
      </w:r>
      <w:r>
        <w:rPr>
          <w:rtl w:val="true"/>
        </w:rPr>
        <w:t xml:space="preserve">, </w:t>
      </w:r>
      <w:r>
        <w:rPr>
          <w:rtl w:val="true"/>
        </w:rPr>
        <w:t xml:space="preserve">על בסיס הסכום ששילם אחמד למערער שעמד על </w:t>
      </w:r>
      <w:r>
        <w:rPr/>
        <w:t>29,750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לבית המשפט קמא לא הוגשו תסקירי נפגעי עבירה מפורטים ולא נשמעה עדותם של אותם נפגעים</w:t>
      </w:r>
      <w:r>
        <w:rPr>
          <w:rtl w:val="true"/>
        </w:rPr>
        <w:t xml:space="preserve">. </w:t>
      </w:r>
      <w:r>
        <w:rPr>
          <w:rtl w:val="true"/>
        </w:rPr>
        <w:t>אולם בהתאם להלכה הפסוקה המקלה כאמור בהוכחת קיומו של נזק</w:t>
      </w:r>
      <w:r>
        <w:rPr>
          <w:rtl w:val="true"/>
        </w:rPr>
        <w:t xml:space="preserve">,  </w:t>
      </w:r>
      <w:r>
        <w:rPr>
          <w:rtl w:val="true"/>
        </w:rPr>
        <w:t>די בהצגת הסכומים ששילמו המתלוננים בנספח א</w:t>
      </w:r>
      <w:r>
        <w:rPr>
          <w:rtl w:val="true"/>
        </w:rPr>
        <w:t xml:space="preserve">' </w:t>
      </w:r>
      <w:r>
        <w:rPr>
          <w:rtl w:val="true"/>
        </w:rPr>
        <w:t>לכתב האישום שעמד בפני בית משפט קמא</w:t>
      </w:r>
      <w:r>
        <w:rPr>
          <w:rtl w:val="true"/>
        </w:rPr>
        <w:t xml:space="preserve">, </w:t>
      </w:r>
      <w:r>
        <w:rPr>
          <w:rtl w:val="true"/>
        </w:rPr>
        <w:t>לצד הודאתו של המערער בעובדות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כדי להוכיח ברמת </w:t>
      </w:r>
      <w:r>
        <w:rPr>
          <w:rtl w:val="true"/>
        </w:rPr>
        <w:t>"</w:t>
      </w:r>
      <w:r>
        <w:rPr>
          <w:rtl w:val="true"/>
        </w:rPr>
        <w:t>מאזן הסתברויות</w:t>
      </w:r>
      <w:r>
        <w:rPr>
          <w:rtl w:val="true"/>
        </w:rPr>
        <w:t xml:space="preserve">" </w:t>
      </w:r>
      <w:r>
        <w:rPr>
          <w:rtl w:val="true"/>
        </w:rPr>
        <w:t>את עצם קיומו של הנזק</w:t>
      </w:r>
      <w:r>
        <w:rPr>
          <w:rtl w:val="true"/>
        </w:rPr>
        <w:t xml:space="preserve">. </w:t>
      </w:r>
      <w:r>
        <w:rPr>
          <w:rtl w:val="true"/>
        </w:rPr>
        <w:t>ביחס לארבעת הנפגעים האמורים</w:t>
      </w:r>
      <w:r>
        <w:rPr>
          <w:rtl w:val="true"/>
        </w:rPr>
        <w:t xml:space="preserve">, </w:t>
      </w:r>
      <w:r>
        <w:rPr>
          <w:rtl w:val="true"/>
        </w:rPr>
        <w:t xml:space="preserve">מאחר שסכום הפיצוי עומד על </w:t>
      </w:r>
      <w:r>
        <w:rPr/>
        <w:t>4,000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לכל מתלונן</w:t>
      </w:r>
      <w:r>
        <w:rPr>
          <w:rtl w:val="true"/>
        </w:rPr>
        <w:t xml:space="preserve">, </w:t>
      </w:r>
      <w:r>
        <w:rPr>
          <w:rtl w:val="true"/>
        </w:rPr>
        <w:t>ולאור הסכומים  ששולמו על ידי המתלוננים הללו למערער</w:t>
      </w:r>
      <w:r>
        <w:rPr>
          <w:rtl w:val="true"/>
        </w:rPr>
        <w:t xml:space="preserve">, </w:t>
      </w:r>
      <w:r>
        <w:rPr>
          <w:rtl w:val="true"/>
        </w:rPr>
        <w:t xml:space="preserve">אין גם מקום להתערבות של ערכאת הערעור בסכום אותו העריך בית משפט קמא כסכום הפיצוי לכל אחד מהם </w:t>
      </w:r>
      <w:r>
        <w:rPr>
          <w:rtl w:val="true"/>
        </w:rPr>
        <w:t>(</w:t>
      </w:r>
      <w:r>
        <w:rPr>
          <w:rtl w:val="true"/>
        </w:rPr>
        <w:t xml:space="preserve">אף שיתכן שהיה מקום לכך לו היה שיעור הפיצוי גבוה יותר או אם הסכום ששולם למערער על ידי כל מתלונן </w:t>
      </w:r>
      <w:r>
        <w:rPr>
          <w:rtl w:val="true"/>
        </w:rPr>
        <w:t>–</w:t>
      </w:r>
      <w:r>
        <w:rPr>
          <w:rtl w:val="true"/>
        </w:rPr>
        <w:t xml:space="preserve"> נמוך יותר</w:t>
      </w:r>
      <w:r>
        <w:rPr>
          <w:rtl w:val="true"/>
        </w:rPr>
        <w:t xml:space="preserve">).   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 xml:space="preserve">ביחס לשני המתלוננים הנוספים שנפסקו לזכותם פיצויים </w:t>
      </w:r>
      <w:r>
        <w:rPr>
          <w:rtl w:val="true"/>
        </w:rPr>
        <w:t>(</w:t>
      </w:r>
      <w:r>
        <w:rPr>
          <w:rtl w:val="true"/>
        </w:rPr>
        <w:t>פרג</w:t>
      </w:r>
      <w:r>
        <w:rPr>
          <w:rtl w:val="true"/>
        </w:rPr>
        <w:t xml:space="preserve">' </w:t>
      </w:r>
      <w:r>
        <w:rPr>
          <w:rtl w:val="true"/>
        </w:rPr>
        <w:t>סוב לבן ועבד אלקאדר אבו</w:t>
      </w:r>
      <w:r>
        <w:rPr>
          <w:rtl w:val="true"/>
        </w:rPr>
        <w:t>-</w:t>
      </w:r>
      <w:r>
        <w:rPr>
          <w:rtl w:val="true"/>
        </w:rPr>
        <w:t>מאדי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הרי כפי שהובהר לעיל</w:t>
      </w:r>
      <w:r>
        <w:rPr>
          <w:rtl w:val="true"/>
        </w:rPr>
        <w:t xml:space="preserve">, </w:t>
      </w:r>
      <w:r>
        <w:rPr>
          <w:rtl w:val="true"/>
        </w:rPr>
        <w:t>אין כל איזכור בכתב האישום או בנספחים בדבר סכומי הכסף שהם שילמו למערער</w:t>
      </w:r>
      <w:r>
        <w:rPr>
          <w:rtl w:val="true"/>
        </w:rPr>
        <w:t xml:space="preserve">, </w:t>
      </w:r>
      <w:r>
        <w:rPr>
          <w:rtl w:val="true"/>
        </w:rPr>
        <w:t>אם בכלל</w:t>
      </w:r>
      <w:r>
        <w:rPr>
          <w:rtl w:val="true"/>
        </w:rPr>
        <w:t xml:space="preserve">. </w:t>
      </w:r>
      <w:r>
        <w:rPr>
          <w:rtl w:val="true"/>
        </w:rPr>
        <w:t>לגבי פרג</w:t>
      </w:r>
      <w:r>
        <w:rPr>
          <w:rtl w:val="true"/>
        </w:rPr>
        <w:t xml:space="preserve">' </w:t>
      </w:r>
      <w:r>
        <w:rPr>
          <w:rtl w:val="true"/>
        </w:rPr>
        <w:t>סוב לבן</w:t>
      </w:r>
      <w:r>
        <w:rPr>
          <w:rtl w:val="true"/>
        </w:rPr>
        <w:t xml:space="preserve">, </w:t>
      </w:r>
      <w:r>
        <w:rPr>
          <w:rtl w:val="true"/>
        </w:rPr>
        <w:t>הבהירה המשיבה לבית המשפט קמא כי הסכום ששילם למערער אינו ידוע לה במדויק</w:t>
      </w:r>
      <w:r>
        <w:rPr>
          <w:rtl w:val="true"/>
        </w:rPr>
        <w:t xml:space="preserve">, </w:t>
      </w:r>
      <w:r>
        <w:rPr>
          <w:rtl w:val="true"/>
        </w:rPr>
        <w:t>ולכן היא נמנעה מלכלול אותו בנספח לכתב האישום הנוגע לחישוב עבירת המס</w:t>
      </w:r>
      <w:r>
        <w:rPr>
          <w:rtl w:val="true"/>
        </w:rPr>
        <w:t xml:space="preserve">. </w:t>
      </w:r>
      <w:r>
        <w:rPr>
          <w:rtl w:val="true"/>
        </w:rPr>
        <w:t>למרות זאת</w:t>
      </w:r>
      <w:r>
        <w:rPr>
          <w:rtl w:val="true"/>
        </w:rPr>
        <w:t xml:space="preserve">, </w:t>
      </w:r>
      <w:r>
        <w:rPr>
          <w:rtl w:val="true"/>
        </w:rPr>
        <w:t xml:space="preserve">היא ציינה כי לגישתה הראיות בעניינו </w:t>
      </w:r>
      <w:r>
        <w:rPr>
          <w:rtl w:val="true"/>
        </w:rPr>
        <w:t>(</w:t>
      </w:r>
      <w:r>
        <w:rPr>
          <w:rtl w:val="true"/>
        </w:rPr>
        <w:t>שלא הוצגו</w:t>
      </w:r>
      <w:r>
        <w:rPr>
          <w:rtl w:val="true"/>
        </w:rPr>
        <w:t xml:space="preserve">), </w:t>
      </w:r>
      <w:r>
        <w:rPr>
          <w:rtl w:val="true"/>
        </w:rPr>
        <w:t>מצביעות על תשלום של אלפי ש</w:t>
      </w:r>
      <w:r>
        <w:rPr>
          <w:rtl w:val="true"/>
        </w:rPr>
        <w:t>"</w:t>
      </w:r>
      <w:r>
        <w:rPr>
          <w:rtl w:val="true"/>
        </w:rPr>
        <w:t>ח למערער</w:t>
      </w:r>
      <w:r>
        <w:rPr>
          <w:rtl w:val="true"/>
        </w:rPr>
        <w:t xml:space="preserve">. </w:t>
      </w:r>
      <w:r>
        <w:rPr>
          <w:rtl w:val="true"/>
        </w:rPr>
        <w:t>גם ביחס לעבד אלקאדר אבו</w:t>
      </w:r>
      <w:r>
        <w:rPr>
          <w:rtl w:val="true"/>
        </w:rPr>
        <w:t>-</w:t>
      </w:r>
      <w:r>
        <w:rPr>
          <w:rtl w:val="true"/>
        </w:rPr>
        <w:t>מאדי ציינה המשיבה כי לא היו לה ראיות ברף הנדרש כדי לקבוע סכום מדויק לעניין עבירת המס</w:t>
      </w:r>
      <w:r>
        <w:rPr>
          <w:rtl w:val="true"/>
        </w:rPr>
        <w:t xml:space="preserve">, </w:t>
      </w:r>
      <w:r>
        <w:rPr>
          <w:rtl w:val="true"/>
        </w:rPr>
        <w:t>והוא לא נכלל בנספח לכתב האישום</w:t>
      </w:r>
      <w:r>
        <w:rPr>
          <w:rtl w:val="true"/>
        </w:rPr>
        <w:t xml:space="preserve">. </w:t>
      </w:r>
      <w:r>
        <w:rPr>
          <w:rtl w:val="true"/>
        </w:rPr>
        <w:t>חרף העדר ראיות ברף הנדרש</w:t>
      </w:r>
      <w:r>
        <w:rPr>
          <w:rtl w:val="true"/>
        </w:rPr>
        <w:t xml:space="preserve">, </w:t>
      </w:r>
      <w:r>
        <w:rPr>
          <w:rtl w:val="true"/>
        </w:rPr>
        <w:t>ציינה המשיבה לגבי אבו</w:t>
      </w:r>
      <w:r>
        <w:rPr>
          <w:rtl w:val="true"/>
        </w:rPr>
        <w:t>-</w:t>
      </w:r>
      <w:r>
        <w:rPr>
          <w:rtl w:val="true"/>
        </w:rPr>
        <w:t xml:space="preserve">מאדי  כי לגישתה הוא שילם למערער סכום של לכל הפחות </w:t>
      </w:r>
      <w:r>
        <w:rPr/>
        <w:t>20,000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עולה אפוא כי ביחס לשני המתלוננים הללו</w:t>
      </w:r>
      <w:r>
        <w:rPr>
          <w:rtl w:val="true"/>
        </w:rPr>
        <w:t xml:space="preserve">, </w:t>
      </w:r>
      <w:r>
        <w:rPr>
          <w:rtl w:val="true"/>
        </w:rPr>
        <w:t>גם לגישת המשיבה אין ראיות ברמה הנדרשת בדבר תשלומים שהם שילמו למערער מכוח הקשר העסקי שהיה ביניהם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spacing w:lineRule="auto" w:line="240" w:before="240" w:after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בעבירה כמו זו בה הורשע המערער</w:t>
      </w:r>
      <w:r>
        <w:rPr>
          <w:rtl w:val="true"/>
        </w:rPr>
        <w:t xml:space="preserve">, </w:t>
      </w:r>
      <w:r>
        <w:rPr>
          <w:rtl w:val="true"/>
        </w:rPr>
        <w:t xml:space="preserve">ניתן לזכות בפיצוי רק מתלונן אשר הוכח כי שילם בפועל סכום כלשהו למערער </w:t>
      </w:r>
      <w:r>
        <w:rPr>
          <w:rtl w:val="true"/>
        </w:rPr>
        <w:t>(</w:t>
      </w:r>
      <w:r>
        <w:rPr>
          <w:rtl w:val="true"/>
        </w:rPr>
        <w:t>ושלכן עשוי היה להיגרם לו נזק</w:t>
      </w:r>
      <w:r>
        <w:rPr>
          <w:rtl w:val="true"/>
        </w:rPr>
        <w:t xml:space="preserve">), </w:t>
      </w:r>
      <w:r>
        <w:rPr>
          <w:rtl w:val="true"/>
        </w:rPr>
        <w:t>ולא כל אדם אחר שהיה אולי בקשר עסקי עמו אך לא הוכח כי הוא שילם לו שכר עבור שירותיו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גם אם הוצג לו מצג השווא האמור</w:t>
      </w:r>
      <w:r>
        <w:rPr>
          <w:rtl w:val="true"/>
        </w:rPr>
        <w:t xml:space="preserve">. </w:t>
      </w:r>
      <w:r>
        <w:rPr>
          <w:rtl w:val="true"/>
        </w:rPr>
        <w:t xml:space="preserve">בלא תשלום שכר למערער </w:t>
      </w:r>
      <w:r>
        <w:rPr>
          <w:rtl w:val="true"/>
        </w:rPr>
        <w:t>–</w:t>
      </w:r>
      <w:r>
        <w:rPr>
          <w:rtl w:val="true"/>
        </w:rPr>
        <w:t xml:space="preserve"> לא נגרם כמובן למתלונן נזק כספי</w:t>
      </w:r>
      <w:r>
        <w:rPr>
          <w:rtl w:val="true"/>
        </w:rPr>
        <w:t xml:space="preserve">, </w:t>
      </w:r>
      <w:r>
        <w:rPr>
          <w:rtl w:val="true"/>
        </w:rPr>
        <w:t>ואין די במקרה זה בטענה בעלמא בדבר נזק לאוטונומיה שלא בא לידי ביטוי בכל חסרון כיס שהוא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מאחר שגם לגישת המשיבה לא היו בידיה כאמור ראיות ברף הנדרש כדי להוכיח  תשלום ששילמו שני המתלוננים הנוספים למערער</w:t>
      </w:r>
      <w:r>
        <w:rPr>
          <w:rtl w:val="true"/>
        </w:rPr>
        <w:t xml:space="preserve">, </w:t>
      </w:r>
      <w:r>
        <w:rPr>
          <w:rtl w:val="true"/>
        </w:rPr>
        <w:t xml:space="preserve">אני סבורה כי לא הוכח כי נגרם להם נזק ולו אף ברמה של </w:t>
      </w:r>
      <w:r>
        <w:rPr>
          <w:rtl w:val="true"/>
        </w:rPr>
        <w:t>"</w:t>
      </w:r>
      <w:r>
        <w:rPr>
          <w:rtl w:val="true"/>
        </w:rPr>
        <w:t>מאזן הסתברויות</w:t>
      </w:r>
      <w:r>
        <w:rPr>
          <w:rtl w:val="true"/>
        </w:rPr>
        <w:t xml:space="preserve">". </w:t>
      </w:r>
    </w:p>
    <w:p>
      <w:pPr>
        <w:pStyle w:val="Ruller43"/>
        <w:numPr>
          <w:ilvl w:val="0"/>
          <w:numId w:val="2"/>
        </w:numPr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סיכומו של דבר</w:t>
      </w:r>
      <w:r>
        <w:rPr>
          <w:rtl w:val="true"/>
        </w:rPr>
        <w:t xml:space="preserve">, </w:t>
      </w:r>
      <w:r>
        <w:rPr>
          <w:rtl w:val="true"/>
        </w:rPr>
        <w:t>לאור כל האמור לעיל</w:t>
      </w:r>
      <w:r>
        <w:rPr>
          <w:rtl w:val="true"/>
        </w:rPr>
        <w:t xml:space="preserve">, </w:t>
      </w:r>
      <w:r>
        <w:rPr>
          <w:rtl w:val="true"/>
        </w:rPr>
        <w:t>אני סבורה כי אין מקום להתערב בשיעור הפיצוי שנפסק לזכות המתלוננים שלגביהם נמסרו בנספח א</w:t>
      </w:r>
      <w:r>
        <w:rPr>
          <w:rtl w:val="true"/>
        </w:rPr>
        <w:t xml:space="preserve">' </w:t>
      </w:r>
      <w:r>
        <w:rPr>
          <w:rtl w:val="true"/>
        </w:rPr>
        <w:t>לכתב האישום פרטים ביחס לסכום המדויק ששולם על ידיהם למערער כשכר</w:t>
      </w:r>
      <w:r>
        <w:rPr>
          <w:rtl w:val="true"/>
        </w:rPr>
        <w:t xml:space="preserve">; </w:t>
      </w:r>
      <w:r>
        <w:rPr>
          <w:rtl w:val="true"/>
        </w:rPr>
        <w:t>ואולם יש להתערב בסכומים שנפסקו לזכות אותם שני מתלוננים שלא הוכח ברמה מספקת כי שילמו סכום כלשהו למערער</w:t>
      </w:r>
      <w:r>
        <w:rPr>
          <w:rtl w:val="true"/>
        </w:rPr>
        <w:t xml:space="preserve">. </w:t>
      </w:r>
      <w:r>
        <w:rPr>
          <w:rtl w:val="true"/>
        </w:rPr>
        <w:t xml:space="preserve">לו דעתי הייתה נשמעת </w:t>
      </w:r>
      <w:r>
        <w:rPr>
          <w:rtl w:val="true"/>
        </w:rPr>
        <w:t>–</w:t>
      </w:r>
      <w:r>
        <w:rPr>
          <w:rtl w:val="true"/>
        </w:rPr>
        <w:t xml:space="preserve"> היה מקום לבטל את הפיצוי לגבי מתלוננים אלה</w:t>
      </w:r>
      <w:r>
        <w:rPr>
          <w:rtl w:val="true"/>
        </w:rPr>
        <w:t xml:space="preserve">. 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2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2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2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כבוב</w:t>
      </w:r>
      <w:r>
        <w:rPr>
          <w:rtl w:val="true"/>
        </w:rPr>
        <w:t xml:space="preserve">;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שנפסקו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משיבים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שלגביו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הוחלט</w:t>
      </w:r>
      <w:r>
        <w:rPr>
          <w:rtl w:val="true"/>
        </w:rPr>
        <w:t xml:space="preserve">, </w:t>
      </w:r>
      <w:r>
        <w:rPr>
          <w:rtl w:val="true"/>
        </w:rPr>
        <w:t>ברוב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כבוב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,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>.</w:t>
      </w:r>
    </w:p>
    <w:p>
      <w:pPr>
        <w:pStyle w:val="Ruller42"/>
        <w:spacing w:before="24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05.05.2024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השעה</w:t>
      </w:r>
      <w:r>
        <w:rPr>
          <w:rFonts w:eastAsia="Arial TUR;Arial" w:cs="Arial TUR;Arial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,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כשברשותו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דרכון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טלפונים</w:t>
      </w:r>
      <w:r>
        <w:rPr>
          <w:rtl w:val="true"/>
        </w:rPr>
        <w:t>:</w:t>
      </w:r>
      <w:r>
        <w:rPr>
          <w:rtl w:val="true"/>
        </w:rPr>
        <w:t xml:space="preserve">                 </w:t>
      </w:r>
      <w:r>
        <w:rPr>
          <w:rtl w:val="true"/>
        </w:rPr>
        <w:t xml:space="preserve"> </w:t>
      </w:r>
      <w:r>
        <w:rPr/>
        <w:t>074-7831077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/>
        <w:t>074-7831078</w:t>
      </w:r>
      <w:r>
        <w:rPr>
          <w:rtl w:val="true"/>
        </w:rPr>
        <w:t>.</w:t>
      </w:r>
    </w:p>
    <w:p>
      <w:pPr>
        <w:pStyle w:val="Ruller42"/>
        <w:spacing w:lineRule="auto" w:line="240"/>
        <w:ind w:end="0"/>
        <w:jc w:val="both"/>
        <w:rPr/>
      </w:pPr>
      <w:bookmarkStart w:id="18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1.4.2024</w:t>
      </w:r>
      <w:r>
        <w:rPr>
          <w:rtl w:val="true"/>
        </w:rPr>
        <w:t xml:space="preserve">). </w:t>
      </w:r>
      <w:bookmarkEnd w:id="18"/>
    </w:p>
    <w:p>
      <w:pPr>
        <w:pStyle w:val="Ruller42"/>
        <w:spacing w:lineRule="auto" w:line="24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2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2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23028580</w:t>
      </w:r>
      <w:r>
        <w:rPr>
          <w:sz w:val="16"/>
          <w:rtl w:val="true"/>
        </w:rPr>
        <w:t>_</w:t>
      </w:r>
      <w:r>
        <w:rPr>
          <w:sz w:val="16"/>
        </w:rPr>
        <w:t>C09.docx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זפ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64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אלרון </w:t>
      </w:r>
      <w:r>
        <w:rPr>
          <w:rFonts w:cs="David" w:ascii="David" w:hAnsi="David"/>
          <w:color w:val="000000"/>
          <w:szCs w:val="22"/>
        </w:rPr>
        <w:t>54678313-2858/23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6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66"/>
      <w:footerReference w:type="default" r:id="rId6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24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2858/23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שרון שיר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10"/>
        <w:i w:val="false"/>
        <w:shadow w:val="false"/>
        <w:u w:val="none"/>
        <w:b w:val="false"/>
        <w:kern w:val="0"/>
        <w:szCs w:val="28"/>
        <w:iCs w:val="false"/>
        <w:bCs w:val="false"/>
        <w:w w:val="100"/>
        <w:vanish w:val="false"/>
        <w:rFonts w:ascii="Century" w:hAnsi="Century" w:cs="FrankRuehl"/>
        <w:color w:val="000000"/>
        <w:lang w:bidi="he-IL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verflowPunct w:val="true"/>
      <w:spacing w:before="240" w:after="60"/>
      <w:textAlignment w:val="auto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Century" w:hAnsi="Century" w:cs="FrankRueh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spacing w:val="10"/>
      <w:w w:val="100"/>
      <w:kern w:val="0"/>
      <w:position w:val="0"/>
      <w:sz w:val="22"/>
      <w:sz w:val="22"/>
      <w:szCs w:val="28"/>
      <w:u w:val="none"/>
      <w:vertAlign w:val="baseline"/>
      <w:lang w:bidi="he-IL"/>
    </w:rPr>
  </w:style>
  <w:style w:type="character" w:styleId="WW8Num12z0">
    <w:name w:val="WW8Num12z0"/>
    <w:qFormat/>
    <w:rPr/>
  </w:style>
  <w:style w:type="character" w:styleId="WW8Num13z0">
    <w:name w:val="WW8Num13z0"/>
    <w:qFormat/>
    <w:rPr>
      <w:rFonts w:ascii="FrankRuehl" w:hAnsi="FrankRuehl" w:cs="FrankRuehl"/>
      <w:strike w:val="false"/>
      <w:dstrike w:val="false"/>
      <w:sz w:val="28"/>
      <w:szCs w:val="28"/>
      <w:lang w:bidi="he-I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5">
    <w:name w:val=" Char Char5"/>
    <w:qFormat/>
    <w:rPr>
      <w:rFonts w:ascii="Arial" w:hAnsi="Arial" w:cs="Arial"/>
      <w:b/>
      <w:bCs/>
      <w:kern w:val="2"/>
      <w:sz w:val="32"/>
      <w:szCs w:val="32"/>
    </w:rPr>
  </w:style>
  <w:style w:type="character" w:styleId="CharChar4">
    <w:name w:val=" Char Char4"/>
    <w:qFormat/>
    <w:rPr>
      <w:rFonts w:cs="David"/>
      <w:szCs w:val="24"/>
    </w:rPr>
  </w:style>
  <w:style w:type="character" w:styleId="CharChar3">
    <w:name w:val=" Char Char3"/>
    <w:qFormat/>
    <w:rPr>
      <w:rFonts w:cs="David"/>
      <w:szCs w:val="24"/>
    </w:rPr>
  </w:style>
  <w:style w:type="character" w:styleId="Ruller4">
    <w:name w:val="Ruller 4 ממוספר תו"/>
    <w:qFormat/>
    <w:rPr>
      <w:rFonts w:ascii="Garamond" w:hAnsi="Garamond" w:cs="FrankRuehl"/>
      <w:spacing w:val="10"/>
      <w:sz w:val="24"/>
      <w:szCs w:val="28"/>
    </w:rPr>
  </w:style>
  <w:style w:type="character" w:styleId="Ruller41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2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2"/>
    <w:next w:val="Ruller42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311">
    <w:name w:val="ruller 31"/>
    <w:basedOn w:val="Casenameintextbody"/>
    <w:qFormat/>
    <w:pPr>
      <w:jc w:val="start"/>
    </w:pPr>
    <w:rPr>
      <w:rFonts w:cs="David"/>
      <w:b w:val="false"/>
      <w:bCs w:val="false"/>
      <w:sz w:val="22"/>
      <w:u w:val="none"/>
    </w:rPr>
  </w:style>
  <w:style w:type="paragraph" w:styleId="Ruller43">
    <w:name w:val="Ruller 4 ממוספר"/>
    <w:basedOn w:val="Ruller42"/>
    <w:next w:val="Ruller42"/>
    <w:qFormat/>
    <w:pPr>
      <w:numPr>
        <w:ilvl w:val="0"/>
        <w:numId w:val="2"/>
      </w:numPr>
    </w:pPr>
    <w:rPr>
      <w:rFonts w:ascii="Garamond" w:hAnsi="Garamond" w:cs="Garamond"/>
      <w:sz w:val="24"/>
    </w:rPr>
  </w:style>
  <w:style w:type="paragraph" w:styleId="Ruller44">
    <w:name w:val="Ruller4 אלפביתי"/>
    <w:basedOn w:val="Ruller42"/>
    <w:next w:val="Ruller42"/>
    <w:qFormat/>
    <w:pPr>
      <w:numPr>
        <w:ilvl w:val="0"/>
        <w:numId w:val="3"/>
      </w:numPr>
    </w:pPr>
    <w:rPr/>
  </w:style>
  <w:style w:type="paragraph" w:styleId="ruller411">
    <w:name w:val="ruller41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ruller40">
    <w:name w:val="ruller4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ruller421">
    <w:name w:val="ruller42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filenumber0">
    <w:name w:val="filenumber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ruller51">
    <w:name w:val="ruller51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Style13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6498050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77" TargetMode="External"/><Relationship Id="rId5" Type="http://schemas.openxmlformats.org/officeDocument/2006/relationships/hyperlink" Target="http://www.nevo.co.il/law/70301/77.a" TargetMode="External"/><Relationship Id="rId6" Type="http://schemas.openxmlformats.org/officeDocument/2006/relationships/hyperlink" Target="http://www.nevo.co.il/law/70301/77.b" TargetMode="External"/><Relationship Id="rId7" Type="http://schemas.openxmlformats.org/officeDocument/2006/relationships/hyperlink" Target="http://www.nevo.co.il/law/70301/284" TargetMode="External"/><Relationship Id="rId8" Type="http://schemas.openxmlformats.org/officeDocument/2006/relationships/hyperlink" Target="http://www.nevo.co.il/law/70301/416" TargetMode="External"/><Relationship Id="rId9" Type="http://schemas.openxmlformats.org/officeDocument/2006/relationships/hyperlink" Target="http://www.nevo.co.il/law/84255" TargetMode="External"/><Relationship Id="rId10" Type="http://schemas.openxmlformats.org/officeDocument/2006/relationships/hyperlink" Target="http://www.nevo.co.il/law/84255/220.5" TargetMode="External"/><Relationship Id="rId11" Type="http://schemas.openxmlformats.org/officeDocument/2006/relationships/hyperlink" Target="http://www.nevo.co.il/law/74912" TargetMode="External"/><Relationship Id="rId12" Type="http://schemas.openxmlformats.org/officeDocument/2006/relationships/hyperlink" Target="http://www.nevo.co.il/law/74912/21" TargetMode="External"/><Relationship Id="rId13" Type="http://schemas.openxmlformats.org/officeDocument/2006/relationships/hyperlink" Target="http://www.nevo.co.il/law/74903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26498050" TargetMode="External"/><Relationship Id="rId19" Type="http://schemas.openxmlformats.org/officeDocument/2006/relationships/hyperlink" Target="http://www.nevo.co.il/law/70301/284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416" TargetMode="External"/><Relationship Id="rId22" Type="http://schemas.openxmlformats.org/officeDocument/2006/relationships/hyperlink" Target="http://www.nevo.co.il/law/84255/220.5" TargetMode="External"/><Relationship Id="rId23" Type="http://schemas.openxmlformats.org/officeDocument/2006/relationships/hyperlink" Target="http://www.nevo.co.il/law/84255" TargetMode="External"/><Relationship Id="rId24" Type="http://schemas.openxmlformats.org/officeDocument/2006/relationships/hyperlink" Target="http://www.nevo.co.il/law/74912/21" TargetMode="External"/><Relationship Id="rId25" Type="http://schemas.openxmlformats.org/officeDocument/2006/relationships/hyperlink" Target="http://www.nevo.co.il/law/74912" TargetMode="External"/><Relationship Id="rId26" Type="http://schemas.openxmlformats.org/officeDocument/2006/relationships/hyperlink" Target="http://www.nevo.co.il/case/29864017" TargetMode="External"/><Relationship Id="rId27" Type="http://schemas.openxmlformats.org/officeDocument/2006/relationships/hyperlink" Target="http://www.nevo.co.il/case/29469766" TargetMode="External"/><Relationship Id="rId28" Type="http://schemas.openxmlformats.org/officeDocument/2006/relationships/hyperlink" Target="http://www.nevo.co.il/law/70301/77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case/27555133" TargetMode="External"/><Relationship Id="rId31" Type="http://schemas.openxmlformats.org/officeDocument/2006/relationships/hyperlink" Target="http://www.nevo.co.il/case/17948122" TargetMode="External"/><Relationship Id="rId32" Type="http://schemas.openxmlformats.org/officeDocument/2006/relationships/hyperlink" Target="http://www.nevo.co.il/law/70301/77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case/6031891" TargetMode="External"/><Relationship Id="rId35" Type="http://schemas.openxmlformats.org/officeDocument/2006/relationships/hyperlink" Target="http://www.nevo.co.il/case/21506844" TargetMode="External"/><Relationship Id="rId36" Type="http://schemas.openxmlformats.org/officeDocument/2006/relationships/hyperlink" Target="http://www.nevo.co.il/law/70301/416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/77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/77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0301/77.a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law/70301/77.b" TargetMode="External"/><Relationship Id="rId45" Type="http://schemas.openxmlformats.org/officeDocument/2006/relationships/hyperlink" Target="http://www.nevo.co.il/case/23353997" TargetMode="External"/><Relationship Id="rId46" Type="http://schemas.openxmlformats.org/officeDocument/2006/relationships/hyperlink" Target="http://www.nevo.co.il/case/27272576" TargetMode="External"/><Relationship Id="rId47" Type="http://schemas.openxmlformats.org/officeDocument/2006/relationships/hyperlink" Target="http://www.nevo.co.il/case/20770422" TargetMode="External"/><Relationship Id="rId48" Type="http://schemas.openxmlformats.org/officeDocument/2006/relationships/hyperlink" Target="http://www.nevo.co.il/law/70301/77" TargetMode="External"/><Relationship Id="rId49" Type="http://schemas.openxmlformats.org/officeDocument/2006/relationships/hyperlink" Target="http://www.nevo.co.il/case/20942136" TargetMode="External"/><Relationship Id="rId50" Type="http://schemas.openxmlformats.org/officeDocument/2006/relationships/hyperlink" Target="http://www.nevo.co.il/law/70301/77" TargetMode="External"/><Relationship Id="rId51" Type="http://schemas.openxmlformats.org/officeDocument/2006/relationships/hyperlink" Target="http://www.nevo.co.il/case/5868564" TargetMode="External"/><Relationship Id="rId52" Type="http://schemas.openxmlformats.org/officeDocument/2006/relationships/hyperlink" Target="http://www.nevo.co.il/case/25647402" TargetMode="External"/><Relationship Id="rId53" Type="http://schemas.openxmlformats.org/officeDocument/2006/relationships/hyperlink" Target="http://www.nevo.co.il/case/6031891" TargetMode="External"/><Relationship Id="rId54" Type="http://schemas.openxmlformats.org/officeDocument/2006/relationships/hyperlink" Target="http://www.nevo.co.il/case/6177230" TargetMode="External"/><Relationship Id="rId55" Type="http://schemas.openxmlformats.org/officeDocument/2006/relationships/hyperlink" Target="http://www.nevo.co.il/case/7707493" TargetMode="External"/><Relationship Id="rId56" Type="http://schemas.openxmlformats.org/officeDocument/2006/relationships/hyperlink" Target="http://www.nevo.co.il/case/21477594" TargetMode="External"/><Relationship Id="rId57" Type="http://schemas.openxmlformats.org/officeDocument/2006/relationships/hyperlink" Target="http://www.nevo.co.il/case/6158650" TargetMode="External"/><Relationship Id="rId58" Type="http://schemas.openxmlformats.org/officeDocument/2006/relationships/hyperlink" Target="http://www.nevo.co.il/case/5587820" TargetMode="External"/><Relationship Id="rId59" Type="http://schemas.openxmlformats.org/officeDocument/2006/relationships/hyperlink" Target="http://www.nevo.co.il/law/70301" TargetMode="External"/><Relationship Id="rId60" Type="http://schemas.openxmlformats.org/officeDocument/2006/relationships/hyperlink" Target="http://www.nevo.co.il/case/5868564" TargetMode="External"/><Relationship Id="rId61" Type="http://schemas.openxmlformats.org/officeDocument/2006/relationships/hyperlink" Target="http://www.nevo.co.il/case/21759543" TargetMode="External"/><Relationship Id="rId62" Type="http://schemas.openxmlformats.org/officeDocument/2006/relationships/hyperlink" Target="http://www.nevo.co.il/case/24156634" TargetMode="External"/><Relationship Id="rId63" Type="http://schemas.openxmlformats.org/officeDocument/2006/relationships/hyperlink" Target="http://www.nevo.co.il/law/74903" TargetMode="External"/><Relationship Id="rId64" Type="http://schemas.openxmlformats.org/officeDocument/2006/relationships/hyperlink" Target="https://supreme.court.gov.il/" TargetMode="External"/><Relationship Id="rId65" Type="http://schemas.openxmlformats.org/officeDocument/2006/relationships/hyperlink" Target="http://www.nevo.co.il/advertisements/nevo-100.doc" TargetMode="External"/><Relationship Id="rId66" Type="http://schemas.openxmlformats.org/officeDocument/2006/relationships/header" Target="header1.xml"/><Relationship Id="rId67" Type="http://schemas.openxmlformats.org/officeDocument/2006/relationships/footer" Target="footer1.xml"/><Relationship Id="rId68" Type="http://schemas.openxmlformats.org/officeDocument/2006/relationships/numbering" Target="numbering.xml"/><Relationship Id="rId69" Type="http://schemas.openxmlformats.org/officeDocument/2006/relationships/fontTable" Target="fontTable.xml"/><Relationship Id="rId70" Type="http://schemas.openxmlformats.org/officeDocument/2006/relationships/settings" Target="settings.xml"/><Relationship Id="rId7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2024-04-02T13:21:00Z</dcterms:created>
  <dc:creator>h4</dc:creator>
  <dc:description/>
  <cp:keywords/>
  <dc:language>en-IL</dc:language>
  <cp:lastModifiedBy>hofit</cp:lastModifiedBy>
  <cp:lastPrinted>2024-04-01T15:15:00Z</cp:lastPrinted>
  <dcterms:modified xsi:type="dcterms:W3CDTF">2024-04-02T13:21:00Z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שרון שיר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26498050:2;29469766;27555133;17948122;6031891:2;21506844;23353997;27272576;20770422;20942136;5868564:2;25647402;6177230;7707493;21477594;6158650;5587820;21759543;24156634</vt:lpwstr>
  </property>
  <property fmtid="{D5CDD505-2E9C-101B-9397-08002B2CF9AE}" pid="9" name="CITY">
    <vt:lpwstr/>
  </property>
  <property fmtid="{D5CDD505-2E9C-101B-9397-08002B2CF9AE}" pid="10" name="DATE">
    <vt:lpwstr>20240401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אלרון;ח' כבוב;ר' רונן</vt:lpwstr>
  </property>
  <property fmtid="{D5CDD505-2E9C-101B-9397-08002B2CF9AE}" pid="14" name="LAWLISTTMP1">
    <vt:lpwstr>70301/284;416:2;077:6;077.a;077.b</vt:lpwstr>
  </property>
  <property fmtid="{D5CDD505-2E9C-101B-9397-08002B2CF9AE}" pid="15" name="LAWLISTTMP2">
    <vt:lpwstr>84255/220.5</vt:lpwstr>
  </property>
  <property fmtid="{D5CDD505-2E9C-101B-9397-08002B2CF9AE}" pid="16" name="LAWLISTTMP3">
    <vt:lpwstr>74912/021</vt:lpwstr>
  </property>
  <property fmtid="{D5CDD505-2E9C-101B-9397-08002B2CF9AE}" pid="17" name="LAWLISTTMP4">
    <vt:lpwstr>74903</vt:lpwstr>
  </property>
  <property fmtid="{D5CDD505-2E9C-101B-9397-08002B2CF9AE}" pid="18" name="LAWYER">
    <vt:lpwstr>עמרי כהן;סלבה רודנקו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נעה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NOSE11">
    <vt:lpwstr>עונשין</vt:lpwstr>
  </property>
  <property fmtid="{D5CDD505-2E9C-101B-9397-08002B2CF9AE}" pid="30" name="NOSE110">
    <vt:lpwstr/>
  </property>
  <property fmtid="{D5CDD505-2E9C-101B-9397-08002B2CF9AE}" pid="31" name="NOSE12">
    <vt:lpwstr>עונשין</vt:lpwstr>
  </property>
  <property fmtid="{D5CDD505-2E9C-101B-9397-08002B2CF9AE}" pid="32" name="NOSE13">
    <vt:lpwstr>עונשין</vt:lpwstr>
  </property>
  <property fmtid="{D5CDD505-2E9C-101B-9397-08002B2CF9AE}" pid="33" name="NOSE14">
    <vt:lpwstr>עונשין</vt:lpwstr>
  </property>
  <property fmtid="{D5CDD505-2E9C-101B-9397-08002B2CF9AE}" pid="34" name="NOSE15">
    <vt:lpwstr>עונשין</vt:lpwstr>
  </property>
  <property fmtid="{D5CDD505-2E9C-101B-9397-08002B2CF9AE}" pid="35" name="NOSE16">
    <vt:lpwstr>עונשין</vt:lpwstr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77;77;77;77;77;77</vt:lpwstr>
  </property>
  <property fmtid="{D5CDD505-2E9C-101B-9397-08002B2CF9AE}" pid="40" name="NOSE21">
    <vt:lpwstr>פיצויים והוצאות</vt:lpwstr>
  </property>
  <property fmtid="{D5CDD505-2E9C-101B-9397-08002B2CF9AE}" pid="41" name="NOSE210">
    <vt:lpwstr/>
  </property>
  <property fmtid="{D5CDD505-2E9C-101B-9397-08002B2CF9AE}" pid="42" name="NOSE22">
    <vt:lpwstr>ענישה</vt:lpwstr>
  </property>
  <property fmtid="{D5CDD505-2E9C-101B-9397-08002B2CF9AE}" pid="43" name="NOSE23">
    <vt:lpwstr>ענישה</vt:lpwstr>
  </property>
  <property fmtid="{D5CDD505-2E9C-101B-9397-08002B2CF9AE}" pid="44" name="NOSE24">
    <vt:lpwstr>עבירות</vt:lpwstr>
  </property>
  <property fmtid="{D5CDD505-2E9C-101B-9397-08002B2CF9AE}" pid="45" name="NOSE25">
    <vt:lpwstr>עבירות</vt:lpwstr>
  </property>
  <property fmtid="{D5CDD505-2E9C-101B-9397-08002B2CF9AE}" pid="46" name="NOSE26">
    <vt:lpwstr>עבירות</vt:lpwstr>
  </property>
  <property fmtid="{D5CDD505-2E9C-101B-9397-08002B2CF9AE}" pid="47" name="NOSE27">
    <vt:lpwstr/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1447;1446;1446;1443;1443;1443</vt:lpwstr>
  </property>
  <property fmtid="{D5CDD505-2E9C-101B-9397-08002B2CF9AE}" pid="51" name="NOSE31">
    <vt:lpwstr>פיצויים לקורבן</vt:lpwstr>
  </property>
  <property fmtid="{D5CDD505-2E9C-101B-9397-08002B2CF9AE}" pid="52" name="NOSE310">
    <vt:lpwstr/>
  </property>
  <property fmtid="{D5CDD505-2E9C-101B-9397-08002B2CF9AE}" pid="53" name="NOSE32">
    <vt:lpwstr>מדיניות ענישה: התערבות ערכאת ערעור</vt:lpwstr>
  </property>
  <property fmtid="{D5CDD505-2E9C-101B-9397-08002B2CF9AE}" pid="54" name="NOSE33">
    <vt:lpwstr>מדיניות ענישה: מתחם הענישה</vt:lpwstr>
  </property>
  <property fmtid="{D5CDD505-2E9C-101B-9397-08002B2CF9AE}" pid="55" name="NOSE34">
    <vt:lpwstr>עבירות כלכליות</vt:lpwstr>
  </property>
  <property fmtid="{D5CDD505-2E9C-101B-9397-08002B2CF9AE}" pid="56" name="NOSE35">
    <vt:lpwstr>מירמה והפרת אמונים</vt:lpwstr>
  </property>
  <property fmtid="{D5CDD505-2E9C-101B-9397-08002B2CF9AE}" pid="57" name="NOSE36">
    <vt:lpwstr>תחבולה</vt:lpwstr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9013;8982;15752;8883;8848;</vt:lpwstr>
  </property>
  <property fmtid="{D5CDD505-2E9C-101B-9397-08002B2CF9AE}" pid="62" name="PADIDATE">
    <vt:lpwstr>20240402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>עפ</vt:lpwstr>
  </property>
  <property fmtid="{D5CDD505-2E9C-101B-9397-08002B2CF9AE}" pid="67" name="PROCNUM">
    <vt:lpwstr>2858</vt:lpwstr>
  </property>
  <property fmtid="{D5CDD505-2E9C-101B-9397-08002B2CF9AE}" pid="68" name="PROCYEAR">
    <vt:lpwstr>23</vt:lpwstr>
  </property>
  <property fmtid="{D5CDD505-2E9C-101B-9397-08002B2CF9AE}" pid="69" name="PSAKDIN">
    <vt:lpwstr>פסק-דין</vt:lpwstr>
  </property>
  <property fmtid="{D5CDD505-2E9C-101B-9397-08002B2CF9AE}" pid="70" name="TYPE">
    <vt:lpwstr>1</vt:lpwstr>
  </property>
  <property fmtid="{D5CDD505-2E9C-101B-9397-08002B2CF9AE}" pid="71" name="TYPE_ABS_DATE">
    <vt:lpwstr>410020240401</vt:lpwstr>
  </property>
  <property fmtid="{D5CDD505-2E9C-101B-9397-08002B2CF9AE}" pid="72" name="TYPE_N_DATE">
    <vt:lpwstr>41020240401</vt:lpwstr>
  </property>
  <property fmtid="{D5CDD505-2E9C-101B-9397-08002B2CF9AE}" pid="73" name="VOLUME">
    <vt:lpwstr/>
  </property>
  <property fmtid="{D5CDD505-2E9C-101B-9397-08002B2CF9AE}" pid="74" name="WORDNUMPAGES">
    <vt:lpwstr>21</vt:lpwstr>
  </property>
</Properties>
</file>