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2859/18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ארוף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9433-08-17</w:t>
              </w:r>
            </w:hyperlink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25.2.2018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29.10.2018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רט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נה</w:t>
            </w:r>
            <w:r>
              <w:rPr>
                <w:rtl w:val="true"/>
              </w:rPr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2016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בעיקרו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אופרטיבית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₪,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וחיסכון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ובהגדלת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הצומחת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גוזר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בכיבוד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ולהסתמכות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חורגת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בעיקרו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אופרטיבית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משהוסכם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ייכללו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לכרסם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כמכשיר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ההסתמכות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מסכים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Start_Write"/>
      <w:bookmarkStart w:id="15" w:name="Writer_Name"/>
      <w:bookmarkEnd w:id="14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  <w:u w:val="single"/>
        </w:rPr>
      </w:pPr>
      <w:r>
        <w:rPr>
          <w:rFonts w:eastAsia="Calibri"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ר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קלמן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היימן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hyperlink r:id="rId23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9433-08-17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25.2.2018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העולם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258,000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Miriam"/>
          <w:b/>
          <w:spacing w:val="10"/>
          <w:sz w:val="22"/>
          <w:szCs w:val="28"/>
        </w:rPr>
      </w:pPr>
      <w:r>
        <w:rPr>
          <w:rFonts w:eastAsia="Calibri"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15.1.2018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הראשון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31.7.2018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hyperlink r:id="rId24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158-08-17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שצורף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התיק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המנוחה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25.5.2017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גמלה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בליבו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ממניעים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לאומניים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יהודייה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28.5.2017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לשכנעה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לשכם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משסירבה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ובצמיג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להסתירה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גנב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האשראי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הרכב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הגנוב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מחולון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לטייבה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הגנוב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בשטחי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הפלסטינית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2,700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מתוכם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2,500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הצלחה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האשראי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מהמנוחה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26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1977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גניבת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413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4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99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גנוב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413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יא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הונאה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בכרטיס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חיוב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17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כרטיסי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החיוב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תשמ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1986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25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כחוק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12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34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הכניסה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לישראל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התשי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1952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כחוק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5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12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36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הכניסה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לישראל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275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38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מזויף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420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לאומניים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11.7.2017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יתבקשו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תעתור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עזבון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0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77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41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25.2.2018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לחייבו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כהגדרתו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43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המאבק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בטרור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התשע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2016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שיחולו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השחרורים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וקציבת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40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יסטה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סימבולי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ובשלטון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6-3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העולם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258,000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דנן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סטיית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מנוגדת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שבבסיסן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שבקיום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במוסד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סמלית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מלפסוק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שקילת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נחסך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ובמשפחתה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לבזבוז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יקר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העולם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דקלרטיבית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עתידיות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קציבת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עתידית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אופרטיבית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ההסתמכות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זכויותיו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נפקויות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קציבת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חנינה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שחרור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עתידית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וחיסכון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בעלויות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העומס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הישראלית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תפקידם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בהגברת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ובהגדלת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שיעורי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3068/10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1.11.2010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1421/10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18.7.2012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2021/17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מצגר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30.04.2017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להסכמות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3036/10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נגר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פרקליטות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המדינה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מחוז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אביב</w:t>
      </w:r>
      <w:r>
        <w:rPr>
          <w:rFonts w:cs="Miriam"/>
          <w:sz w:val="28"/>
          <w:rtl w:val="true"/>
        </w:rPr>
        <w:t>)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32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17.8.2006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2274/12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27.2.2013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מהסדרים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5504/12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7.2.3013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7757/11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13.2.2013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5845/14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20.4.2016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הצומחת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גוזר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1958/98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נז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8"/>
          <w:szCs w:val="28"/>
        </w:rPr>
        <w:t>577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8"/>
          <w:szCs w:val="28"/>
        </w:rPr>
        <w:t>606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1998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האיזון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לקשיים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הראייתיים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הצפויים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לתביעה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תידרש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לנהל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במלואו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,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ולהסתמכות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44-40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14-12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10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חורגת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במלואו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קונקרטי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ובמשפחתה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וסבל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שסבלה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בתקשורת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5559/16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4.8.2016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1872/16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דז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לדטי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18.5.2017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8479/16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30.5.2018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קונקרטי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סטייה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מהסדרי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תצדיק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בוחנת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ומבררת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בתוצאתו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5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248/18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גבאי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2.7.2018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4751/17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17.7.2018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בתוצאה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הסופית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כיוון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הנוסף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מבחינה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אופרטיבית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</w:rPr>
        <w:t>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מזוז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 אני סבור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לצורך כך איני נזקק לכלל אי ההתערבות של ערכאת הערעור בגזר דין של הערכאה הדיונית</w:t>
      </w:r>
      <w:r>
        <w:rPr>
          <w:rtl w:val="true"/>
        </w:rPr>
        <w:t xml:space="preserve">. </w:t>
      </w:r>
      <w:r>
        <w:rPr>
          <w:rtl w:val="true"/>
        </w:rPr>
        <w:t xml:space="preserve">לדעתי לא נפל כל פגם בהחלטת </w:t>
      </w:r>
      <w:r>
        <w:rPr>
          <w:rtl w:val="true"/>
        </w:rPr>
        <w:t>בית משפט קמא</w:t>
      </w:r>
      <w:r>
        <w:rPr>
          <w:rtl w:val="true"/>
        </w:rPr>
        <w:t xml:space="preserve">, </w:t>
      </w:r>
      <w:r>
        <w:rPr>
          <w:rtl w:val="true"/>
        </w:rPr>
        <w:t>אשר בדין לא ראה לנכון להתעלם כליל מהעבירות הנוספות בהן הורשע המערער</w:t>
      </w:r>
      <w:r>
        <w:rPr>
          <w:rtl w:val="true"/>
        </w:rPr>
        <w:t xml:space="preserve">, </w:t>
      </w:r>
      <w:r>
        <w:rPr>
          <w:rtl w:val="true"/>
        </w:rPr>
        <w:t>אך יחד עם זאת כיבד את התוצאה העונשית עליה הוסכם במסגרת הסדר הטיעון</w:t>
      </w:r>
      <w:r>
        <w:rPr>
          <w:rtl w:val="true"/>
        </w:rPr>
        <w:t xml:space="preserve">. </w:t>
      </w:r>
      <w:r>
        <w:rPr>
          <w:rtl w:val="true"/>
        </w:rPr>
        <w:t>אסביר בקצרה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נקבע</w:t>
      </w:r>
      <w:r>
        <w:rPr>
          <w:rtl w:val="true"/>
        </w:rPr>
        <w:t xml:space="preserve">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המבטא את עיקרון הגמול בענישה</w:t>
      </w:r>
      <w:r>
        <w:rPr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>
          <w:rtl w:val="true"/>
        </w:rPr>
        <w:t>"</w:t>
      </w:r>
      <w:r>
        <w:rPr>
          <w:rtl w:val="true"/>
        </w:rPr>
        <w:t>העיקרון המנחה בענישה</w:t>
      </w:r>
      <w:r>
        <w:rPr>
          <w:rtl w:val="true"/>
        </w:rPr>
        <w:t>" (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מעקרון ההלימה נגזרת בין היתר החובה כי לכל עבירה בה מורשע נאשם יינתן ביטוי עונשי הולם בגזר הדין</w:t>
      </w:r>
      <w:r>
        <w:rPr>
          <w:rtl w:val="true"/>
        </w:rPr>
        <w:t xml:space="preserve">, </w:t>
      </w:r>
      <w:r>
        <w:rPr>
          <w:rtl w:val="true"/>
        </w:rPr>
        <w:t>בהתחשב ב</w:t>
      </w:r>
      <w:r>
        <w:rPr>
          <w:rtl w:val="true"/>
        </w:rPr>
        <w:t>"</w:t>
      </w:r>
      <w:r>
        <w:rPr>
          <w:spacing w:val="6"/>
          <w:rtl w:val="true"/>
        </w:rPr>
        <w:t>חומרת מעשה העבירה בנסיבותיו ומידת אשמו של הנאשם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), </w:t>
      </w:r>
      <w:r>
        <w:rPr>
          <w:rtl w:val="true"/>
        </w:rPr>
        <w:t>ותוך התחשבות בשיקולי ענישה נוספים</w:t>
      </w:r>
      <w:r>
        <w:rPr>
          <w:rtl w:val="true"/>
        </w:rPr>
        <w:t xml:space="preserve">, </w:t>
      </w:r>
      <w:r>
        <w:rPr>
          <w:rtl w:val="true"/>
        </w:rPr>
        <w:t>כגון שיקום</w:t>
      </w:r>
      <w:r>
        <w:rPr>
          <w:rtl w:val="true"/>
        </w:rPr>
        <w:t xml:space="preserve">, </w:t>
      </w:r>
      <w:r>
        <w:rPr>
          <w:rtl w:val="true"/>
        </w:rPr>
        <w:t xml:space="preserve">הגנה על הציבור והרתעה אישית וכללית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; </w:t>
      </w:r>
      <w:hyperlink r:id="rId6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7907/14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18-14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22.2.2015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ואזנה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הורשע לפי הודאתו במסגרת הסדר טיעון בעבירת רצח</w:t>
      </w:r>
      <w:r>
        <w:rPr>
          <w:rtl w:val="true"/>
        </w:rPr>
        <w:t xml:space="preserve">, </w:t>
      </w:r>
      <w:r>
        <w:rPr>
          <w:rtl w:val="true"/>
        </w:rPr>
        <w:t xml:space="preserve">ובנוסף </w:t>
      </w:r>
      <w:r>
        <w:rPr>
          <w:rtl w:val="true"/>
        </w:rPr>
        <w:t xml:space="preserve">- </w:t>
      </w:r>
      <w:r>
        <w:rPr>
          <w:rtl w:val="true"/>
        </w:rPr>
        <w:t xml:space="preserve">בשורה ארוכה של עבירות אחרות שבוצעו במסגרת אותה פרשה וכן בעבירות מתיק נוסף שצורף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הנוספות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במסגרת הסדר הטיעון שנערך בין המדינה למערער הוסכם כי יוטל עליו עונש של מאסר עולם בגין 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וכי לא יתבקשו </w:t>
      </w:r>
      <w:r>
        <w:rPr>
          <w:rtl w:val="true"/>
        </w:rPr>
        <w:t>על ידי</w:t>
      </w:r>
      <w:r>
        <w:rPr>
          <w:rtl w:val="true"/>
        </w:rPr>
        <w:t xml:space="preserve"> התביעה עונשי מאסר נוספים בגין הרשעתו בעבירות הנוספות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בית משפט קמא</w:t>
      </w:r>
      <w:r>
        <w:rPr>
          <w:rtl w:val="true"/>
        </w:rPr>
        <w:t xml:space="preserve"> החליט לכבד את הסדר הטיעון בהיבט של התוצאה העונשית עליה הוסכם בין התביעה למערער</w:t>
      </w:r>
      <w:r>
        <w:rPr>
          <w:rtl w:val="true"/>
        </w:rPr>
        <w:t xml:space="preserve">, </w:t>
      </w:r>
      <w:r>
        <w:rPr>
          <w:rtl w:val="true"/>
        </w:rPr>
        <w:t>אך יחד עם זאת לא ראה להתעלם לחלוטין מהעבירות הנוספות בהן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והטיל עליו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בגין עבירות אלה</w:t>
      </w:r>
      <w:r>
        <w:rPr>
          <w:rtl w:val="true"/>
        </w:rPr>
        <w:t xml:space="preserve">, </w:t>
      </w:r>
      <w:r>
        <w:rPr>
          <w:rtl w:val="true"/>
        </w:rPr>
        <w:t xml:space="preserve">תוך שקבע כי המאסר בגין העבירות הנוספות ירוּצה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בחופף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לעונש מאסר העולם שהושת בגין עבירת הרצח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אני סבור כאמור כי בדין לא התעלם </w:t>
      </w:r>
      <w:r>
        <w:rPr>
          <w:rtl w:val="true"/>
        </w:rPr>
        <w:t>בית משפט קמא</w:t>
      </w:r>
      <w:r>
        <w:rPr>
          <w:rtl w:val="true"/>
        </w:rPr>
        <w:t xml:space="preserve"> מהעבירות הנוספות בהן הורשע 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בפני התביעה עמדה האפשרות שלא לכלול בכתב האישום המתוקן במסגרת הסדר הטיעון את העבירות הנוספות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משהוסכם כי עבירות אלה ייכללו בכתב האישום והמערער הורשע בעבירות אלה </w:t>
      </w:r>
      <w:r>
        <w:rPr>
          <w:rtl w:val="true"/>
        </w:rPr>
        <w:t>–</w:t>
      </w:r>
      <w:r>
        <w:rPr>
          <w:rtl w:val="true"/>
        </w:rPr>
        <w:t xml:space="preserve"> שאינן מעטות ואינן קלות משקל </w:t>
      </w:r>
      <w:r>
        <w:rPr>
          <w:rtl w:val="true"/>
        </w:rPr>
        <w:t>–</w:t>
      </w:r>
      <w:r>
        <w:rPr>
          <w:rtl w:val="true"/>
        </w:rPr>
        <w:t xml:space="preserve"> לא היה מקום שבית המשפט יתעלם מכך לחלוטין בגזירת הדין</w:t>
      </w:r>
      <w:r>
        <w:rPr>
          <w:rtl w:val="true"/>
        </w:rPr>
        <w:t xml:space="preserve">, </w:t>
      </w:r>
      <w:r>
        <w:rPr>
          <w:rtl w:val="true"/>
        </w:rPr>
        <w:t>וזאת מכוח עיקרון ההלימה כאמור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spacing w:val="6"/>
          <w:sz w:val="28"/>
          <w:sz w:val="28"/>
          <w:rtl w:val="true"/>
        </w:rPr>
        <w:t>בית המשפט לא ידחה בנקל הסדר טיעון לעונש שמובא לאישורו</w:t>
      </w:r>
      <w:r>
        <w:rPr>
          <w:spacing w:val="6"/>
          <w:sz w:val="28"/>
          <w:rtl w:val="true"/>
        </w:rPr>
        <w:t xml:space="preserve">. </w:t>
      </w:r>
      <w:r>
        <w:rPr>
          <w:spacing w:val="6"/>
          <w:sz w:val="28"/>
          <w:sz w:val="28"/>
          <w:rtl w:val="true"/>
        </w:rPr>
        <w:t>זאת לנוכח קיומם של שיקולים כבדי משקל התומכים במוסד הסדרי הטיעון</w:t>
      </w:r>
      <w:r>
        <w:rPr>
          <w:spacing w:val="6"/>
          <w:sz w:val="28"/>
          <w:rtl w:val="true"/>
        </w:rPr>
        <w:t xml:space="preserve">, </w:t>
      </w:r>
      <w:r>
        <w:rPr>
          <w:spacing w:val="6"/>
          <w:sz w:val="28"/>
          <w:sz w:val="28"/>
          <w:rtl w:val="true"/>
        </w:rPr>
        <w:t>ובראשם האינטרס הציבורי שלא לכרסם במעמדו כמכשיר אכיפה והן כדי לא לפגוע באינטרס ההסתמכות של הנאשם החותם על הסדר</w:t>
      </w:r>
      <w:r>
        <w:rPr>
          <w:sz w:val="28"/>
          <w:rtl w:val="true"/>
        </w:rPr>
        <w:t>"</w:t>
      </w:r>
      <w:r>
        <w:rPr>
          <w:rtl w:val="true"/>
        </w:rPr>
        <w:t xml:space="preserve"> (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921/17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05</w:t>
      </w:r>
      <w:r>
        <w:rPr>
          <w:rFonts w:cs="Century" w:ascii="Century" w:hAnsi="Century"/>
        </w:rPr>
        <w:t>.2017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וראו גם </w:t>
      </w:r>
      <w:hyperlink r:id="rId6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2021/17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מצגר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והאסמכתאות שם </w:t>
      </w:r>
      <w:r>
        <w:rPr>
          <w:sz w:val="28"/>
          <w:rtl w:val="true"/>
        </w:rPr>
        <w:t>(</w:t>
      </w:r>
      <w:r>
        <w:rPr>
          <w:sz w:val="28"/>
        </w:rPr>
        <w:t>30.4.2017</w:t>
      </w:r>
      <w:r>
        <w:rPr>
          <w:sz w:val="28"/>
          <w:rtl w:val="true"/>
        </w:rPr>
        <w:t>))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עם 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 המשפט אינו כבול להסכמות הצדדים בהסדר הטיעון לעניין העונש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ובבואו לגזור את הדין </w:t>
      </w:r>
      <w:r>
        <w:rPr>
          <w:sz w:val="28"/>
          <w:rtl w:val="true"/>
        </w:rPr>
        <w:t>"</w:t>
      </w:r>
      <w:r>
        <w:rPr>
          <w:spacing w:val="6"/>
          <w:sz w:val="28"/>
          <w:sz w:val="28"/>
          <w:rtl w:val="true"/>
        </w:rPr>
        <w:t>הוא רשאי ואף חייב לבחון את נאותות הסדר הטיעון אשר הובא לפניו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וראו גם </w:t>
      </w:r>
      <w:r>
        <w:rPr>
          <w:rtl w:val="true"/>
        </w:rPr>
        <w:t>ב</w:t>
      </w:r>
      <w:hyperlink r:id="rId6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1958/98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פלוני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נז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</w:rPr>
        <w:t>577</w:t>
      </w:r>
      <w:r>
        <w:rPr>
          <w:sz w:val="28"/>
          <w:rtl w:val="true"/>
        </w:rPr>
        <w:t xml:space="preserve">, </w:t>
      </w:r>
      <w:r>
        <w:rPr>
          <w:sz w:val="28"/>
        </w:rPr>
        <w:t>605</w:t>
      </w:r>
      <w:r>
        <w:rPr>
          <w:rFonts w:cs="Miriam"/>
          <w:spacing w:val="0"/>
          <w:szCs w:val="24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2002</w:t>
      </w:r>
      <w:r>
        <w:rPr>
          <w:sz w:val="28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במסגרת שיקול דעתו כאמור</w:t>
      </w:r>
      <w:r>
        <w:rPr>
          <w:rtl w:val="true"/>
        </w:rPr>
        <w:t xml:space="preserve">, </w:t>
      </w:r>
      <w:r>
        <w:rPr>
          <w:rtl w:val="true"/>
        </w:rPr>
        <w:t>ועל מנת ליישב בין חובתו לכיבוד עיקרון ההלימה הקבוע בחוק לבין הרצון שלא לדחות הסדר טיעון המובא לאישורו</w:t>
      </w:r>
      <w:r>
        <w:rPr>
          <w:rtl w:val="true"/>
        </w:rPr>
        <w:t xml:space="preserve">, </w:t>
      </w:r>
      <w:r>
        <w:rPr>
          <w:rtl w:val="true"/>
        </w:rPr>
        <w:t xml:space="preserve">מצא כאמור </w:t>
      </w:r>
      <w:r>
        <w:rPr>
          <w:rtl w:val="true"/>
        </w:rPr>
        <w:t>בית משפט קמא</w:t>
      </w:r>
      <w:r>
        <w:rPr>
          <w:rtl w:val="true"/>
        </w:rPr>
        <w:t xml:space="preserve"> להטיל על המערער עונש מאסר נוסף</w:t>
      </w:r>
      <w:r>
        <w:rPr>
          <w:rtl w:val="true"/>
        </w:rPr>
        <w:t xml:space="preserve">, </w:t>
      </w:r>
      <w:r>
        <w:rPr>
          <w:rtl w:val="true"/>
        </w:rPr>
        <w:t>אך קבע כי זה ירוצה במלואו בחופף</w:t>
      </w:r>
      <w:r>
        <w:rPr>
          <w:rtl w:val="true"/>
        </w:rPr>
        <w:t xml:space="preserve">, </w:t>
      </w:r>
      <w:r>
        <w:rPr>
          <w:rtl w:val="true"/>
        </w:rPr>
        <w:t xml:space="preserve">אף שבהעדר הסדר טיעון היה מקום לענישה מצטברת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ואזנה</w:t>
      </w:r>
      <w:r>
        <w:rPr>
          <w:rFonts w:ascii="Century" w:hAnsi="Century" w:cs="Century"/>
          <w:sz w:val="22"/>
          <w:sz w:val="22"/>
          <w:rtl w:val="true"/>
        </w:rPr>
        <w:t xml:space="preserve"> שם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6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10173/16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טאהא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14.2.2017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6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5385/16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z w:val="22"/>
          <w:szCs w:val="24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7.3.2017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 xml:space="preserve">בכך ניתן </w:t>
      </w:r>
      <w:r>
        <w:rPr>
          <w:rtl w:val="true"/>
        </w:rPr>
        <w:t>על ידי</w:t>
      </w:r>
      <w:r>
        <w:rPr>
          <w:rtl w:val="true"/>
        </w:rPr>
        <w:t xml:space="preserve"> בית המשפט ביטוי</w:t>
      </w:r>
      <w:r>
        <w:rPr>
          <w:rtl w:val="true"/>
        </w:rPr>
        <w:t xml:space="preserve">, </w:t>
      </w:r>
      <w:r>
        <w:rPr>
          <w:rtl w:val="true"/>
        </w:rPr>
        <w:t>גם אם סמלי בלבד</w:t>
      </w:r>
      <w:r>
        <w:rPr>
          <w:rtl w:val="true"/>
        </w:rPr>
        <w:t xml:space="preserve">, </w:t>
      </w:r>
      <w:r>
        <w:rPr>
          <w:rtl w:val="true"/>
        </w:rPr>
        <w:t>לעיקרון ההלימה</w:t>
      </w:r>
      <w:r>
        <w:rPr>
          <w:rtl w:val="true"/>
        </w:rPr>
        <w:t xml:space="preserve">, </w:t>
      </w:r>
      <w:r>
        <w:rPr>
          <w:rtl w:val="true"/>
        </w:rPr>
        <w:t>מבלי לסטות למעשה מהתוצאה העונשית עליה הוסכם בהסדר הטיעון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מן הראוי לציין</w:t>
      </w:r>
      <w:r>
        <w:rPr>
          <w:rtl w:val="true"/>
        </w:rPr>
        <w:t xml:space="preserve">, </w:t>
      </w:r>
      <w:r>
        <w:rPr>
          <w:rtl w:val="true"/>
        </w:rPr>
        <w:t>כי במהלך הדיון לפנינו הודתה באת כוח המדינה כי נפלה טעות מצד התביעה באופן ניסוח הסדר הטיעון בכך שלא ניתן בהסדר ביטוי עונשי לעבירות הנוספות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למרות ניסיונותיו</w:t>
      </w:r>
      <w:r>
        <w:rPr>
          <w:rtl w:val="true"/>
        </w:rPr>
        <w:t xml:space="preserve">, </w:t>
      </w:r>
      <w:r>
        <w:rPr>
          <w:rtl w:val="true"/>
        </w:rPr>
        <w:t xml:space="preserve">לא עלה בידי בא כוח המערער להצביע על תרחיש בו תהיה נפקות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מעשית</w:t>
      </w:r>
      <w:r>
        <w:rPr>
          <w:rtl w:val="true"/>
        </w:rPr>
        <w:t xml:space="preserve"> עונשית לעונש הנוסף החופף במלואו שהושת על מרשו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 אני סבור כי דין הערעור להידחות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start="6480"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BODYVERDICT"/>
        <w:spacing w:lineRule="auto" w:line="360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וילנר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גם להשקפתי ניתן היה לאשר את הסדר הטיעון במלואו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בהינתן השיקולים שעליהם עמדנו בפסיקתנו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אולם בהינתן הטעמים המפורטים בפסקה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לחוות דעתה של חברתי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ומשנמצא כי עונש המאסר הנוסף שהוטל בחופף אינו שונה מהותית מהעונש שעליו הסכימו הצדדים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אף אני סבור כי אין מקום להתערבותנו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הוחלט לדחות את הערעור כאמור בפסק דינה של 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וילנר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14"/>
          <w:szCs w:val="20"/>
        </w:rPr>
      </w:pPr>
      <w:r>
        <w:rPr>
          <w:rFonts w:cs="Times New Roman" w:ascii="Times New Roman" w:hAnsi="Times New Roman"/>
          <w:sz w:val="14"/>
          <w:szCs w:val="20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בכסלו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ט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11.11.2018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18028590</w:t>
      </w:r>
      <w:r>
        <w:rPr>
          <w:sz w:val="16"/>
          <w:rtl w:val="true"/>
        </w:rPr>
        <w:t>_</w:t>
      </w:r>
      <w:r>
        <w:rPr>
          <w:sz w:val="16"/>
        </w:rPr>
        <w:t>R01.doc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  <w:r>
        <w:rPr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54678313-2859/18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2859/18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ארוף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8967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77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413b" TargetMode="External"/><Relationship Id="rId13" Type="http://schemas.openxmlformats.org/officeDocument/2006/relationships/hyperlink" Target="http://www.nevo.co.il/law/70301/413ja" TargetMode="External"/><Relationship Id="rId14" Type="http://schemas.openxmlformats.org/officeDocument/2006/relationships/hyperlink" Target="http://www.nevo.co.il/law/70301/420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2265" TargetMode="External"/><Relationship Id="rId17" Type="http://schemas.openxmlformats.org/officeDocument/2006/relationships/hyperlink" Target="http://www.nevo.co.il/law/72265/17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law/90721/12.1" TargetMode="External"/><Relationship Id="rId20" Type="http://schemas.openxmlformats.org/officeDocument/2006/relationships/hyperlink" Target="http://www.nevo.co.il/law/141771" TargetMode="External"/><Relationship Id="rId21" Type="http://schemas.openxmlformats.org/officeDocument/2006/relationships/hyperlink" Target="http://www.nevo.co.il/law/141771/2" TargetMode="External"/><Relationship Id="rId22" Type="http://schemas.openxmlformats.org/officeDocument/2006/relationships/hyperlink" Target="http://www.nevo.co.il/law/141771/40" TargetMode="External"/><Relationship Id="rId23" Type="http://schemas.openxmlformats.org/officeDocument/2006/relationships/hyperlink" Target="http://www.nevo.co.il/case/22896795" TargetMode="External"/><Relationship Id="rId24" Type="http://schemas.openxmlformats.org/officeDocument/2006/relationships/hyperlink" Target="http://www.nevo.co.il/case/22876151" TargetMode="External"/><Relationship Id="rId25" Type="http://schemas.openxmlformats.org/officeDocument/2006/relationships/hyperlink" Target="http://www.nevo.co.il/law/70301/300.a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13b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413ja" TargetMode="External"/><Relationship Id="rId30" Type="http://schemas.openxmlformats.org/officeDocument/2006/relationships/hyperlink" Target="http://www.nevo.co.il/law/72265/17" TargetMode="External"/><Relationship Id="rId31" Type="http://schemas.openxmlformats.org/officeDocument/2006/relationships/hyperlink" Target="http://www.nevo.co.il/law/72265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law/90721/12.1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law/90721/12.1" TargetMode="External"/><Relationship Id="rId36" Type="http://schemas.openxmlformats.org/officeDocument/2006/relationships/hyperlink" Target="http://www.nevo.co.il/law/90721" TargetMode="External"/><Relationship Id="rId37" Type="http://schemas.openxmlformats.org/officeDocument/2006/relationships/hyperlink" Target="http://www.nevo.co.il/law/70301/275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20" TargetMode="External"/><Relationship Id="rId40" Type="http://schemas.openxmlformats.org/officeDocument/2006/relationships/hyperlink" Target="http://www.nevo.co.il/law/70301/77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141771/2" TargetMode="External"/><Relationship Id="rId43" Type="http://schemas.openxmlformats.org/officeDocument/2006/relationships/hyperlink" Target="http://www.nevo.co.il/law/141771" TargetMode="External"/><Relationship Id="rId44" Type="http://schemas.openxmlformats.org/officeDocument/2006/relationships/hyperlink" Target="http://www.nevo.co.il/law/141771/40" TargetMode="External"/><Relationship Id="rId45" Type="http://schemas.openxmlformats.org/officeDocument/2006/relationships/hyperlink" Target="http://www.nevo.co.il/case/6244684" TargetMode="External"/><Relationship Id="rId46" Type="http://schemas.openxmlformats.org/officeDocument/2006/relationships/hyperlink" Target="http://www.nevo.co.il/case/6243572" TargetMode="External"/><Relationship Id="rId47" Type="http://schemas.openxmlformats.org/officeDocument/2006/relationships/hyperlink" Target="http://www.nevo.co.il/case/22294063" TargetMode="External"/><Relationship Id="rId48" Type="http://schemas.openxmlformats.org/officeDocument/2006/relationships/hyperlink" Target="http://www.nevo.co.il/case/5871569" TargetMode="External"/><Relationship Id="rId49" Type="http://schemas.openxmlformats.org/officeDocument/2006/relationships/hyperlink" Target="http://www.nevo.co.il/case/5578447" TargetMode="External"/><Relationship Id="rId50" Type="http://schemas.openxmlformats.org/officeDocument/2006/relationships/hyperlink" Target="http://www.nevo.co.il/case/5590393" TargetMode="External"/><Relationship Id="rId51" Type="http://schemas.openxmlformats.org/officeDocument/2006/relationships/hyperlink" Target="http://www.nevo.co.il/case/6248011" TargetMode="External"/><Relationship Id="rId52" Type="http://schemas.openxmlformats.org/officeDocument/2006/relationships/hyperlink" Target="http://www.nevo.co.il/case/17948120" TargetMode="External"/><Relationship Id="rId53" Type="http://schemas.openxmlformats.org/officeDocument/2006/relationships/hyperlink" Target="http://www.nevo.co.il/case/161892" TargetMode="External"/><Relationship Id="rId54" Type="http://schemas.openxmlformats.org/officeDocument/2006/relationships/hyperlink" Target="http://www.nevo.co.il/case/21477504" TargetMode="External"/><Relationship Id="rId55" Type="http://schemas.openxmlformats.org/officeDocument/2006/relationships/hyperlink" Target="http://www.nevo.co.il/case/21015204" TargetMode="External"/><Relationship Id="rId56" Type="http://schemas.openxmlformats.org/officeDocument/2006/relationships/hyperlink" Target="http://www.nevo.co.il/case/24263465" TargetMode="External"/><Relationship Id="rId57" Type="http://schemas.openxmlformats.org/officeDocument/2006/relationships/hyperlink" Target="http://www.nevo.co.il/case/23539576" TargetMode="External"/><Relationship Id="rId58" Type="http://schemas.openxmlformats.org/officeDocument/2006/relationships/hyperlink" Target="http://www.nevo.co.il/case/24493159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b" TargetMode="External"/><Relationship Id="rId61" Type="http://schemas.openxmlformats.org/officeDocument/2006/relationships/hyperlink" Target="http://www.nevo.co.il/law/70301/40d;40e;40f" TargetMode="External"/><Relationship Id="rId62" Type="http://schemas.openxmlformats.org/officeDocument/2006/relationships/hyperlink" Target="http://www.nevo.co.il/case/18654248" TargetMode="External"/><Relationship Id="rId63" Type="http://schemas.openxmlformats.org/officeDocument/2006/relationships/hyperlink" Target="http://www.nevo.co.il/case/22201884" TargetMode="External"/><Relationship Id="rId64" Type="http://schemas.openxmlformats.org/officeDocument/2006/relationships/hyperlink" Target="http://www.nevo.co.il/case/22294063" TargetMode="External"/><Relationship Id="rId65" Type="http://schemas.openxmlformats.org/officeDocument/2006/relationships/hyperlink" Target="http://www.nevo.co.il/case/161892" TargetMode="External"/><Relationship Id="rId66" Type="http://schemas.openxmlformats.org/officeDocument/2006/relationships/hyperlink" Target="http://www.nevo.co.il/case/21914030" TargetMode="External"/><Relationship Id="rId67" Type="http://schemas.openxmlformats.org/officeDocument/2006/relationships/hyperlink" Target="http://www.nevo.co.il/case/21476106" TargetMode="External"/><Relationship Id="rId68" Type="http://schemas.openxmlformats.org/officeDocument/2006/relationships/hyperlink" Target="https://supreme.court.gov.il/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2018-11-12T12:12:00Z</dcterms:created>
  <dc:creator> </dc:creator>
  <dc:description/>
  <cp:keywords/>
  <dc:language>en-IL</dc:language>
  <cp:lastModifiedBy>orly</cp:lastModifiedBy>
  <cp:lastPrinted>2018-11-06T14:00:00Z</cp:lastPrinted>
  <dcterms:modified xsi:type="dcterms:W3CDTF">2018-11-12T12:12:00Z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ח'ארוף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ProcID=213&amp;PartA=44&amp;PartC=40</vt:lpwstr>
  </property>
  <property fmtid="{D5CDD505-2E9C-101B-9397-08002B2CF9AE}" pid="9" name="CASENOTES2">
    <vt:lpwstr>ProcID=213&amp;PartA=14&amp;PartC=12</vt:lpwstr>
  </property>
  <property fmtid="{D5CDD505-2E9C-101B-9397-08002B2CF9AE}" pid="10" name="CASENOTES3">
    <vt:lpwstr>ProcID=213&amp;PartA=18&amp;PartC=14</vt:lpwstr>
  </property>
  <property fmtid="{D5CDD505-2E9C-101B-9397-08002B2CF9AE}" pid="11" name="CASESLISTTMP1">
    <vt:lpwstr>22896795:2;22876151;6244684;6243572;22294063:2;5871569;5578447;5590393;6248011;17948120;161892:2;21477504;21015204;24263465;23539576;24493159;18654248;22201884;21914030;21476106</vt:lpwstr>
  </property>
  <property fmtid="{D5CDD505-2E9C-101B-9397-08002B2CF9AE}" pid="12" name="CITY">
    <vt:lpwstr/>
  </property>
  <property fmtid="{D5CDD505-2E9C-101B-9397-08002B2CF9AE}" pid="13" name="DATE">
    <vt:lpwstr>20181111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ע' פוגלמן;מ' מזוז;י' וילנר</vt:lpwstr>
  </property>
  <property fmtid="{D5CDD505-2E9C-101B-9397-08002B2CF9AE}" pid="17" name="LAWLISTTMP1">
    <vt:lpwstr>70301/300.a.2;413b;499.a.1;413ja;025;275;420;077;040b;040d;040e;040f</vt:lpwstr>
  </property>
  <property fmtid="{D5CDD505-2E9C-101B-9397-08002B2CF9AE}" pid="18" name="LAWLISTTMP2">
    <vt:lpwstr>72265/017</vt:lpwstr>
  </property>
  <property fmtid="{D5CDD505-2E9C-101B-9397-08002B2CF9AE}" pid="19" name="LAWLISTTMP3">
    <vt:lpwstr>90721/012.1:2</vt:lpwstr>
  </property>
  <property fmtid="{D5CDD505-2E9C-101B-9397-08002B2CF9AE}" pid="20" name="LAWLISTTMP4">
    <vt:lpwstr>141771/002;040</vt:lpwstr>
  </property>
  <property fmtid="{D5CDD505-2E9C-101B-9397-08002B2CF9AE}" pid="21" name="LAWYER">
    <vt:lpwstr>נילי פינקלשטיין;אלעד רט;מוחמד מחאג'נה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קרן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דיון פלילי</vt:lpwstr>
  </property>
  <property fmtid="{D5CDD505-2E9C-101B-9397-08002B2CF9AE}" pid="33" name="NOSE110">
    <vt:lpwstr/>
  </property>
  <property fmtid="{D5CDD505-2E9C-101B-9397-08002B2CF9AE}" pid="34" name="NOSE12">
    <vt:lpwstr>דיון פלילי</vt:lpwstr>
  </property>
  <property fmtid="{D5CDD505-2E9C-101B-9397-08002B2CF9AE}" pid="35" name="NOSE13">
    <vt:lpwstr>דיון פלילי</vt:lpwstr>
  </property>
  <property fmtid="{D5CDD505-2E9C-101B-9397-08002B2CF9AE}" pid="36" name="NOSE14">
    <vt:lpwstr>עונשין</vt:lpwstr>
  </property>
  <property fmtid="{D5CDD505-2E9C-101B-9397-08002B2CF9AE}" pid="37" name="NOSE15">
    <vt:lpwstr/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18;18;18;77</vt:lpwstr>
  </property>
  <property fmtid="{D5CDD505-2E9C-101B-9397-08002B2CF9AE}" pid="43" name="NOSE21">
    <vt:lpwstr>הסדר טיעון</vt:lpwstr>
  </property>
  <property fmtid="{D5CDD505-2E9C-101B-9397-08002B2CF9AE}" pid="44" name="NOSE210">
    <vt:lpwstr/>
  </property>
  <property fmtid="{D5CDD505-2E9C-101B-9397-08002B2CF9AE}" pid="45" name="NOSE22">
    <vt:lpwstr>הסדר טיעון</vt:lpwstr>
  </property>
  <property fmtid="{D5CDD505-2E9C-101B-9397-08002B2CF9AE}" pid="46" name="NOSE23">
    <vt:lpwstr>ערעור</vt:lpwstr>
  </property>
  <property fmtid="{D5CDD505-2E9C-101B-9397-08002B2CF9AE}" pid="47" name="NOSE24">
    <vt:lpwstr>ענישה</vt:lpwstr>
  </property>
  <property fmtid="{D5CDD505-2E9C-101B-9397-08002B2CF9AE}" pid="48" name="NOSE25">
    <vt:lpwstr/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461;461;504;1446</vt:lpwstr>
  </property>
  <property fmtid="{D5CDD505-2E9C-101B-9397-08002B2CF9AE}" pid="54" name="NOSE31">
    <vt:lpwstr>סטייה ממנו</vt:lpwstr>
  </property>
  <property fmtid="{D5CDD505-2E9C-101B-9397-08002B2CF9AE}" pid="55" name="NOSE310">
    <vt:lpwstr/>
  </property>
  <property fmtid="{D5CDD505-2E9C-101B-9397-08002B2CF9AE}" pid="56" name="NOSE32">
    <vt:lpwstr>ביקורת שיפוטית</vt:lpwstr>
  </property>
  <property fmtid="{D5CDD505-2E9C-101B-9397-08002B2CF9AE}" pid="57" name="NOSE33">
    <vt:lpwstr>אי-התערבות במידת העונש</vt:lpwstr>
  </property>
  <property fmtid="{D5CDD505-2E9C-101B-9397-08002B2CF9AE}" pid="58" name="NOSE34">
    <vt:lpwstr>עקרון ההלימה‏</vt:lpwstr>
  </property>
  <property fmtid="{D5CDD505-2E9C-101B-9397-08002B2CF9AE}" pid="59" name="NOSE35">
    <vt:lpwstr/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3612;15606;17039;14799</vt:lpwstr>
  </property>
  <property fmtid="{D5CDD505-2E9C-101B-9397-08002B2CF9AE}" pid="65" name="PADIDATE">
    <vt:lpwstr>20181112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2859</vt:lpwstr>
  </property>
  <property fmtid="{D5CDD505-2E9C-101B-9397-08002B2CF9AE}" pid="71" name="PROCYEAR">
    <vt:lpwstr>18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410120181111</vt:lpwstr>
  </property>
  <property fmtid="{D5CDD505-2E9C-101B-9397-08002B2CF9AE}" pid="75" name="TYPE_N_DATE">
    <vt:lpwstr>41020181111</vt:lpwstr>
  </property>
  <property fmtid="{D5CDD505-2E9C-101B-9397-08002B2CF9AE}" pid="76" name="VOLUME">
    <vt:lpwstr/>
  </property>
  <property fmtid="{D5CDD505-2E9C-101B-9397-08002B2CF9AE}" pid="77" name="WORDNUMPAGES">
    <vt:lpwstr>11</vt:lpwstr>
  </property>
</Properties>
</file>