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2877/18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לואי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סעאבנה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מזרחי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שאן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תו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64164-03-15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נבון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לפסול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עצמו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מלדון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בעניינו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עתאמנה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חמודות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3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1965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שנודע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שיח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המרכזית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וביוזמתו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הרגילים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עצם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יוביל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כשלעצמו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שחילופי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לעורר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אובייקטיבי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לקיומו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חילופי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לסוגיה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ובנוכחות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ששהה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מחלישה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שלישית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נעולה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ולהעלות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ההודאה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Writer_Name"/>
      <w:bookmarkStart w:id="13" w:name="Writer_Name"/>
      <w:bookmarkEnd w:id="13"/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bookmarkStart w:id="14" w:name="Start_Write"/>
      <w:bookmarkEnd w:id="14"/>
      <w:r>
        <w:rPr>
          <w:rFonts w:eastAsia="Times New Roman" w:cs="Times New Roman" w:ascii="Times New Roman" w:hAnsi="Times New Roman"/>
          <w:sz w:val="22"/>
          <w:rtl w:val="true"/>
        </w:rPr>
        <w:tab/>
      </w:r>
      <w:r>
        <w:rPr>
          <w:rtl w:val="true"/>
        </w:rPr>
        <w:t xml:space="preserve">ערעור על החלטת בית משפט השלום בבית שאן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נבון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30.3.2018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שדחה את בקשת המערער לפסול עצמו מלדון בעניינו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נגד המערער וחמישה נאשמים נוספים הוגש כתב אישום המייחס להם עבירות לפי </w:t>
      </w:r>
      <w:hyperlink r:id="rId4"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חוק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התכנון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Garamond"/>
            <w:color w:val="0000FF"/>
            <w:sz w:val="24"/>
            <w:sz w:val="24"/>
            <w:u w:val="single"/>
            <w:rtl w:val="true"/>
          </w:rPr>
          <w:t>והבניה</w:t>
        </w:r>
      </w:hyperlink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התשכ</w:t>
      </w:r>
      <w:r>
        <w:rPr>
          <w:rFonts w:cs="Garamond" w:ascii="Garamond" w:hAnsi="Garamond"/>
          <w:sz w:val="24"/>
          <w:rtl w:val="true"/>
        </w:rPr>
        <w:t>"</w:t>
      </w:r>
      <w:r>
        <w:rPr>
          <w:rFonts w:ascii="Garamond" w:hAnsi="Garamond" w:cs="Garamond"/>
          <w:sz w:val="24"/>
          <w:sz w:val="24"/>
          <w:rtl w:val="true"/>
        </w:rPr>
        <w:t>ה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cs="Garamond" w:ascii="Garamond" w:hAnsi="Garamond"/>
          <w:sz w:val="24"/>
        </w:rPr>
        <w:t>1965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בגין שימוש חורג בקרקע חקלאית לצורך הפעלת תחנת דלק בלתי מורשית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המערער ויתר הנאשמים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אשר כפרו בתחילה במיוחס להם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הודיעו לבית המשפט ביום </w:t>
      </w:r>
      <w:r>
        <w:rPr>
          <w:rFonts w:cs="Garamond" w:ascii="Garamond" w:hAnsi="Garamond"/>
          <w:sz w:val="24"/>
        </w:rPr>
        <w:t>20.12.2016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כי הגיעו להסדר דיוני עם המשיבה ולפיו</w:t>
      </w:r>
      <w:r>
        <w:rPr>
          <w:rFonts w:cs="Garamond" w:ascii="Garamond" w:hAnsi="Garamond"/>
          <w:sz w:val="24"/>
          <w:rtl w:val="true"/>
        </w:rPr>
        <w:t xml:space="preserve">: 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הנאשמים יחזרו בהם מכפירתם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יוגש כתב אישום 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כל הנאשמים יודו בעובדות כתב האישום המתוקן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הנאשמים 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יורשעו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נאשמים </w:t>
      </w:r>
      <w:r>
        <w:rPr>
          <w:rFonts w:cs="Century" w:ascii="Century" w:hAnsi="Century"/>
        </w:rPr>
        <w:t>3,4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 יורשעו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</w:t>
      </w:r>
      <w:r>
        <w:rPr>
          <w:rFonts w:ascii="Century" w:hAnsi="Century" w:cs="Century"/>
          <w:rtl w:val="true"/>
        </w:rPr>
        <w:t xml:space="preserve">הנאשם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הוא המערער דנן</w:t>
      </w:r>
      <w:r>
        <w:rPr>
          <w:rFonts w:cs="Century" w:ascii="Century" w:hAnsi="Century"/>
          <w:rtl w:val="true"/>
        </w:rPr>
        <w:t>]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מנת שיתאפשר להם למצות בקשה ליועמ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 לעיכוב הליכים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ככל שלא תתקבל בקשה של איזה מהנאשמים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תהיה שמורה להם זכותם לעלות טענות הגנה מן הצדק כטעמים לעונש ולא כטעמים לחזרה מהודאה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[...]</w:t>
      </w:r>
      <w:r>
        <w:rPr>
          <w:rFonts w:cs="Century" w:ascii="Century" w:hAnsi="Century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  <w:tab/>
      </w:r>
      <w:r>
        <w:rPr>
          <w:rFonts w:ascii="Century" w:hAnsi="Century" w:cs="Century"/>
          <w:sz w:val="22"/>
          <w:sz w:val="22"/>
          <w:rtl w:val="true"/>
        </w:rPr>
        <w:t xml:space="preserve">בית המשפט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זועבי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rtl w:val="true"/>
        </w:rPr>
        <w:t>אישר את ההסדר הדיוני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והורה על העברת התיק למותב אחר</w:t>
      </w:r>
      <w:r>
        <w:rPr>
          <w:rFonts w:cs="Century" w:ascii="Century" w:hAnsi="Century"/>
          <w:rtl w:val="true"/>
        </w:rPr>
        <w:t>.</w:t>
      </w:r>
    </w:p>
    <w:p>
      <w:pPr>
        <w:pStyle w:val="Ruller51"/>
        <w:ind w:end="1282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</w:rPr>
        <w:t>2</w:t>
      </w:r>
      <w:r>
        <w:rPr>
          <w:rFonts w:cs="Garamond" w:ascii="Garamond" w:hAnsi="Garamond"/>
          <w:sz w:val="24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31.1.2017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הגישו המערער ושני נאשמים נוספים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 xml:space="preserve">הנאשמים </w:t>
      </w:r>
      <w:r>
        <w:rPr>
          <w:rFonts w:cs="Garamond" w:ascii="Garamond" w:hAnsi="Garamond"/>
          <w:sz w:val="24"/>
        </w:rPr>
        <w:t>2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ו</w:t>
      </w:r>
      <w:r>
        <w:rPr>
          <w:rFonts w:cs="Garamond" w:ascii="Garamond" w:hAnsi="Garamond"/>
          <w:sz w:val="24"/>
          <w:rtl w:val="true"/>
        </w:rPr>
        <w:t xml:space="preserve">- </w:t>
      </w:r>
      <w:r>
        <w:rPr>
          <w:rFonts w:cs="Garamond" w:ascii="Garamond" w:hAnsi="Garamond"/>
          <w:sz w:val="24"/>
        </w:rPr>
        <w:t>3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בקשה לביטול הודאתם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>בבקשה זו טען המערער כי לא עיין בכתב האישום המתוקן ולא הבין במה הוא מודה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12.2.2017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הודיע בא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כוח המערער לבית המשפט כי שוחרר מייצוג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וציין כי המערער יגיש בקשה חדשה ונפרדת מטעמו לביטול ההודאה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1.5.2017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נדחתה בקשת המערער לעיכוב ההליכים בעניינו ובדיון שהתקיים ביום </w:t>
      </w:r>
      <w:r>
        <w:rPr>
          <w:rFonts w:cs="Garamond" w:ascii="Garamond" w:hAnsi="Garamond"/>
          <w:sz w:val="24"/>
        </w:rPr>
        <w:t>13.6.2017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 xml:space="preserve">עתר המערער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>על ידי בא</w:t>
      </w:r>
      <w:r>
        <w:rPr>
          <w:rFonts w:cs="Garamond" w:ascii="Garamond" w:hAnsi="Garamond"/>
          <w:sz w:val="24"/>
          <w:rtl w:val="true"/>
        </w:rPr>
        <w:t>-</w:t>
      </w:r>
      <w:r>
        <w:rPr>
          <w:rFonts w:ascii="Garamond" w:hAnsi="Garamond" w:cs="Garamond"/>
          <w:sz w:val="24"/>
          <w:sz w:val="24"/>
          <w:rtl w:val="true"/>
        </w:rPr>
        <w:t>כוחו הנוכחי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>פעם נוספת לביטול הודאתו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בטענה כי עיון בפרוטוקול הדיון מיום </w:t>
      </w:r>
      <w:r>
        <w:rPr>
          <w:rFonts w:cs="Garamond" w:ascii="Garamond" w:hAnsi="Garamond"/>
          <w:sz w:val="24"/>
        </w:rPr>
        <w:t>20.12.2016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מעלה שהמערער לא נכח באולם בית המשפט בעת הדיון וכי כתב האישום לא הוקרא לו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בית המשפט </w:t>
      </w:r>
      <w:r>
        <w:rPr>
          <w:rFonts w:cs="Garamond" w:ascii="Garamond" w:hAnsi="Garamond"/>
          <w:sz w:val="24"/>
          <w:rtl w:val="true"/>
        </w:rPr>
        <w:t>(</w:t>
      </w:r>
      <w:r>
        <w:rPr>
          <w:rFonts w:ascii="Garamond" w:hAnsi="Garamond" w:cs="Garamond"/>
          <w:sz w:val="24"/>
          <w:sz w:val="24"/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נבון</w:t>
      </w:r>
      <w:r>
        <w:rPr>
          <w:rFonts w:cs="Garamond" w:ascii="Garamond" w:hAnsi="Garamond"/>
          <w:sz w:val="24"/>
          <w:rtl w:val="true"/>
        </w:rPr>
        <w:t xml:space="preserve">) </w:t>
      </w:r>
      <w:r>
        <w:rPr>
          <w:rFonts w:ascii="Garamond" w:hAnsi="Garamond" w:cs="Garamond"/>
          <w:sz w:val="24"/>
          <w:sz w:val="24"/>
          <w:rtl w:val="true"/>
        </w:rPr>
        <w:t xml:space="preserve">דחה את הבקשה וקבע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התרשמתי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אמצעי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נראה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הוסברו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במהלך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שהתקיים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20.12.16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תיקון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[...]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סבורני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לחזרה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מהודאה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נולדה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טעמים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החלפת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הייצוג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דחיית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לעיכוב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הליכים</w:t>
      </w:r>
      <w:r>
        <w:rPr>
          <w:rFonts w:cs="Century" w:ascii="Century" w:hAnsi="Century"/>
          <w:rtl w:val="true"/>
        </w:rPr>
        <w:t>"</w:t>
      </w:r>
      <w:r>
        <w:rPr>
          <w:rFonts w:cs="Century" w:ascii="Century" w:hAnsi="Century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בהמשך הדיון הרשיע בית המשפט את המערער במיוחס לו על סמך הודאתו</w:t>
      </w:r>
      <w:r>
        <w:rPr>
          <w:rFonts w:cs="Garamond" w:ascii="Garamond" w:hAnsi="Garamond"/>
          <w:sz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Garamond" w:ascii="Garamond" w:hAnsi="Garamond"/>
          <w:sz w:val="24"/>
        </w:rPr>
        <w:t>3</w:t>
      </w:r>
      <w:r>
        <w:rPr>
          <w:rFonts w:cs="Garamond" w:ascii="Garamond" w:hAnsi="Garamond"/>
          <w:sz w:val="24"/>
          <w:rtl w:val="true"/>
        </w:rPr>
        <w:t>.</w:t>
      </w:r>
      <w:r>
        <w:rPr>
          <w:rFonts w:cs="Garamond" w:ascii="Garamond" w:hAnsi="Garamond"/>
          <w:sz w:val="24"/>
          <w:rtl w:val="true"/>
        </w:rPr>
        <w:tab/>
      </w:r>
      <w:r>
        <w:rPr>
          <w:rFonts w:ascii="Garamond" w:hAnsi="Garamond" w:cs="Garamond"/>
          <w:sz w:val="24"/>
          <w:sz w:val="24"/>
          <w:rtl w:val="true"/>
        </w:rPr>
        <w:t xml:space="preserve">ביום </w:t>
      </w:r>
      <w:r>
        <w:rPr>
          <w:rFonts w:cs="Garamond" w:ascii="Garamond" w:hAnsi="Garamond"/>
          <w:sz w:val="24"/>
        </w:rPr>
        <w:t>12.2.2018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הורה בית המשפט על הגשת טיעונים לעונש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 xml:space="preserve">וקבע כי דיון להשלמת הטיעונים בעל פה ייערך ביום </w:t>
      </w:r>
      <w:r>
        <w:rPr>
          <w:rFonts w:cs="Garamond" w:ascii="Garamond" w:hAnsi="Garamond"/>
          <w:sz w:val="24"/>
        </w:rPr>
        <w:t>26.3.2018</w:t>
      </w:r>
      <w:r>
        <w:rPr>
          <w:rFonts w:cs="Garamond" w:ascii="Garamond" w:hAnsi="Garamond"/>
          <w:sz w:val="24"/>
          <w:rtl w:val="true"/>
        </w:rPr>
        <w:t xml:space="preserve">. </w:t>
      </w:r>
      <w:r>
        <w:rPr>
          <w:rFonts w:ascii="Garamond" w:hAnsi="Garamond" w:cs="Garamond"/>
          <w:sz w:val="24"/>
          <w:sz w:val="24"/>
          <w:rtl w:val="true"/>
        </w:rPr>
        <w:t xml:space="preserve">בהחלטתו מיום </w:t>
      </w:r>
      <w:r>
        <w:rPr>
          <w:rFonts w:cs="Garamond" w:ascii="Garamond" w:hAnsi="Garamond"/>
          <w:sz w:val="24"/>
        </w:rPr>
        <w:t>22.3.2018</w:t>
      </w:r>
      <w:r>
        <w:rPr>
          <w:rFonts w:cs="Garamond" w:ascii="Garamond" w:hAnsi="Garamond"/>
          <w:sz w:val="24"/>
          <w:rtl w:val="true"/>
        </w:rPr>
        <w:t xml:space="preserve"> </w:t>
      </w:r>
      <w:r>
        <w:rPr>
          <w:rFonts w:ascii="Garamond" w:hAnsi="Garamond" w:cs="Garamond"/>
          <w:sz w:val="24"/>
          <w:sz w:val="24"/>
          <w:rtl w:val="true"/>
        </w:rPr>
        <w:t>ציין בית המשפט כי טיעוניו של המערער לעונש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Garamond" w:hAnsi="Garamond" w:cs="Garamond"/>
          <w:sz w:val="24"/>
          <w:sz w:val="24"/>
          <w:rtl w:val="true"/>
        </w:rPr>
        <w:t>שהוגשו מספר ימים קודם לכן</w:t>
      </w:r>
      <w:r>
        <w:rPr>
          <w:rFonts w:cs="Garamond" w:ascii="Garamond" w:hAnsi="Garamond"/>
          <w:sz w:val="24"/>
          <w:rtl w:val="true"/>
        </w:rPr>
        <w:t xml:space="preserve">, </w:t>
      </w:r>
      <w:r>
        <w:rPr>
          <w:rFonts w:ascii="Century" w:hAnsi="Century" w:cs="Century"/>
          <w:rtl w:val="true"/>
        </w:rPr>
        <w:t>כוללים טענות שעניינן ביטול ההודאה וכי אין מקום</w:t>
      </w:r>
      <w:r>
        <w:rPr>
          <w:rFonts w:ascii="Century" w:hAnsi="Century" w:cs="Century"/>
          <w:rtl w:val="true"/>
        </w:rPr>
        <w:t xml:space="preserve"> להידרש לטענות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 xml:space="preserve">סותרות את הודאתו </w:t>
      </w:r>
      <w:r>
        <w:rPr>
          <w:rFonts w:ascii="Century" w:hAnsi="Century" w:cs="Century"/>
          <w:rtl w:val="true"/>
        </w:rPr>
        <w:t>של המערער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נתן למערער הזדמנות להגיש טיעונים חדשים לעונש מטעמו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בדיון שנערך ביום </w:t>
      </w:r>
      <w:r>
        <w:rPr>
          <w:rFonts w:cs="Century" w:ascii="Century" w:hAnsi="Century"/>
        </w:rPr>
        <w:t>26.3.2018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טען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כלל לא נכח בדיון מיום </w:t>
      </w:r>
      <w:r>
        <w:rPr>
          <w:rFonts w:cs="Century" w:ascii="Century" w:hAnsi="Century"/>
        </w:rPr>
        <w:t>20.12.2016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ועתר להורות על ביטול כתב האישום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דחה את הטענה בציינו כי 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ממחזר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נדונו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מששב המערער להעלות טיעונים ברוח זו בעודו מבקש לראות בהם כטיעונים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החליט בית המשפט כי גזר הדין בעניינו יינתן ביום </w:t>
      </w:r>
      <w:r>
        <w:rPr>
          <w:rFonts w:cs="Century" w:ascii="Century" w:hAnsi="Century"/>
        </w:rPr>
        <w:t>12.7.2018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ביום </w:t>
      </w:r>
      <w:r>
        <w:rPr>
          <w:rFonts w:cs="Century" w:ascii="Century" w:hAnsi="Century"/>
        </w:rPr>
        <w:t>30.3.2018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הגיש המערער בקשה לפסילת המותב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בבקשה נטען כי נודע למערער שביום </w:t>
      </w:r>
      <w:r>
        <w:rPr>
          <w:rFonts w:cs="Century" w:ascii="Century" w:hAnsi="Century"/>
        </w:rPr>
        <w:t>26.3.2018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תום דיון שמיעת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התקיים דו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שיח בין המותב לבין התובעת במעמד צד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במסגרתו בירר בית המשפט את טענת המערער בדבר אי נוכחותו בדיון מיום </w:t>
      </w:r>
      <w:r>
        <w:rPr>
          <w:rFonts w:cs="Century" w:ascii="Century" w:hAnsi="Century"/>
        </w:rPr>
        <w:t>20.12.2016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הוסיף וטען כי במהלך השיחה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ביהמ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המאשימה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הפרוטוקולים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חיפש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בטענת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[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],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וכיצד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הסניגור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טוען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כזו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בתגובה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המאשימה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לביהמ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בשעתו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שהצליחו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לטענה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המשיבה התנגדה לבקשת הפסלות וטענה כי בית המשפט ציין לכל היותר את תמיהתו מכך שהמערער שב והעלה טענה שנדחתה בהיותה סותרת את פרוטוקול הדיון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דחה את הבקשה עוד באותו 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והתייחס לאירוע שעמד במוקד הבקשה בציינו</w:t>
      </w:r>
      <w:r>
        <w:rPr>
          <w:rFonts w:cs="Century" w:ascii="Century" w:hAnsi="Century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כנטען בבקשה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אכן בתום יום דיונים ממושך בתיקי תכנון ובנייה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בסמוך לאחר השעה </w:t>
      </w:r>
      <w:r>
        <w:rPr>
          <w:rFonts w:cs="Century" w:ascii="Century" w:hAnsi="Century"/>
        </w:rPr>
        <w:t>17:00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פנה מותב זה לתובעת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לילך גפני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וציין בפניה כי בחן שוב את טענת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עתאמנה לפיה המבקש לא נכח בדיון בו הודה במיוחס 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אודה כי טענת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עתאמנה בהקשר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נטענה במהלך הדיון שהתקיים במעמד 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הטרידה את מנוחתי שמא נפלה שגגה בהחלטות קודמות שניתנו בעניינו של המבקש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בשל 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כאמור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בחנתי את דבריו ומשהסתבר כי אין בהם ממש ציינתי זאת בפני התובעת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אגב אורחא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בלא שלדברים נלוותה אמירה כלשהי אשר יכולה להתפרש כהבעת עמדה באשר לגורלו של הליך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אף נאמרו בנוכחות עו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 קייס נאסר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נכח באולם בית המשפט בשעה מאוחרת זו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ללמדך כי מותב זה סבר כי בדבריו אין שמץ של פגם ואין בהם כדי להצביע על גיבוש עמדה בנוגע למבקש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בית המשפט הטעים כי </w:t>
      </w:r>
      <w:r>
        <w:rPr>
          <w:rFonts w:ascii="Century" w:hAnsi="Century" w:cs="Century"/>
          <w:rtl w:val="true"/>
        </w:rPr>
        <w:t>במהלך הדיונים בתיק לא הובעה כל דעה נחרצת או חריגה בנוגע למ</w:t>
      </w:r>
      <w:r>
        <w:rPr>
          <w:rFonts w:ascii="Century" w:hAnsi="Century" w:cs="Century"/>
          <w:rtl w:val="true"/>
        </w:rPr>
        <w:t>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כי </w:t>
      </w:r>
      <w:r>
        <w:rPr>
          <w:rFonts w:ascii="Century" w:hAnsi="Century" w:cs="Century"/>
          <w:rtl w:val="true"/>
        </w:rPr>
        <w:t>כל ההחלטות התקבלו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משיקולים ענייניים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וכי עונשו של המערער ייבחן על רקע כללי הענישה הנוהגים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שב וציין כי </w:t>
      </w:r>
      <w:r>
        <w:rPr>
          <w:rFonts w:ascii="Century" w:hAnsi="Century" w:cs="Century"/>
          <w:rtl w:val="true"/>
        </w:rPr>
        <w:t>ה</w:t>
      </w:r>
      <w:r>
        <w:rPr>
          <w:rFonts w:ascii="Century" w:hAnsi="Century" w:cs="Century"/>
          <w:rtl w:val="true"/>
        </w:rPr>
        <w:t>שיחה</w:t>
      </w:r>
      <w:r>
        <w:rPr>
          <w:rFonts w:ascii="Century" w:hAnsi="Century" w:cs="Century"/>
          <w:rtl w:val="true"/>
        </w:rPr>
        <w:t xml:space="preserve"> המיוחסת ל</w:t>
      </w:r>
      <w:r>
        <w:rPr>
          <w:rFonts w:ascii="Century" w:hAnsi="Century" w:cs="Century"/>
          <w:rtl w:val="true"/>
        </w:rPr>
        <w:t>ו אכן אירעה והדברים אכן נאמרו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</w:t>
      </w:r>
      <w:r>
        <w:rPr>
          <w:rFonts w:ascii="Century" w:hAnsi="Century" w:cs="Century"/>
          <w:rtl w:val="true"/>
        </w:rPr>
        <w:t xml:space="preserve"> הדגיש כי</w:t>
      </w:r>
      <w:r>
        <w:rPr>
          <w:rFonts w:ascii="Century" w:hAnsi="Century" w:cs="Century"/>
          <w:rtl w:val="true"/>
        </w:rPr>
        <w:t xml:space="preserve"> אין ב</w:t>
      </w:r>
      <w:r>
        <w:rPr>
          <w:rFonts w:ascii="Century" w:hAnsi="Century" w:cs="Century"/>
          <w:rtl w:val="true"/>
        </w:rPr>
        <w:t>כך</w:t>
      </w:r>
      <w:r>
        <w:rPr>
          <w:rFonts w:ascii="Century" w:hAnsi="Century" w:cs="Century"/>
          <w:rtl w:val="true"/>
        </w:rPr>
        <w:t xml:space="preserve"> כדי לבסס חשש ממשי למשוא פנים או לגיבוש עמדה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מכאן הערעור דנן שבו נטען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בתמצית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כי היה על בית המשפט להימנע מקיום שיחה במעמד צד אחד עם התובעת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חילופי הדברים בין בית המשפט לבין התובעת מקימים יסוד להאמין שבית המשפט גיבש דעה ביחס להמשך הטיפול בתיק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ועל כן הם מבססים חשש ממשי למשוא פנים ולפגיעה במראית פני הצדק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המערער טוען כי בית המשפט לא אפשר לו להעלות טענות נוספות בעניין ההודאה ולא נדרש לבקשה שהגיש לפני דיון הטיעונים לעונש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המערער סבור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אומר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דרשני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ומדליק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אדומה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שביהמ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גיבש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המשיבה מתנגדת לבקשה וטוענת כי אף שלא היה מקום לפניית בית המשפט לתובעת במעמד צד אחד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הרי שאין בנסיבות העניין כדי לעורר חשש ממשי למשוא פנים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המשיבה מדגישה כי העובדה שבית המשפט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בחן עצמו שוב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חרף החלטותיו הקודמות בעניין ביטול ההודאה מלמדת דווקא על התנהלות זהירה ביחס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נטען כי השיחה בין בית המשפט לבין התובעת התמקדה בסוגיה שכבר הוכרעה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ועל כן אין מקום לומר כי דעתו של בית המשפט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נעולה</w:t>
      </w:r>
      <w:r>
        <w:rPr>
          <w:rFonts w:cs="Century" w:ascii="Century" w:hAnsi="Century"/>
          <w:rtl w:val="true"/>
        </w:rPr>
        <w:t>".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עיינתי בטענות הצדדים והגעתי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לא בלי התלבטות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כפי שניתן להבין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טענתו המרכזית של המערער היא כי השיחה שנערכה בין המותב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וביוזמתו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לבין התובעת מקימה חשש ממשי למשוא פנים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הרגילים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יוביל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לפסילת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עילת פסלות בנסיבות אלו תקום רק אם יוכח חשש ממשי אובייקטיבי למשוא פנים של המותב היושב בדין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7297/17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ניהול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מקרקעין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תינהב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ופיתוח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cs="Miriam" w:ascii="Century" w:hAnsi="Century"/>
          <w:b/>
          <w:spacing w:val="0"/>
          <w:szCs w:val="24"/>
        </w:rPr>
        <w:t>1990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1.11.2017</w:t>
      </w:r>
      <w:r>
        <w:rPr>
          <w:rFonts w:cs="Century" w:ascii="Century" w:hAnsi="Century"/>
          <w:rtl w:val="true"/>
        </w:rPr>
        <w:t xml:space="preserve">); </w:t>
      </w:r>
      <w:hyperlink r:id="rId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4287/08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גבריאלי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24.7.2008</w:t>
      </w:r>
      <w:r>
        <w:rPr>
          <w:rtl w:val="true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6812/02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בוארון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13.8.2002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יגאל מרזל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שופט</w:t>
      </w:r>
      <w:r>
        <w:rPr>
          <w:rFonts w:eastAsia="Arial TUR;Arial" w:cs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Century" w:ascii="Century" w:hAnsi="Century"/>
        </w:rPr>
        <w:t>188-186</w:t>
      </w:r>
      <w:r>
        <w:rPr>
          <w:rtl w:val="true"/>
        </w:rPr>
        <w:t xml:space="preserve"> (</w:t>
      </w:r>
      <w:r>
        <w:rPr/>
        <w:t>2006</w:t>
      </w:r>
      <w:r>
        <w:rPr>
          <w:rtl w:val="true"/>
        </w:rPr>
        <w:t xml:space="preserve">)).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20.12.2016</w:t>
      </w:r>
      <w:r>
        <w:rPr>
          <w:rtl w:val="true"/>
        </w:rPr>
        <w:t xml:space="preserve">,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הטרידה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מנוחתו</w:t>
      </w:r>
      <w:r>
        <w:rPr>
          <w:rtl w:val="true"/>
        </w:rPr>
        <w:t xml:space="preserve">". </w:t>
      </w:r>
      <w:r>
        <w:rPr>
          <w:rtl w:val="true"/>
        </w:rPr>
        <w:t>מטיעוני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אובייקטיבי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7916/00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שפריר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30.11.2000</w:t>
      </w:r>
      <w:r>
        <w:rPr>
          <w:rtl w:val="true"/>
        </w:rPr>
        <w:t xml:space="preserve">)).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ובנוכחות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ועובדה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>. (</w:t>
      </w:r>
      <w:r>
        <w:rPr>
          <w:rtl w:val="true"/>
        </w:rPr>
        <w:t>השוו</w:t>
      </w:r>
      <w:r>
        <w:rPr>
          <w:rtl w:val="true"/>
        </w:rPr>
        <w:t xml:space="preserve">: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5084/02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רבינוביץ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22.7.2002</w:t>
      </w:r>
      <w:r>
        <w:rPr>
          <w:rtl w:val="true"/>
        </w:rPr>
        <w:t xml:space="preserve">);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8689/02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לתכנון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ובניה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לודים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12.12.2002</w:t>
      </w:r>
      <w:r>
        <w:rPr>
          <w:rtl w:val="true"/>
        </w:rPr>
        <w:t xml:space="preserve">)).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המותב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נעולה</w:t>
      </w:r>
      <w:r>
        <w:rPr>
          <w:rtl w:val="true"/>
        </w:rPr>
        <w:t xml:space="preserve">"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הנוהגים</w:t>
      </w:r>
      <w:r>
        <w:rPr>
          <w:rtl w:val="true"/>
        </w:rPr>
        <w:t xml:space="preserve">. </w:t>
      </w:r>
      <w:r>
        <w:rPr>
          <w:rtl w:val="true"/>
        </w:rPr>
        <w:t>ובשולי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לא אפשר לו לשוב ולהעלות טענות בעניין ההודאה ולא נדרש לבקשה שהגיש בהקשר זה לפני דיון הטיעונים לעונש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כל אלה טענות הנוגעות להחלטות דיוניות ולאופן ניהול ההליך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ואין בהן כדי להקים חשש ממשי למשוא פנים בנסיבות העניין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10.6.2018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2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843" w:type="dxa"/>
            <w:tcBorders/>
          </w:tcPr>
          <w:p>
            <w:pPr>
              <w:pStyle w:val="Ruller42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18028770</w:t>
      </w:r>
      <w:r>
        <w:rPr>
          <w:sz w:val="16"/>
          <w:rtl w:val="true"/>
        </w:rPr>
        <w:t>_</w:t>
      </w:r>
      <w:r>
        <w:rPr>
          <w:sz w:val="16"/>
        </w:rPr>
        <w:t>V02.doc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ה א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Cs w:val="22"/>
        </w:rPr>
        <w:t>54678313-2877/18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2877/18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לואי סעאבנה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הוועדה המקומית גליל מזרחי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5">
    <w:name w:val="Ruller5 תו"/>
    <w:qFormat/>
    <w:rPr>
      <w:rFonts w:ascii="Arial TUR;Arial" w:hAnsi="Arial TUR;Arial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eastAsia="Calibri" w:cs="FrankRuehl"/>
      <w:spacing w:val="10"/>
      <w:sz w:val="24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  <w:textAlignment w:val="auto"/>
    </w:pPr>
    <w:rPr>
      <w:rFonts w:ascii="Garamond" w:hAnsi="Garamond" w:eastAsia="Calibri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150121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91073" TargetMode="External"/><Relationship Id="rId5" Type="http://schemas.openxmlformats.org/officeDocument/2006/relationships/hyperlink" Target="http://www.nevo.co.il/case/23003773" TargetMode="External"/><Relationship Id="rId6" Type="http://schemas.openxmlformats.org/officeDocument/2006/relationships/hyperlink" Target="http://www.nevo.co.il/case/5948006" TargetMode="External"/><Relationship Id="rId7" Type="http://schemas.openxmlformats.org/officeDocument/2006/relationships/hyperlink" Target="http://www.nevo.co.il/case/6085021" TargetMode="External"/><Relationship Id="rId8" Type="http://schemas.openxmlformats.org/officeDocument/2006/relationships/hyperlink" Target="http://www.nevo.co.il/case/6116224" TargetMode="External"/><Relationship Id="rId9" Type="http://schemas.openxmlformats.org/officeDocument/2006/relationships/hyperlink" Target="http://www.nevo.co.il/case/5782507" TargetMode="External"/><Relationship Id="rId10" Type="http://schemas.openxmlformats.org/officeDocument/2006/relationships/hyperlink" Target="http://www.nevo.co.il/case/5791596" TargetMode="External"/><Relationship Id="rId11" Type="http://schemas.openxmlformats.org/officeDocument/2006/relationships/hyperlink" Target="https://supreme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2018-06-12T10:16:00Z</dcterms:created>
  <dc:creator> </dc:creator>
  <dc:description/>
  <cp:keywords/>
  <dc:language>en-IL</dc:language>
  <cp:lastModifiedBy>orly</cp:lastModifiedBy>
  <cp:lastPrinted>2018-06-10T12:10:00Z</cp:lastPrinted>
  <dcterms:modified xsi:type="dcterms:W3CDTF">2018-06-12T10:16:00Z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לואי סעאבנה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הוועדה המקומית גליל מזרחי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20150121;23003773;5948006;6085021;6116224;5782507;5791596</vt:lpwstr>
  </property>
  <property fmtid="{D5CDD505-2E9C-101B-9397-08002B2CF9AE}" pid="9" name="CITY">
    <vt:lpwstr/>
  </property>
  <property fmtid="{D5CDD505-2E9C-101B-9397-08002B2CF9AE}" pid="10" name="DATE">
    <vt:lpwstr>20180610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 א' חיות</vt:lpwstr>
  </property>
  <property fmtid="{D5CDD505-2E9C-101B-9397-08002B2CF9AE}" pid="14" name="LAWLISTTMP1">
    <vt:lpwstr>91073</vt:lpwstr>
  </property>
  <property fmtid="{D5CDD505-2E9C-101B-9397-08002B2CF9AE}" pid="15" name="LAWYER">
    <vt:lpwstr>יאיר חמודות;עלאא אלדין עתאמנה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בתי-משפט</vt:lpwstr>
  </property>
  <property fmtid="{D5CDD505-2E9C-101B-9397-08002B2CF9AE}" pid="27" name="NOSE110">
    <vt:lpwstr/>
  </property>
  <property fmtid="{D5CDD505-2E9C-101B-9397-08002B2CF9AE}" pid="28" name="NOSE12">
    <vt:lpwstr>בתי-משפט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14;14</vt:lpwstr>
  </property>
  <property fmtid="{D5CDD505-2E9C-101B-9397-08002B2CF9AE}" pid="37" name="NOSE21">
    <vt:lpwstr>שופטים</vt:lpwstr>
  </property>
  <property fmtid="{D5CDD505-2E9C-101B-9397-08002B2CF9AE}" pid="38" name="NOSE210">
    <vt:lpwstr/>
  </property>
  <property fmtid="{D5CDD505-2E9C-101B-9397-08002B2CF9AE}" pid="39" name="NOSE22">
    <vt:lpwstr>פסלות שופט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341;336</vt:lpwstr>
  </property>
  <property fmtid="{D5CDD505-2E9C-101B-9397-08002B2CF9AE}" pid="48" name="NOSE31">
    <vt:lpwstr>פסילה</vt:lpwstr>
  </property>
  <property fmtid="{D5CDD505-2E9C-101B-9397-08002B2CF9AE}" pid="49" name="NOSE310">
    <vt:lpwstr/>
  </property>
  <property fmtid="{D5CDD505-2E9C-101B-9397-08002B2CF9AE}" pid="50" name="NOSE32">
    <vt:lpwstr>טעמי הפסלות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2803;2758</vt:lpwstr>
  </property>
  <property fmtid="{D5CDD505-2E9C-101B-9397-08002B2CF9AE}" pid="59" name="PADIDATE">
    <vt:lpwstr>20180612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2877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410120180610</vt:lpwstr>
  </property>
  <property fmtid="{D5CDD505-2E9C-101B-9397-08002B2CF9AE}" pid="69" name="TYPE_N_DATE">
    <vt:lpwstr>41020180610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