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342" w:hRule="atLeast"/>
        </w:trPr>
        <w:tc>
          <w:tcPr>
            <w:tcW w:w="8364" w:type="dxa"/>
            <w:gridSpan w:val="2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2883/23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רונן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3776-02-22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23.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.2023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נאות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פרי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חן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ברק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עלי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27.9.2023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18"/>
          <w:szCs w:val="22"/>
        </w:rPr>
      </w:pPr>
      <w:r>
        <w:rPr>
          <w:sz w:val="18"/>
          <w:szCs w:val="2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52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זוארץ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לוי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12"/>
          <w:szCs w:val="16"/>
        </w:rPr>
      </w:pPr>
      <w:r>
        <w:rPr>
          <w:sz w:val="12"/>
          <w:szCs w:val="16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מואסי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סמואל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משפחת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יוניס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חטיב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14"/>
          <w:szCs w:val="18"/>
        </w:rPr>
      </w:pPr>
      <w:r>
        <w:rPr>
          <w:sz w:val="14"/>
          <w:szCs w:val="18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מרדכי קרמניצר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חאלד גנאים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הרפורמה בעבירות ההמתה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</w:rPr>
          <w:t>2019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)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לאור עקרונות היסוד של המשפט ומחקר היסטורי והשוואתי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2020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298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טו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413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452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1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שפיטה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21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2" w:name="ABSTRACT_START"/>
      <w:bookmarkEnd w:id="12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כב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החולקת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בזדון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נוער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>: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>: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התגלע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סכסוך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ארוסתו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ומשפחתה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ארוסתו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והתעמת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חפץ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ולחבוט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צעק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יסתכל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בליבו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ניפץ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רכב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FrankRuehl"/>
          <w:sz w:val="24"/>
          <w:sz w:val="24"/>
          <w:szCs w:val="26"/>
          <w:rtl w:val="true"/>
        </w:rPr>
        <w:t>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למשפחת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258,000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כבוב</w:t>
      </w:r>
      <w:r>
        <w:rPr>
          <w:rFonts w:cs="FrankRuehl"/>
          <w:sz w:val="24"/>
          <w:szCs w:val="26"/>
          <w:rtl w:val="true"/>
        </w:rPr>
        <w:t>: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</w:t>
      </w:r>
      <w:r>
        <w:rPr>
          <w:rFonts w:cs="FrankRuehl"/>
          <w:sz w:val="24"/>
          <w:sz w:val="24"/>
          <w:szCs w:val="26"/>
          <w:rtl w:val="true"/>
        </w:rPr>
        <w:t>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התשל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ז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1977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בבואו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40</w:t>
      </w:r>
      <w:r>
        <w:rPr>
          <w:rFonts w:cs="FrankRuehl"/>
          <w:sz w:val="24"/>
          <w:sz w:val="24"/>
          <w:szCs w:val="26"/>
          <w:rtl w:val="true"/>
        </w:rPr>
        <w:t>טו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שנועדה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בהשוואה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בהרחבה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בבואו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מהרפורמה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באדישות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נימוקים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שבעטיים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הנימוק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והאשמה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מגיר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הנימוק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לבגיר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והנימוק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התפיסה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מטילים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ישתקם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נימוקים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המיעוט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רונן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משעה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שהרפורמה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נכנסה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לתוקף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באדישות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נחשבת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לבגירים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הבגירים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מוטלים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באדישות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כניסת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הרפורמה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לתוקף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באדישות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מנגד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הצטברה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באדישות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הרפורמה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באדישות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הוטלו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18.5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בממוצע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ואילו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הרפורמה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14.5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הנורמטיבית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הגבוהה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המחוקק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אדישות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השתקפה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קריאת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כיוון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החמירו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באדישות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המורשעים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ניתוח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הרפורמה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ההמתה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באדישות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הרפורמה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מיעוט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מרכזיים</w:t>
      </w:r>
      <w:r>
        <w:rPr>
          <w:rFonts w:cs="FrankRuehl"/>
          <w:sz w:val="24"/>
          <w:szCs w:val="26"/>
          <w:rtl w:val="true"/>
        </w:rPr>
        <w:t>: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שנית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הרפורמה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שמבוצעת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אדישות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מלאכת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באספקלריה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ייחודית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 w:val="24"/>
          <w:szCs w:val="26"/>
          <w:rtl w:val="true"/>
        </w:rPr>
        <w:t>מעניקה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לסיכויי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לעיתים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התנגשות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ומצד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ומעוררים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לבטים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שלפנינו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מורכבים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מסוכנות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בהמלצה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17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דילמה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נוקשים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כניסתה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הרפורמה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ההמתה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באדישות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298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הרפורמה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מעש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באדישות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נכללים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300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הבסיסית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המתאימים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באדישות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301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המחייבת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עולם‏‏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 w:val="24"/>
          <w:szCs w:val="26"/>
          <w:rtl w:val="true"/>
        </w:rPr>
        <w:t>שינוי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 w:val="24"/>
          <w:szCs w:val="26"/>
          <w:rtl w:val="true"/>
        </w:rPr>
        <w:t>בטא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באדישות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רוצח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כניסתה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הרפורמה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ההמתה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עוצבה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באדישות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המבצעים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ונחרץ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מובן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משהרפורמה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FrankRuehl"/>
          <w:sz w:val="24"/>
          <w:szCs w:val="26"/>
          <w:rtl w:val="true"/>
        </w:rPr>
        <w:t>,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ליישמה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מובהק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להקפיד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ולהציב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עינינו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וחירב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שלמה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אסון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בענישת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המרכזי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קטינות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חסינות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מתאימים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bookmarkStart w:id="19" w:name="Start_Write"/>
      <w:bookmarkEnd w:id="19"/>
      <w:r>
        <w:rPr>
          <w:rtl w:val="true"/>
        </w:rPr>
        <w:tab/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 xml:space="preserve">יליד שנת </w:t>
      </w:r>
      <w:r>
        <w:rPr/>
        <w:t>2005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קטין כבן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ביום ביצוע העבירה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הורשע על פי הודאתו ברצח </w:t>
      </w:r>
      <w:r>
        <w:rPr>
          <w:rtl w:val="true"/>
        </w:rPr>
        <w:t>מ</w:t>
      </w:r>
      <w:r>
        <w:rPr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tl w:val="true"/>
        </w:rPr>
        <w:t xml:space="preserve">), </w:t>
      </w:r>
      <w:r>
        <w:rPr>
          <w:rtl w:val="true"/>
        </w:rPr>
        <w:t xml:space="preserve">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>וכן בעבירות של חבלה</w:t>
      </w:r>
      <w:r>
        <w:rPr>
          <w:rtl w:val="true"/>
        </w:rPr>
        <w:t xml:space="preserve"> במזיד</w:t>
      </w:r>
      <w:r>
        <w:rPr>
          <w:rtl w:val="true"/>
        </w:rPr>
        <w:t xml:space="preserve"> והיזק </w:t>
      </w:r>
      <w:r>
        <w:rPr>
          <w:rtl w:val="true"/>
        </w:rPr>
        <w:t>בזדון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בגזר דינו של בית המשפט לנוער בבית המשפט המחוזי בחיפה </w:t>
      </w:r>
      <w:r>
        <w:rPr>
          <w:rtl w:val="true"/>
        </w:rPr>
        <w:t>(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</w:t>
      </w:r>
      <w:r>
        <w:rPr>
          <w:rtl w:val="true"/>
        </w:rPr>
        <w:t xml:space="preserve">,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tl w:val="true"/>
        </w:rPr>
        <w:t xml:space="preserve"> והשופט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תפ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3776-02-22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23.2.2023</w:t>
      </w:r>
      <w:r>
        <w:rPr>
          <w:rtl w:val="true"/>
        </w:rPr>
        <w:t xml:space="preserve">, </w:t>
      </w:r>
      <w:r>
        <w:rPr>
          <w:rtl w:val="true"/>
        </w:rPr>
        <w:t xml:space="preserve">נגזר על המשיב עונש של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לצד עונשי מאסר על תנאי ותשלום פיצוי למשפחת המנוח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 ערעור המדינה על קולת העונש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Normal"/>
        <w:ind w:end="0"/>
        <w:jc w:val="both"/>
        <w:rPr>
          <w:rFonts w:cs="Miriam"/>
        </w:rPr>
      </w:pPr>
      <w:r>
        <w:rPr>
          <w:rFonts w:cs="Miriam"/>
          <w:b/>
          <w:b/>
          <w:sz w:val="22"/>
          <w:sz w:val="22"/>
          <w:rtl w:val="true"/>
        </w:rPr>
        <w:t>עיקרי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כתב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האישום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המתוקן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2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כמתואר בכתב האישום המתוקן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tl w:val="true"/>
        </w:rPr>
        <w:t xml:space="preserve"> והקטינה ח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 </w:t>
      </w:r>
      <w:r>
        <w:rPr>
          <w:rtl w:val="true"/>
        </w:rPr>
        <w:t>התארס</w:t>
      </w:r>
      <w:r>
        <w:rPr>
          <w:rtl w:val="true"/>
        </w:rPr>
        <w:t>ו</w:t>
      </w:r>
      <w:r>
        <w:rPr>
          <w:rtl w:val="true"/>
        </w:rPr>
        <w:t xml:space="preserve"> בשנת </w:t>
      </w:r>
      <w:r>
        <w:rPr/>
        <w:t>2021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המנוח </w:t>
      </w:r>
      <w:r>
        <w:rPr>
          <w:rtl w:val="true"/>
        </w:rPr>
        <w:t xml:space="preserve">ומשפחתו התגוררו בשכנות </w:t>
      </w:r>
      <w:r>
        <w:rPr>
          <w:rtl w:val="true"/>
        </w:rPr>
        <w:t>לקטינה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בין בתי </w:t>
      </w:r>
      <w:r>
        <w:rPr>
          <w:rtl w:val="true"/>
        </w:rPr>
        <w:t>משפחת המנוח ומשפחת הקטינה</w:t>
      </w:r>
      <w:r>
        <w:rPr>
          <w:rtl w:val="true"/>
        </w:rPr>
        <w:t xml:space="preserve"> ישנה חצר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החצר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16.1.2022</w:t>
      </w:r>
      <w:r>
        <w:rPr>
          <w:rtl w:val="true"/>
        </w:rPr>
        <w:t xml:space="preserve"> </w:t>
      </w:r>
      <w:r>
        <w:rPr>
          <w:rtl w:val="true"/>
        </w:rPr>
        <w:t xml:space="preserve">נתגלע סכסוך בין המשיב לבין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ומשפחתה</w:t>
      </w:r>
      <w:r>
        <w:rPr>
          <w:rtl w:val="true"/>
        </w:rPr>
        <w:t xml:space="preserve">. </w:t>
      </w:r>
      <w:r>
        <w:rPr>
          <w:rtl w:val="true"/>
        </w:rPr>
        <w:t xml:space="preserve">בסמוך לשעה </w:t>
      </w:r>
      <w:r>
        <w:rPr/>
        <w:t>21:00</w:t>
      </w:r>
      <w:r>
        <w:rPr>
          <w:rtl w:val="true"/>
        </w:rPr>
        <w:t xml:space="preserve"> </w:t>
      </w:r>
      <w:r>
        <w:rPr>
          <w:rtl w:val="true"/>
        </w:rPr>
        <w:t>הגיע המשיב עם חברו</w:t>
      </w:r>
      <w:r>
        <w:rPr>
          <w:rtl w:val="true"/>
        </w:rPr>
        <w:t xml:space="preserve"> נ</w:t>
      </w:r>
      <w:r>
        <w:rPr>
          <w:rtl w:val="true"/>
        </w:rPr>
        <w:t>'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 </w:t>
      </w:r>
      <w:r>
        <w:rPr>
          <w:rtl w:val="true"/>
        </w:rPr>
        <w:t xml:space="preserve">המתגורר בסמיכות </w:t>
      </w:r>
      <w:r>
        <w:rPr>
          <w:rtl w:val="true"/>
        </w:rPr>
        <w:t xml:space="preserve">לבית משפחת </w:t>
      </w:r>
      <w:r>
        <w:rPr>
          <w:rtl w:val="true"/>
        </w:rPr>
        <w:t>ח</w:t>
      </w:r>
      <w:r>
        <w:rPr>
          <w:rtl w:val="true"/>
        </w:rPr>
        <w:t>'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המשיב התעמת עם </w:t>
      </w:r>
      <w:r>
        <w:rPr>
          <w:rtl w:val="true"/>
        </w:rPr>
        <w:t>ח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ובני משפחתה</w:t>
      </w:r>
      <w:r>
        <w:rPr>
          <w:rtl w:val="true"/>
        </w:rPr>
        <w:t xml:space="preserve">, </w:t>
      </w:r>
      <w:r>
        <w:rPr>
          <w:rtl w:val="true"/>
        </w:rPr>
        <w:t>שבר את מכשיר הטלפון הניי</w:t>
      </w:r>
      <w:r>
        <w:rPr>
          <w:rtl w:val="true"/>
        </w:rPr>
        <w:t>ד</w:t>
      </w:r>
      <w:r>
        <w:rPr>
          <w:rtl w:val="true"/>
        </w:rPr>
        <w:t xml:space="preserve"> של </w:t>
      </w:r>
      <w:r>
        <w:rPr>
          <w:rtl w:val="true"/>
        </w:rPr>
        <w:t>ח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ועז</w:t>
      </w:r>
      <w:r>
        <w:rPr>
          <w:rtl w:val="true"/>
        </w:rPr>
        <w:t>ב</w:t>
      </w:r>
      <w:r>
        <w:rPr>
          <w:rtl w:val="true"/>
        </w:rPr>
        <w:t xml:space="preserve"> בסמוך לשעה </w:t>
      </w:r>
      <w:r>
        <w:rPr/>
        <w:t>21:30</w:t>
      </w:r>
      <w:r>
        <w:rPr>
          <w:rtl w:val="true"/>
        </w:rPr>
        <w:t xml:space="preserve"> </w:t>
      </w:r>
      <w:r>
        <w:rPr>
          <w:rtl w:val="true"/>
        </w:rPr>
        <w:t xml:space="preserve">את </w:t>
      </w:r>
      <w:r>
        <w:rPr>
          <w:rtl w:val="true"/>
        </w:rPr>
        <w:t>ביתה</w:t>
      </w:r>
      <w:r>
        <w:rPr>
          <w:rtl w:val="true"/>
        </w:rPr>
        <w:t xml:space="preserve">, </w:t>
      </w:r>
      <w:r>
        <w:rPr>
          <w:rtl w:val="true"/>
        </w:rPr>
        <w:t xml:space="preserve">בעוד </w:t>
      </w:r>
      <w:r>
        <w:rPr>
          <w:rtl w:val="true"/>
        </w:rPr>
        <w:t>חברו</w:t>
      </w:r>
      <w:r>
        <w:rPr>
          <w:rtl w:val="true"/>
        </w:rPr>
        <w:t xml:space="preserve"> נ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 xml:space="preserve">נותר </w:t>
      </w:r>
      <w:r>
        <w:rPr>
          <w:rtl w:val="true"/>
        </w:rPr>
        <w:t>שם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באותו מועד</w:t>
      </w:r>
      <w:r>
        <w:rPr>
          <w:rtl w:val="true"/>
        </w:rPr>
        <w:t xml:space="preserve">, </w:t>
      </w:r>
      <w:r>
        <w:rPr>
          <w:rtl w:val="true"/>
        </w:rPr>
        <w:t xml:space="preserve">חנו בחצר מספר רכבים ביניהם רכב </w:t>
      </w:r>
      <w:r>
        <w:rPr>
          <w:rtl w:val="true"/>
        </w:rPr>
        <w:t>השייך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אחיו של המנוח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הרכב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בסמוך</w:t>
      </w:r>
      <w:r>
        <w:rPr>
          <w:rtl w:val="true"/>
        </w:rPr>
        <w:t xml:space="preserve">, </w:t>
      </w:r>
      <w:r>
        <w:rPr>
          <w:rtl w:val="true"/>
        </w:rPr>
        <w:t xml:space="preserve">עמד המנוח יחד עם חברו – </w:t>
      </w:r>
      <w:r>
        <w:rPr>
          <w:rtl w:val="true"/>
        </w:rPr>
        <w:t>ט</w:t>
      </w:r>
      <w:r>
        <w:rPr>
          <w:rtl w:val="true"/>
        </w:rPr>
        <w:t>'</w:t>
      </w:r>
      <w:r>
        <w:rPr>
          <w:rtl w:val="true"/>
        </w:rPr>
        <w:t xml:space="preserve">. </w:t>
      </w:r>
      <w:r>
        <w:rPr>
          <w:rtl w:val="true"/>
        </w:rPr>
        <w:t xml:space="preserve">עם יציאתו מבית </w:t>
      </w:r>
      <w:r>
        <w:rPr>
          <w:rtl w:val="true"/>
        </w:rPr>
        <w:t>ח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המשיב החל לקלל</w:t>
      </w:r>
      <w:r>
        <w:rPr>
          <w:rtl w:val="true"/>
        </w:rPr>
        <w:t xml:space="preserve"> בקולי קולות</w:t>
      </w:r>
      <w:r>
        <w:rPr>
          <w:rtl w:val="true"/>
        </w:rPr>
        <w:t xml:space="preserve"> ולחבוט ברכבים שחנו בסמוך לבית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כשהוא </w:t>
      </w:r>
      <w:r>
        <w:rPr>
          <w:rtl w:val="true"/>
        </w:rPr>
        <w:t>מחזיק בידו חפץ חד</w:t>
      </w:r>
      <w:r>
        <w:rPr>
          <w:rtl w:val="true"/>
        </w:rPr>
        <w:t xml:space="preserve">. </w:t>
      </w:r>
      <w:r>
        <w:rPr>
          <w:rtl w:val="true"/>
        </w:rPr>
        <w:t xml:space="preserve">משהבחין במנוח וחברו </w:t>
      </w:r>
      <w:r>
        <w:rPr>
          <w:rtl w:val="true"/>
        </w:rPr>
        <w:t>"</w:t>
      </w:r>
      <w:r>
        <w:rPr>
          <w:rtl w:val="true"/>
        </w:rPr>
        <w:t>צעק לעברם שלא יביטו בו וקילל אותם</w:t>
      </w:r>
      <w:r>
        <w:rPr>
          <w:rtl w:val="true"/>
        </w:rPr>
        <w:t xml:space="preserve">", </w:t>
      </w:r>
      <w:r>
        <w:rPr>
          <w:rtl w:val="true"/>
        </w:rPr>
        <w:t>כלשון כתב האישום המתוקן</w:t>
      </w:r>
      <w:r>
        <w:rPr>
          <w:rtl w:val="true"/>
        </w:rPr>
        <w:t xml:space="preserve">.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 xml:space="preserve">שחשש מהמשיב שאחז בידו בחפץ החד </w:t>
      </w:r>
      <w:r>
        <w:rPr>
          <w:rtl w:val="true"/>
        </w:rPr>
        <w:t>התרחק לאחור</w:t>
      </w:r>
      <w:r>
        <w:rPr>
          <w:rtl w:val="true"/>
        </w:rPr>
        <w:t xml:space="preserve">, </w:t>
      </w:r>
      <w:r>
        <w:rPr>
          <w:rtl w:val="true"/>
        </w:rPr>
        <w:t>אולם המנוח נותר עומד בסמוך לרכב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המשיב התקדם לעבר המנוח ודקר אותו דקירה אחת בבית החזה </w:t>
      </w:r>
      <w:r>
        <w:rPr>
          <w:rtl w:val="true"/>
        </w:rPr>
        <w:t xml:space="preserve">מצד שמאל </w:t>
      </w:r>
      <w:r>
        <w:rPr>
          <w:rtl w:val="true"/>
        </w:rPr>
        <w:t>באמצעות החפץ החד</w:t>
      </w:r>
      <w:r>
        <w:rPr>
          <w:rtl w:val="true"/>
        </w:rPr>
        <w:t xml:space="preserve">, </w:t>
      </w:r>
      <w:r>
        <w:rPr>
          <w:rtl w:val="true"/>
        </w:rPr>
        <w:t>כשהוא שווה נפש לאפשרות גרימת מותו של המנוח</w:t>
      </w:r>
      <w:r>
        <w:rPr>
          <w:rtl w:val="true"/>
        </w:rPr>
        <w:t xml:space="preserve">. </w:t>
      </w:r>
      <w:r>
        <w:rPr>
          <w:rtl w:val="true"/>
        </w:rPr>
        <w:t xml:space="preserve">להב החפץ </w:t>
      </w:r>
      <w:r>
        <w:rPr>
          <w:rtl w:val="true"/>
        </w:rPr>
        <w:t>חדר ללבו של המנוח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המשיב חבט פעמיים בשמשה האחורית של הרכב</w:t>
      </w:r>
      <w:r>
        <w:rPr>
          <w:rtl w:val="true"/>
        </w:rPr>
        <w:t xml:space="preserve">, </w:t>
      </w:r>
      <w:r>
        <w:rPr>
          <w:rtl w:val="true"/>
        </w:rPr>
        <w:t>ניפץ אותה ועזב את המקום</w:t>
      </w:r>
      <w:r>
        <w:rPr>
          <w:rtl w:val="true"/>
        </w:rPr>
        <w:t xml:space="preserve">. </w:t>
      </w:r>
      <w:r>
        <w:rPr>
          <w:rtl w:val="true"/>
        </w:rPr>
        <w:t>המנוח נפגע קשות מהדקירה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צעד מספר צעדים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נכנס לביתו </w:t>
      </w:r>
      <w:r>
        <w:rPr>
          <w:rtl w:val="true"/>
        </w:rPr>
        <w:t>ו</w:t>
      </w:r>
      <w:r>
        <w:rPr>
          <w:rtl w:val="true"/>
        </w:rPr>
        <w:t>התמוטט</w:t>
      </w:r>
      <w:r>
        <w:rPr>
          <w:rtl w:val="true"/>
        </w:rPr>
        <w:t xml:space="preserve">. </w:t>
      </w:r>
      <w:r>
        <w:rPr>
          <w:rtl w:val="true"/>
        </w:rPr>
        <w:t xml:space="preserve">במנוח בוצעו </w:t>
      </w:r>
      <w:r>
        <w:rPr>
          <w:rtl w:val="true"/>
        </w:rPr>
        <w:t xml:space="preserve">ניסיונות </w:t>
      </w:r>
      <w:r>
        <w:rPr>
          <w:rtl w:val="true"/>
        </w:rPr>
        <w:t>החייאה ממושכים והוא הועבר במצב אנוש לבית החולים שם נקבע מותו</w:t>
      </w:r>
      <w:r>
        <w:rPr>
          <w:rtl w:val="true"/>
        </w:rPr>
        <w:t xml:space="preserve">. </w:t>
      </w:r>
      <w:r>
        <w:rPr>
          <w:rtl w:val="true"/>
        </w:rPr>
        <w:t>מותו של המנוח נגרם בעקבות הדקירה בחזה שחדרה ללב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בגין מעשיו</w:t>
      </w:r>
      <w:r>
        <w:rPr>
          <w:rtl w:val="true"/>
        </w:rPr>
        <w:t xml:space="preserve">, </w:t>
      </w:r>
      <w:r>
        <w:rPr>
          <w:rtl w:val="true"/>
        </w:rPr>
        <w:t xml:space="preserve">יוחסו למשיב </w:t>
      </w:r>
      <w:r>
        <w:rPr>
          <w:rtl w:val="true"/>
        </w:rPr>
        <w:t xml:space="preserve">בכתב האישום המתוקן </w:t>
      </w:r>
      <w:r>
        <w:rPr>
          <w:rtl w:val="true"/>
        </w:rPr>
        <w:t xml:space="preserve">עבירות של רצח </w:t>
      </w:r>
      <w:r>
        <w:rPr>
          <w:rtl w:val="true"/>
        </w:rPr>
        <w:t>(</w:t>
      </w:r>
      <w:r>
        <w:rPr>
          <w:rtl w:val="true"/>
        </w:rPr>
        <w:t>יסוד נפשי של אדישות</w:t>
      </w:r>
      <w:r>
        <w:rPr>
          <w:rtl w:val="true"/>
        </w:rPr>
        <w:t xml:space="preserve">), </w:t>
      </w:r>
      <w:r>
        <w:rPr>
          <w:rtl w:val="true"/>
        </w:rPr>
        <w:t xml:space="preserve">לפי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חבלה במזי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ה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; </w:t>
      </w:r>
      <w:r>
        <w:rPr>
          <w:rtl w:val="true"/>
        </w:rPr>
        <w:t xml:space="preserve">והיזק </w:t>
      </w:r>
      <w:r>
        <w:rPr>
          <w:rtl w:val="true"/>
        </w:rPr>
        <w:t>בזדון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לאחר תחילת שמיעת העדים</w:t>
      </w:r>
      <w:r>
        <w:rPr>
          <w:rtl w:val="true"/>
        </w:rPr>
        <w:t xml:space="preserve">, </w:t>
      </w:r>
      <w:r>
        <w:rPr>
          <w:rtl w:val="true"/>
        </w:rPr>
        <w:t xml:space="preserve">הצדדים הגיעו </w:t>
      </w:r>
      <w:r>
        <w:rPr>
          <w:rtl w:val="true"/>
        </w:rPr>
        <w:t>להסדר</w:t>
      </w:r>
      <w:r>
        <w:rPr>
          <w:rtl w:val="true"/>
        </w:rPr>
        <w:t xml:space="preserve"> טיעון שלפיו המשיב יודה במיוחס לו לפי כתב האישום המתוקן</w:t>
      </w:r>
      <w:r>
        <w:rPr>
          <w:rtl w:val="true"/>
        </w:rPr>
        <w:t xml:space="preserve">. </w:t>
      </w:r>
      <w:r>
        <w:rPr>
          <w:rtl w:val="true"/>
        </w:rPr>
        <w:t>ההסדר לא כלל</w:t>
      </w:r>
      <w:r>
        <w:rPr>
          <w:rtl w:val="true"/>
        </w:rPr>
        <w:t xml:space="preserve"> הסכמה לעניין העונש</w:t>
      </w:r>
      <w:r>
        <w:rPr>
          <w:rtl w:val="true"/>
        </w:rPr>
        <w:t xml:space="preserve">. </w:t>
      </w:r>
      <w:r>
        <w:rPr>
          <w:rtl w:val="true"/>
        </w:rPr>
        <w:t>לאחר שבית ה</w:t>
      </w:r>
      <w:r>
        <w:rPr>
          <w:rtl w:val="true"/>
        </w:rPr>
        <w:t>מ</w:t>
      </w:r>
      <w:r>
        <w:rPr>
          <w:rtl w:val="true"/>
        </w:rPr>
        <w:t xml:space="preserve">שפט קבע כי המשיב ביצע את </w:t>
      </w:r>
      <w:r>
        <w:rPr>
          <w:rtl w:val="true"/>
        </w:rPr>
        <w:t>עבירת הרצח וה</w:t>
      </w:r>
      <w:r>
        <w:rPr>
          <w:rtl w:val="true"/>
        </w:rPr>
        <w:t>עבירות</w:t>
      </w:r>
      <w:r>
        <w:rPr>
          <w:rtl w:val="true"/>
        </w:rPr>
        <w:t xml:space="preserve"> הנוספות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כמתואר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בשל היות המשיב כבן </w:t>
      </w:r>
      <w:r>
        <w:rPr/>
        <w:t>17</w:t>
      </w:r>
      <w:r>
        <w:rPr>
          <w:rtl w:val="true"/>
        </w:rPr>
        <w:t xml:space="preserve"> (</w:t>
      </w:r>
      <w:r>
        <w:rPr>
          <w:rtl w:val="true"/>
        </w:rPr>
        <w:t xml:space="preserve">בהתאם לקבוע </w:t>
      </w:r>
      <w:hyperlink r:id="rId19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הנוער</w:t>
      </w:r>
      <w:r>
        <w:rPr>
          <w:rtl w:val="true"/>
        </w:rPr>
        <w:t xml:space="preserve">)) </w:t>
      </w:r>
      <w:r>
        <w:rPr>
          <w:rtl w:val="true"/>
        </w:rPr>
        <w:t xml:space="preserve">נקבע דיון נוסף לשמיעת הטיעונים לעונש ושירות המבחן לנוער התבקש להכין תסקיר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בתסקיר </w:t>
      </w:r>
      <w:r>
        <w:rPr>
          <w:rtl w:val="true"/>
        </w:rPr>
        <w:t xml:space="preserve">מיום </w:t>
      </w:r>
      <w:r>
        <w:rPr/>
        <w:t>11.1.2023</w:t>
      </w:r>
      <w:r>
        <w:rPr>
          <w:rtl w:val="true"/>
        </w:rPr>
        <w:t xml:space="preserve"> </w:t>
      </w:r>
      <w:r>
        <w:rPr>
          <w:rtl w:val="true"/>
        </w:rPr>
        <w:t>פורטו מכלול נסיבותיו האישיות והמשפחתיות של המשיב</w:t>
      </w:r>
      <w:r>
        <w:rPr>
          <w:rtl w:val="true"/>
        </w:rPr>
        <w:t xml:space="preserve">. </w:t>
      </w:r>
      <w:r>
        <w:rPr>
          <w:rtl w:val="true"/>
        </w:rPr>
        <w:t>תואר</w:t>
      </w:r>
      <w:r>
        <w:rPr>
          <w:rtl w:val="true"/>
        </w:rPr>
        <w:t xml:space="preserve">, </w:t>
      </w:r>
      <w:r>
        <w:rPr>
          <w:rtl w:val="true"/>
        </w:rPr>
        <w:t xml:space="preserve">כי לעניין המעשים שבהם הודה המשיב מסר לעורך התסקיר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המתוקן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הודה</w:t>
      </w:r>
      <w:r>
        <w:rPr>
          <w:rtl w:val="true"/>
        </w:rPr>
        <w:t xml:space="preserve">". </w:t>
      </w:r>
      <w:r>
        <w:rPr>
          <w:rtl w:val="true"/>
        </w:rPr>
        <w:t>המשיב אף הטיל אחריות לתחילת האירוע על המנוח שלטענתו הבחין בו וקילל אותו</w:t>
      </w:r>
      <w:r>
        <w:rPr>
          <w:rtl w:val="true"/>
        </w:rPr>
        <w:t xml:space="preserve">, </w:t>
      </w:r>
      <w:r>
        <w:rPr>
          <w:rtl w:val="true"/>
        </w:rPr>
        <w:t>סטר לו בפניו ולאחר שהמשיב נפל ארצה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הבחין בחפץ אחד ובאמצעותו דקר את המנוח</w:t>
      </w:r>
      <w:r>
        <w:rPr>
          <w:rtl w:val="true"/>
        </w:rPr>
        <w:t xml:space="preserve">. </w:t>
      </w:r>
      <w:r>
        <w:rPr>
          <w:rtl w:val="true"/>
        </w:rPr>
        <w:t>עוד הכחיש כי חבט בשמשת הרכב לאחר הדקירה</w:t>
      </w:r>
      <w:r>
        <w:rPr>
          <w:rtl w:val="true"/>
        </w:rPr>
        <w:t xml:space="preserve">. </w:t>
      </w:r>
      <w:r>
        <w:rPr>
          <w:rtl w:val="true"/>
        </w:rPr>
        <w:t xml:space="preserve">עוד </w:t>
      </w:r>
      <w:r>
        <w:rPr>
          <w:rtl w:val="true"/>
        </w:rPr>
        <w:t xml:space="preserve">נכתב כי המשיב אינו מתאים למסגרות </w:t>
      </w:r>
      <w:r>
        <w:rPr>
          <w:rtl w:val="true"/>
        </w:rPr>
        <w:t xml:space="preserve">רשות </w:t>
      </w:r>
      <w:r>
        <w:rPr>
          <w:rtl w:val="true"/>
        </w:rPr>
        <w:t>חסות הנוער</w:t>
      </w:r>
      <w:r>
        <w:rPr>
          <w:rtl w:val="true"/>
        </w:rPr>
        <w:t xml:space="preserve">, </w:t>
      </w:r>
      <w:r>
        <w:rPr>
          <w:rtl w:val="true"/>
        </w:rPr>
        <w:t>אף לא הנעולות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אין בכוחן לאיין את מסוכנותו</w:t>
      </w:r>
      <w:r>
        <w:rPr>
          <w:rtl w:val="true"/>
        </w:rPr>
        <w:t xml:space="preserve">. </w:t>
      </w:r>
      <w:r>
        <w:rPr>
          <w:rtl w:val="true"/>
        </w:rPr>
        <w:t>כן צוין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 אין באפשרות שירות המבחן לנוער להציע תכנית טיפולית המותאמת לצרכיו ולחומרת העבירה המיוחסת לו</w:t>
      </w:r>
      <w:r>
        <w:rPr>
          <w:rtl w:val="true"/>
        </w:rPr>
        <w:t xml:space="preserve">, </w:t>
      </w:r>
      <w:r>
        <w:rPr>
          <w:rtl w:val="true"/>
        </w:rPr>
        <w:t>נסיבותיה ומניעיו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שירות המבחן לנוער לא ב</w:t>
      </w:r>
      <w:r>
        <w:rPr>
          <w:rtl w:val="true"/>
        </w:rPr>
        <w:t>א</w:t>
      </w:r>
      <w:r>
        <w:rPr>
          <w:rtl w:val="true"/>
        </w:rPr>
        <w:t xml:space="preserve"> בהמלצ</w:t>
      </w:r>
      <w:r>
        <w:rPr>
          <w:rtl w:val="true"/>
        </w:rPr>
        <w:t>ת</w:t>
      </w:r>
      <w:r>
        <w:rPr>
          <w:rtl w:val="true"/>
        </w:rPr>
        <w:t xml:space="preserve"> טיפול בעניינו של המשיב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הוגש תסקיר נפגע עבירה</w:t>
      </w:r>
      <w:r>
        <w:rPr>
          <w:rtl w:val="true"/>
        </w:rPr>
        <w:t xml:space="preserve"> מיום </w:t>
      </w:r>
      <w:r>
        <w:rPr/>
        <w:t>29.12.2022</w:t>
      </w:r>
      <w:r>
        <w:rPr>
          <w:rtl w:val="true"/>
        </w:rPr>
        <w:t xml:space="preserve"> </w:t>
      </w:r>
      <w:r>
        <w:rPr>
          <w:rtl w:val="true"/>
        </w:rPr>
        <w:t>הנוגע ל</w:t>
      </w:r>
      <w:r>
        <w:rPr>
          <w:rtl w:val="true"/>
        </w:rPr>
        <w:t>ילדי המנוח ואלמנתו</w:t>
      </w:r>
      <w:r>
        <w:rPr>
          <w:rtl w:val="true"/>
        </w:rPr>
        <w:t xml:space="preserve">. </w:t>
      </w:r>
      <w:r>
        <w:rPr>
          <w:rtl w:val="true"/>
        </w:rPr>
        <w:t xml:space="preserve">בתמצית </w:t>
      </w:r>
      <w:r>
        <w:rPr>
          <w:rtl w:val="true"/>
        </w:rPr>
        <w:t>יתואר</w:t>
      </w:r>
      <w:r>
        <w:rPr>
          <w:rtl w:val="true"/>
        </w:rPr>
        <w:t xml:space="preserve">, </w:t>
      </w:r>
      <w:r>
        <w:rPr>
          <w:rtl w:val="true"/>
        </w:rPr>
        <w:t>כי המנוח הותיר אחריו אלמנה</w:t>
      </w:r>
      <w:r>
        <w:rPr>
          <w:rtl w:val="true"/>
        </w:rPr>
        <w:t xml:space="preserve"> בת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 xml:space="preserve">אשר הייתה תלויה במנוח בכל היבטי החיים </w:t>
      </w:r>
      <w:r>
        <w:rPr>
          <w:rtl w:val="true"/>
        </w:rPr>
        <w:t>וארבעה ילדים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הבכורה </w:t>
      </w:r>
      <w:r>
        <w:rPr>
          <w:rtl w:val="true"/>
        </w:rPr>
        <w:t xml:space="preserve">מביניהם </w:t>
      </w:r>
      <w:r>
        <w:rPr>
          <w:rtl w:val="true"/>
        </w:rPr>
        <w:t xml:space="preserve">הייתה בת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במועד הרצח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אלמנת המנוח תיארה את רגעי הרצח כרגעים קשים של פחד ואימה כאשר לא ידעה אם בעלה יחיה או מה יעלה בגורלו ובגורל ילדיה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עורכת תסקיר נפגעי העבירה מתארת בתסקיר את פגישתה עם אלמנת המנוח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>
          <w:rtl w:val="true"/>
        </w:rPr>
        <w:t>מספרים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האובדן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בעלה</w:t>
      </w:r>
      <w:r>
        <w:rPr>
          <w:rtl w:val="true"/>
        </w:rPr>
        <w:t xml:space="preserve">. </w:t>
      </w:r>
      <w:r>
        <w:rPr>
          <w:rtl w:val="true"/>
        </w:rPr>
        <w:t>היגון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ותהומי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מנוח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 xml:space="preserve">',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ודקה</w:t>
      </w:r>
      <w:r>
        <w:rPr>
          <w:rtl w:val="true"/>
        </w:rPr>
        <w:t xml:space="preserve">.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הפגישה</w:t>
      </w:r>
      <w:r>
        <w:rPr>
          <w:rtl w:val="true"/>
        </w:rPr>
        <w:t xml:space="preserve">, </w:t>
      </w:r>
      <w:r>
        <w:rPr>
          <w:rtl w:val="true"/>
        </w:rPr>
        <w:t>דמעות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זלגו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מעייניה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ולעיתים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מתנתקת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ושרויה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היומיום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ריכוז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בזיכרון</w:t>
      </w:r>
      <w:r>
        <w:rPr>
          <w:rtl w:val="true"/>
        </w:rPr>
        <w:t>."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ובהמשך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תפקודה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 xml:space="preserve">',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המישורים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משתלטים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היבטי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הפתאומי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האובדן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>: '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>.'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המוות</w:t>
      </w:r>
      <w:r>
        <w:rPr>
          <w:rtl w:val="true"/>
        </w:rPr>
        <w:t xml:space="preserve">,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הטראומטית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>
          <w:rtl w:val="true"/>
        </w:rPr>
        <w:t>שעשויים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סימפטומים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פוסט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ודיכאון</w:t>
      </w:r>
      <w:r>
        <w:rPr>
          <w:rtl w:val="true"/>
        </w:rPr>
        <w:t>."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נקלעה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תקצר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ילדיה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וסיוטים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סובלת</w:t>
      </w:r>
      <w:r>
        <w:rPr>
          <w:rtl w:val="true"/>
        </w:rPr>
        <w:t xml:space="preserve">. </w:t>
      </w:r>
      <w:r>
        <w:rPr>
          <w:rtl w:val="true"/>
        </w:rPr>
        <w:t>עורכת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הפתאומי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והאכזרי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נהרסו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שלמה</w:t>
      </w:r>
      <w:r>
        <w:rPr>
          <w:rtl w:val="true"/>
        </w:rPr>
        <w:t xml:space="preserve">, </w:t>
      </w:r>
      <w:r>
        <w:rPr>
          <w:rtl w:val="true"/>
        </w:rPr>
        <w:t>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יגדלו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חייהם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 xml:space="preserve">בתסקיר נוסף </w:t>
      </w:r>
      <w:r>
        <w:rPr>
          <w:rtl w:val="true"/>
        </w:rPr>
        <w:t xml:space="preserve">מיום </w:t>
      </w:r>
      <w:r>
        <w:rPr/>
        <w:t>23.1.2023</w:t>
      </w:r>
      <w:r>
        <w:rPr>
          <w:rtl w:val="true"/>
        </w:rPr>
        <w:t xml:space="preserve"> </w:t>
      </w:r>
      <w:r>
        <w:rPr>
          <w:rtl w:val="true"/>
        </w:rPr>
        <w:t xml:space="preserve">פורט הנזק שנגרם </w:t>
      </w:r>
      <w:r>
        <w:rPr>
          <w:rtl w:val="true"/>
        </w:rPr>
        <w:t xml:space="preserve">מהרצח </w:t>
      </w:r>
      <w:r>
        <w:rPr>
          <w:rtl w:val="true"/>
        </w:rPr>
        <w:t>להוריו של המנוח ואחיו</w:t>
      </w:r>
      <w:r>
        <w:rPr>
          <w:rtl w:val="true"/>
        </w:rPr>
        <w:t xml:space="preserve">, </w:t>
      </w:r>
      <w:r>
        <w:rPr>
          <w:rtl w:val="true"/>
        </w:rPr>
        <w:t xml:space="preserve">וגם ממנו הצטיירה </w:t>
      </w:r>
      <w:r>
        <w:rPr>
          <w:rtl w:val="true"/>
        </w:rPr>
        <w:t>תמונה קשה</w:t>
      </w:r>
      <w:r>
        <w:rPr>
          <w:rtl w:val="true"/>
        </w:rPr>
        <w:t xml:space="preserve">. </w:t>
      </w:r>
      <w:r>
        <w:rPr>
          <w:rtl w:val="true"/>
        </w:rPr>
        <w:t>נכתב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להערכת שירות המבחן ענישה משמעותית למשיב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כפי שנתפסת על ידם</w:t>
      </w:r>
      <w:r>
        <w:rPr>
          <w:rtl w:val="true"/>
        </w:rPr>
        <w:t xml:space="preserve">, </w:t>
      </w:r>
      <w:r>
        <w:rPr>
          <w:rtl w:val="true"/>
        </w:rPr>
        <w:t>שתיתן הכרה למשמעות הפגיעה הקשה והישירה ביקירם</w:t>
      </w:r>
      <w:r>
        <w:rPr>
          <w:rtl w:val="true"/>
        </w:rPr>
        <w:t xml:space="preserve">, </w:t>
      </w:r>
      <w:r>
        <w:rPr>
          <w:rtl w:val="true"/>
        </w:rPr>
        <w:t>הפגיעה העקיפה בהם</w:t>
      </w:r>
      <w:r>
        <w:rPr>
          <w:rtl w:val="true"/>
        </w:rPr>
        <w:t xml:space="preserve">, </w:t>
      </w:r>
      <w:r>
        <w:rPr>
          <w:rtl w:val="true"/>
        </w:rPr>
        <w:t>והנזקים שנגרמו להם</w:t>
      </w:r>
      <w:r>
        <w:rPr>
          <w:rtl w:val="true"/>
        </w:rPr>
        <w:t xml:space="preserve">, </w:t>
      </w:r>
      <w:r>
        <w:rPr>
          <w:rtl w:val="true"/>
        </w:rPr>
        <w:t>עשויה להחזיר להם</w:t>
      </w:r>
      <w:r>
        <w:rPr>
          <w:rtl w:val="true"/>
        </w:rPr>
        <w:t xml:space="preserve">, </w:t>
      </w:r>
      <w:r>
        <w:rPr>
          <w:rtl w:val="true"/>
        </w:rPr>
        <w:t>ולו במעט</w:t>
      </w:r>
      <w:r>
        <w:rPr>
          <w:rtl w:val="true"/>
        </w:rPr>
        <w:t xml:space="preserve">, </w:t>
      </w:r>
      <w:r>
        <w:rPr>
          <w:rtl w:val="true"/>
        </w:rPr>
        <w:t>תחושת ביטחון וצדק</w:t>
      </w:r>
      <w:r>
        <w:rPr>
          <w:rtl w:val="true"/>
        </w:rPr>
        <w:t xml:space="preserve">, </w:t>
      </w:r>
      <w:r>
        <w:rPr>
          <w:rtl w:val="true"/>
        </w:rPr>
        <w:t>וליצור אצלם הקלה מסוימת וסיכוי לארגן מחדש את חייהם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בגזר הדין</w:t>
      </w:r>
      <w:r>
        <w:rPr>
          <w:rtl w:val="true"/>
        </w:rPr>
        <w:t xml:space="preserve">, </w:t>
      </w:r>
      <w:r>
        <w:rPr>
          <w:rtl w:val="true"/>
        </w:rPr>
        <w:t>עמד תחילה בית המשפט</w:t>
      </w:r>
      <w:r>
        <w:rPr>
          <w:rtl w:val="true"/>
        </w:rPr>
        <w:t xml:space="preserve"> המחוזי</w:t>
      </w:r>
      <w:r>
        <w:rPr>
          <w:rtl w:val="true"/>
        </w:rPr>
        <w:t xml:space="preserve"> על ערך השמירה על חיי אדם</w:t>
      </w:r>
      <w:r>
        <w:rPr>
          <w:rtl w:val="true"/>
        </w:rPr>
        <w:t xml:space="preserve">. </w:t>
      </w:r>
      <w:r>
        <w:rPr>
          <w:rtl w:val="true"/>
        </w:rPr>
        <w:t>לאחר זאת</w:t>
      </w:r>
      <w:r>
        <w:rPr>
          <w:rtl w:val="true"/>
        </w:rPr>
        <w:t xml:space="preserve">, </w:t>
      </w:r>
      <w:r>
        <w:rPr>
          <w:rtl w:val="true"/>
        </w:rPr>
        <w:t xml:space="preserve">סקר את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230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 xml:space="preserve"> – </w:t>
      </w:r>
      <w:r>
        <w:rPr>
          <w:rtl w:val="true"/>
        </w:rPr>
        <w:t xml:space="preserve">ובפרט </w:t>
      </w:r>
      <w:r>
        <w:rPr>
          <w:rtl w:val="true"/>
        </w:rPr>
        <w:t xml:space="preserve">ציין כי </w:t>
      </w:r>
      <w:r>
        <w:rPr>
          <w:rtl w:val="true"/>
        </w:rPr>
        <w:t>היא משקפת החמרה מהותית</w:t>
      </w:r>
      <w:r>
        <w:rPr>
          <w:rtl w:val="true"/>
        </w:rPr>
        <w:t xml:space="preserve">, </w:t>
      </w:r>
      <w:r>
        <w:rPr>
          <w:rtl w:val="true"/>
        </w:rPr>
        <w:t>ערכית ועונשית במקרה של רצח באדישות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</w:t>
      </w:r>
      <w:r>
        <w:rPr>
          <w:rtl w:val="true"/>
        </w:rPr>
        <w:t xml:space="preserve">אמנם </w:t>
      </w:r>
      <w:r>
        <w:rPr>
          <w:rtl w:val="true"/>
        </w:rPr>
        <w:t>סקר את מדיניות הענישה המתגבשת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וזאת בהתחשב גם</w:t>
      </w:r>
      <w:r>
        <w:rPr>
          <w:rtl w:val="true"/>
        </w:rPr>
        <w:t xml:space="preserve"> </w:t>
      </w:r>
      <w:r>
        <w:rPr>
          <w:rtl w:val="true"/>
        </w:rPr>
        <w:t>בעובדה ש</w:t>
      </w:r>
      <w:r>
        <w:rPr>
          <w:rtl w:val="true"/>
        </w:rPr>
        <w:t>המשיב הוא קטין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אשר במועד ביצוע הרצח היה </w:t>
      </w:r>
      <w:r>
        <w:rPr>
          <w:rtl w:val="true"/>
        </w:rPr>
        <w:t>כ</w:t>
      </w:r>
      <w:r>
        <w:rPr>
          <w:rtl w:val="true"/>
        </w:rPr>
        <w:t xml:space="preserve">בן 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כך ש</w:t>
      </w:r>
      <w:r>
        <w:rPr>
          <w:rtl w:val="true"/>
        </w:rPr>
        <w:t xml:space="preserve">החוק שחל בעניינו הוא </w:t>
      </w:r>
      <w:r>
        <w:rPr>
          <w:rtl w:val="true"/>
        </w:rPr>
        <w:t>חוק הנוער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והשיקול המנחה בענישת קטין הוא השיקול השיקומי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בעניינו הקונקרטי של המשיב</w:t>
      </w:r>
      <w:r>
        <w:rPr>
          <w:rtl w:val="true"/>
        </w:rPr>
        <w:t xml:space="preserve">, </w:t>
      </w:r>
      <w:r>
        <w:rPr>
          <w:rtl w:val="true"/>
        </w:rPr>
        <w:t>הודגשה התוצאה הקשה של מעשיו</w:t>
      </w:r>
      <w:r>
        <w:rPr>
          <w:rtl w:val="true"/>
        </w:rPr>
        <w:t xml:space="preserve">, </w:t>
      </w:r>
      <w:r>
        <w:rPr>
          <w:rtl w:val="true"/>
        </w:rPr>
        <w:t>לרבות הקשיים העצומים שעמם מתמודדים אלמנתו וילדיו</w:t>
      </w:r>
      <w:r>
        <w:rPr>
          <w:rtl w:val="true"/>
        </w:rPr>
        <w:t xml:space="preserve"> של המנוח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 חומרת מעשיו מקבלת משנה תוקף בשים לב לכך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שלאחר ש</w:t>
      </w:r>
      <w:r>
        <w:rPr>
          <w:rtl w:val="true"/>
        </w:rPr>
        <w:t>ד</w:t>
      </w:r>
      <w:r>
        <w:rPr>
          <w:rtl w:val="true"/>
        </w:rPr>
        <w:t>קר את המנוח עזב את המקום לאחר שניפץ את שמשת הרכב מבלי להושיט כל עזרה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בית המשפט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 xml:space="preserve">הוסיף והרחיב בדבר </w:t>
      </w:r>
      <w:r>
        <w:rPr>
          <w:rtl w:val="true"/>
        </w:rPr>
        <w:t>חומרת תופעת ה</w:t>
      </w:r>
      <w:r>
        <w:rPr>
          <w:rtl w:val="true"/>
        </w:rPr>
        <w:t>"</w:t>
      </w:r>
      <w:r>
        <w:rPr>
          <w:rtl w:val="true"/>
        </w:rPr>
        <w:t>סכינאות</w:t>
      </w:r>
      <w:r>
        <w:rPr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וציין כי</w:t>
      </w:r>
      <w:r>
        <w:rPr>
          <w:rtl w:val="true"/>
        </w:rPr>
        <w:t xml:space="preserve"> הפגיעה </w:t>
      </w:r>
      <w:r>
        <w:rPr>
          <w:rtl w:val="true"/>
        </w:rPr>
        <w:t xml:space="preserve">במנוח </w:t>
      </w:r>
      <w:r>
        <w:rPr>
          <w:rtl w:val="true"/>
        </w:rPr>
        <w:t>לא נעשתה על רקע מחלוקת כלשהי או אירוע אלים קודם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מדובר בתוצאה של החלטה רגעית על ר</w:t>
      </w:r>
      <w:r>
        <w:rPr>
          <w:rtl w:val="true"/>
        </w:rPr>
        <w:t>ק</w:t>
      </w:r>
      <w:r>
        <w:rPr>
          <w:rtl w:val="true"/>
        </w:rPr>
        <w:t>ע מצבו הרגשי של המשיב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הודגש </w:t>
      </w:r>
      <w:r>
        <w:rPr>
          <w:rtl w:val="true"/>
        </w:rPr>
        <w:t>כי לא ניתן להתעלם מגילו הצעיר של המשיב וח</w:t>
      </w:r>
      <w:r>
        <w:rPr>
          <w:rtl w:val="true"/>
        </w:rPr>
        <w:t>ו</w:t>
      </w:r>
      <w:r>
        <w:rPr>
          <w:rtl w:val="true"/>
        </w:rPr>
        <w:t>סר בשלותו</w:t>
      </w:r>
      <w:r>
        <w:rPr>
          <w:rtl w:val="true"/>
        </w:rPr>
        <w:t xml:space="preserve">, </w:t>
      </w:r>
      <w:r>
        <w:rPr>
          <w:rtl w:val="true"/>
        </w:rPr>
        <w:t xml:space="preserve">כמו גם מנסיבות </w:t>
      </w:r>
      <w:r>
        <w:rPr>
          <w:rtl w:val="true"/>
        </w:rPr>
        <w:t>ה</w:t>
      </w:r>
      <w:r>
        <w:rPr>
          <w:rtl w:val="true"/>
        </w:rPr>
        <w:t xml:space="preserve">חיים המשפחתיות והאישיות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 xml:space="preserve">בהיותו </w:t>
      </w:r>
      <w:r>
        <w:rPr>
          <w:rtl w:val="true"/>
        </w:rPr>
        <w:t>בן למשפחה קשת</w:t>
      </w:r>
      <w:r>
        <w:rPr>
          <w:rtl w:val="true"/>
        </w:rPr>
        <w:t>-</w:t>
      </w:r>
      <w:r>
        <w:rPr>
          <w:rtl w:val="true"/>
        </w:rPr>
        <w:t xml:space="preserve">יום המונה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בהתחשב ב</w:t>
      </w:r>
      <w:r>
        <w:rPr>
          <w:rtl w:val="true"/>
        </w:rPr>
        <w:t xml:space="preserve">כלל </w:t>
      </w:r>
      <w:r>
        <w:rPr>
          <w:rtl w:val="true"/>
        </w:rPr>
        <w:t>שיקולים אלו</w:t>
      </w:r>
      <w:r>
        <w:rPr>
          <w:rtl w:val="true"/>
        </w:rPr>
        <w:t xml:space="preserve">, </w:t>
      </w:r>
      <w:r>
        <w:rPr>
          <w:rtl w:val="true"/>
        </w:rPr>
        <w:t>בכך שהמשיב הודה בעובדות כתב האישום המתוקן טרם שמיעת מלוא הראיות בתיק ובהיותו ללא עבר פלילי – הורה בית המשפט על הרשעתו בעבירות שיוחסו לו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וגזר עליו עונש של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החל מיום מעצרו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לבל יעבור עבירת אלימות מסוג פשע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לבל יעבור עבירת אלימות מסוג עוון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 xml:space="preserve">ותשלום פיצוי למשפחת המנוח </w:t>
      </w:r>
      <w:r>
        <w:rPr>
          <w:rtl w:val="true"/>
        </w:rPr>
        <w:t>בסכום</w:t>
      </w:r>
      <w:r>
        <w:rPr>
          <w:rtl w:val="true"/>
        </w:rPr>
        <w:t xml:space="preserve"> </w:t>
      </w:r>
      <w:r>
        <w:rPr>
          <w:rtl w:val="true"/>
        </w:rPr>
        <w:t xml:space="preserve">כולל </w:t>
      </w:r>
      <w:r>
        <w:rPr>
          <w:rtl w:val="true"/>
        </w:rPr>
        <w:t xml:space="preserve">של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לטענת המערערת</w:t>
      </w:r>
      <w:r>
        <w:rPr>
          <w:rtl w:val="true"/>
        </w:rPr>
        <w:t xml:space="preserve">, </w:t>
      </w:r>
      <w:r>
        <w:rPr>
          <w:rtl w:val="true"/>
        </w:rPr>
        <w:t xml:space="preserve">העונש שנגזר על המשיב אינו מבטא באופן הולם את חומרת </w:t>
      </w:r>
      <w:r>
        <w:rPr>
          <w:rtl w:val="true"/>
        </w:rPr>
        <w:t>עבירת הרצח ואת נסיבות ביצועה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את הפגיעה הקשה</w:t>
      </w:r>
      <w:r>
        <w:rPr>
          <w:rtl w:val="true"/>
        </w:rPr>
        <w:t xml:space="preserve"> בכך שדקר את המנוח באמצעות חפץ חד בבית החזה מצד שמאל</w:t>
      </w:r>
      <w:r>
        <w:rPr>
          <w:rtl w:val="true"/>
        </w:rPr>
        <w:t xml:space="preserve">, </w:t>
      </w:r>
      <w:r>
        <w:rPr>
          <w:rtl w:val="true"/>
        </w:rPr>
        <w:t>דקירה אחת קטלנית במקום רגיש ומסוכן בגוף המנוח אשר חדרה לליבו וגרמה למותו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המערערת עמדה על נסיבות המקרה לפיהן מיד אחרי שהמשיב עזב את בית משפחת ארוסתו לאחר שהתעמת עמם</w:t>
      </w:r>
      <w:r>
        <w:rPr>
          <w:rtl w:val="true"/>
        </w:rPr>
        <w:t xml:space="preserve">, </w:t>
      </w:r>
      <w:r>
        <w:rPr>
          <w:rtl w:val="true"/>
        </w:rPr>
        <w:t>שבר את מכשיר את הטלפון הנייד</w:t>
      </w:r>
      <w:r>
        <w:rPr>
          <w:rtl w:val="true"/>
        </w:rPr>
        <w:t xml:space="preserve">, </w:t>
      </w:r>
      <w:r>
        <w:rPr>
          <w:rtl w:val="true"/>
        </w:rPr>
        <w:t>קילל ובעט ברכבים שחנו בסמוך</w:t>
      </w:r>
      <w:r>
        <w:rPr>
          <w:rtl w:val="true"/>
        </w:rPr>
        <w:t xml:space="preserve">, </w:t>
      </w:r>
      <w:r>
        <w:rPr>
          <w:rtl w:val="true"/>
        </w:rPr>
        <w:t>וצעק לעבר המנוח</w:t>
      </w:r>
      <w:r>
        <w:rPr>
          <w:rtl w:val="true"/>
        </w:rPr>
        <w:t xml:space="preserve">, </w:t>
      </w:r>
      <w:r>
        <w:rPr>
          <w:rtl w:val="true"/>
        </w:rPr>
        <w:t>אשר כל שעשה היה שעמד בסמוך לאחד הרכבים ולתפיסת המבקש הביט לעברו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קיפח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סתמיות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ואקראיות</w:t>
      </w:r>
      <w:r>
        <w:rPr>
          <w:rtl w:val="true"/>
        </w:rPr>
        <w:t xml:space="preserve">", </w:t>
      </w:r>
      <w:r>
        <w:rPr>
          <w:rtl w:val="true"/>
        </w:rPr>
        <w:t>כלשונה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מופלגת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לעניין </w:t>
      </w:r>
      <w:r>
        <w:rPr>
          <w:rtl w:val="true"/>
        </w:rPr>
        <w:t>מידת</w:t>
      </w:r>
      <w:r>
        <w:rPr>
          <w:rtl w:val="true"/>
        </w:rPr>
        <w:t xml:space="preserve"> עונשו של קטין שביצע רצח</w:t>
      </w:r>
      <w:r>
        <w:rPr>
          <w:rtl w:val="true"/>
        </w:rPr>
        <w:t xml:space="preserve">, </w:t>
      </w:r>
      <w:r>
        <w:rPr>
          <w:rtl w:val="true"/>
        </w:rPr>
        <w:t xml:space="preserve">נטען כי </w:t>
      </w:r>
      <w:r>
        <w:rPr>
          <w:rtl w:val="true"/>
        </w:rPr>
        <w:t>קטינות אינה יכולה להוות שיקול בלעדי לצרכי קביעת משך תקופת המאסר שתוטל על הנאשם</w:t>
      </w:r>
      <w:r>
        <w:rPr>
          <w:rtl w:val="true"/>
        </w:rPr>
        <w:t xml:space="preserve">, </w:t>
      </w:r>
      <w:r>
        <w:rPr>
          <w:rtl w:val="true"/>
        </w:rPr>
        <w:t xml:space="preserve">וכי </w:t>
      </w:r>
      <w:r>
        <w:rPr>
          <w:rtl w:val="true"/>
        </w:rPr>
        <w:t xml:space="preserve">יש </w:t>
      </w:r>
      <w:r>
        <w:rPr>
          <w:rtl w:val="true"/>
        </w:rPr>
        <w:t>לאזנה</w:t>
      </w:r>
      <w:r>
        <w:rPr>
          <w:rtl w:val="true"/>
        </w:rPr>
        <w:t xml:space="preserve"> </w:t>
      </w:r>
      <w:r>
        <w:rPr>
          <w:rtl w:val="true"/>
        </w:rPr>
        <w:t>אל מול</w:t>
      </w:r>
      <w:r>
        <w:rPr>
          <w:rtl w:val="true"/>
        </w:rPr>
        <w:t xml:space="preserve"> שיקולי ענישה נוספים</w:t>
      </w:r>
      <w:r>
        <w:rPr>
          <w:rtl w:val="true"/>
        </w:rPr>
        <w:t xml:space="preserve">. </w:t>
      </w:r>
      <w:r>
        <w:rPr>
          <w:rtl w:val="true"/>
        </w:rPr>
        <w:t>המערערת אינה חולקת על כך שהיה מקום לקחת בחשבון את קטינות המשיב</w:t>
      </w:r>
      <w:r>
        <w:rPr>
          <w:rtl w:val="true"/>
        </w:rPr>
        <w:t xml:space="preserve">, </w:t>
      </w:r>
      <w:r>
        <w:rPr>
          <w:rtl w:val="true"/>
        </w:rPr>
        <w:t>נסיבות חייו הקשות</w:t>
      </w:r>
      <w:r>
        <w:rPr>
          <w:rtl w:val="true"/>
        </w:rPr>
        <w:t xml:space="preserve">, </w:t>
      </w:r>
      <w:r>
        <w:rPr>
          <w:rtl w:val="true"/>
        </w:rPr>
        <w:t>הודאתו והיעדר עבר פלילי לחובתו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לגישתה</w:t>
      </w:r>
      <w:r>
        <w:rPr>
          <w:rtl w:val="true"/>
        </w:rPr>
        <w:t xml:space="preserve"> בהתחשב בכך שסיכויי השיקום נמוכים מאוד לעת הזו</w:t>
      </w:r>
      <w:r>
        <w:rPr>
          <w:rtl w:val="true"/>
        </w:rPr>
        <w:t xml:space="preserve">, </w:t>
      </w:r>
      <w:r>
        <w:rPr>
          <w:rtl w:val="true"/>
        </w:rPr>
        <w:t>היה מקום להעניק משקל משמעותי יותר לשיקולי גמול</w:t>
      </w:r>
      <w:r>
        <w:rPr>
          <w:rtl w:val="true"/>
        </w:rPr>
        <w:t xml:space="preserve">, </w:t>
      </w:r>
      <w:r>
        <w:rPr>
          <w:rtl w:val="true"/>
        </w:rPr>
        <w:t>הרתעה ו</w:t>
      </w:r>
      <w:r>
        <w:rPr>
          <w:rtl w:val="true"/>
        </w:rPr>
        <w:t>ל</w:t>
      </w:r>
      <w:r>
        <w:rPr>
          <w:rtl w:val="true"/>
        </w:rPr>
        <w:t>אינטרס ההגנה על שלום הציבור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בהיבט</w:t>
      </w:r>
      <w:r>
        <w:rPr>
          <w:rtl w:val="true"/>
        </w:rPr>
        <w:t xml:space="preserve"> זה</w:t>
      </w:r>
      <w:r>
        <w:rPr>
          <w:rtl w:val="true"/>
        </w:rPr>
        <w:t xml:space="preserve">, </w:t>
      </w:r>
      <w:r>
        <w:rPr>
          <w:rtl w:val="true"/>
        </w:rPr>
        <w:t>נטען כי בית המשפט</w:t>
      </w:r>
      <w:r>
        <w:rPr>
          <w:rtl w:val="true"/>
        </w:rPr>
        <w:t xml:space="preserve"> המחוזי</w:t>
      </w:r>
      <w:r>
        <w:rPr>
          <w:rtl w:val="true"/>
        </w:rPr>
        <w:t xml:space="preserve"> לא נתן משקל מספק לערך קדושת החיים ומסוכנתו הרבה של המשיב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 המנוח היה קורבן אקראי לחלוטין והרצח בוצע בסתמיות וזלזול כלפי חיי אדם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נסיבות </w:t>
      </w:r>
      <w:r>
        <w:rPr>
          <w:rtl w:val="true"/>
        </w:rPr>
        <w:t>ה</w:t>
      </w:r>
      <w:r>
        <w:rPr>
          <w:rtl w:val="true"/>
        </w:rPr>
        <w:t>מלמדות על מסוכנות מופלגת כלפי הציבור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כן נטען</w:t>
      </w:r>
      <w:r>
        <w:rPr>
          <w:rtl w:val="true"/>
        </w:rPr>
        <w:t xml:space="preserve">, </w:t>
      </w:r>
      <w:r>
        <w:rPr>
          <w:rtl w:val="true"/>
        </w:rPr>
        <w:t>כי העונש שנגזר על המשיב אינו עולה בקנה אחד עם מדיניות הענישה של בית משפט זה בעבירת רצח באדישות</w:t>
      </w:r>
      <w:r>
        <w:rPr>
          <w:rtl w:val="true"/>
        </w:rPr>
        <w:t xml:space="preserve">, </w:t>
      </w:r>
      <w:r>
        <w:rPr>
          <w:rtl w:val="true"/>
        </w:rPr>
        <w:t>כפי שהתגבשה לאחר הרפורמה בעבירות ההמתה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אף כי הוא אינו</w:t>
      </w:r>
      <w:r>
        <w:rPr>
          <w:rtl w:val="true"/>
        </w:rPr>
        <w:t xml:space="preserve"> נותן משקל מספק לחורבן שהמשיב המיט על משפחת המנוח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0"/>
        <w:ind w:end="0"/>
        <w:jc w:val="both"/>
        <w:rPr>
          <w:rFonts w:ascii="Garamond" w:hAnsi="Garamond" w:cs="FrankRuehl"/>
          <w:sz w:val="24"/>
          <w:szCs w:val="28"/>
          <w:lang w:bidi="he-IL"/>
        </w:rPr>
      </w:pPr>
      <w:r>
        <w:rPr>
          <w:rtl w:val="true"/>
        </w:rPr>
        <w:tab/>
      </w:r>
      <w:r>
        <w:rPr>
          <w:rFonts w:ascii="Garamond" w:hAnsi="Garamond" w:cs="FrankRuehl"/>
          <w:sz w:val="24"/>
          <w:sz w:val="24"/>
          <w:szCs w:val="28"/>
          <w:rtl w:val="true"/>
          <w:lang w:bidi="he-IL"/>
        </w:rPr>
        <w:t>בדיון</w:t>
      </w:r>
      <w:r>
        <w:rPr>
          <w:rFonts w:ascii="Garamond" w:hAnsi="Garamond" w:eastAsia="Garamond" w:cs="Garamond"/>
          <w:sz w:val="24"/>
          <w:sz w:val="24"/>
          <w:szCs w:val="28"/>
          <w:rtl w:val="true"/>
          <w:lang w:bidi="he-IL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  <w:lang w:bidi="he-IL"/>
        </w:rPr>
        <w:t>לפנינו</w:t>
      </w:r>
      <w:r>
        <w:rPr>
          <w:rFonts w:cs="FrankRuehl" w:ascii="Garamond" w:hAnsi="Garamond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z w:val="24"/>
          <w:sz w:val="24"/>
          <w:szCs w:val="28"/>
          <w:rtl w:val="true"/>
          <w:lang w:bidi="he-IL"/>
        </w:rPr>
        <w:t>באת</w:t>
      </w:r>
      <w:r>
        <w:rPr>
          <w:rFonts w:cs="FrankRuehl" w:ascii="Garamond" w:hAnsi="Garamond"/>
          <w:sz w:val="24"/>
          <w:szCs w:val="28"/>
          <w:rtl w:val="true"/>
        </w:rPr>
        <w:t>-</w:t>
      </w:r>
      <w:r>
        <w:rPr>
          <w:rFonts w:ascii="Garamond" w:hAnsi="Garamond" w:cs="FrankRuehl"/>
          <w:sz w:val="24"/>
          <w:sz w:val="24"/>
          <w:szCs w:val="28"/>
          <w:rtl w:val="true"/>
          <w:lang w:bidi="he-IL"/>
        </w:rPr>
        <w:t>כוח</w:t>
      </w:r>
      <w:r>
        <w:rPr>
          <w:rFonts w:ascii="Garamond" w:hAnsi="Garamond" w:eastAsia="Garamond" w:cs="Garamond"/>
          <w:sz w:val="24"/>
          <w:sz w:val="24"/>
          <w:szCs w:val="28"/>
          <w:rtl w:val="true"/>
          <w:lang w:bidi="he-IL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  <w:lang w:bidi="he-IL"/>
        </w:rPr>
        <w:t>המדינה</w:t>
      </w:r>
      <w:r>
        <w:rPr>
          <w:rFonts w:ascii="Garamond" w:hAnsi="Garamond" w:eastAsia="Garamond" w:cs="Garamond"/>
          <w:sz w:val="24"/>
          <w:sz w:val="24"/>
          <w:szCs w:val="28"/>
          <w:rtl w:val="true"/>
          <w:lang w:bidi="he-IL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  <w:lang w:bidi="he-IL"/>
        </w:rPr>
        <w:t>תיארה</w:t>
      </w:r>
      <w:r>
        <w:rPr>
          <w:rFonts w:ascii="Garamond" w:hAnsi="Garamond" w:eastAsia="Garamond" w:cs="Garamond"/>
          <w:sz w:val="24"/>
          <w:sz w:val="24"/>
          <w:szCs w:val="28"/>
          <w:rtl w:val="true"/>
          <w:lang w:bidi="he-IL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  <w:lang w:bidi="he-IL"/>
        </w:rPr>
        <w:t>פעם</w:t>
      </w:r>
      <w:r>
        <w:rPr>
          <w:rFonts w:ascii="Garamond" w:hAnsi="Garamond" w:eastAsia="Garamond" w:cs="Garamond"/>
          <w:sz w:val="24"/>
          <w:sz w:val="24"/>
          <w:szCs w:val="28"/>
          <w:rtl w:val="true"/>
          <w:lang w:bidi="he-IL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  <w:lang w:bidi="he-IL"/>
        </w:rPr>
        <w:t>נוספת</w:t>
      </w:r>
      <w:r>
        <w:rPr>
          <w:rFonts w:ascii="Garamond" w:hAnsi="Garamond" w:eastAsia="Garamond" w:cs="Garamond"/>
          <w:sz w:val="24"/>
          <w:sz w:val="24"/>
          <w:szCs w:val="28"/>
          <w:rtl w:val="true"/>
          <w:lang w:bidi="he-IL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  <w:lang w:bidi="he-IL"/>
        </w:rPr>
        <w:t>את</w:t>
      </w:r>
      <w:r>
        <w:rPr>
          <w:rFonts w:ascii="Garamond" w:hAnsi="Garamond" w:eastAsia="Garamond" w:cs="Garamond"/>
          <w:sz w:val="24"/>
          <w:sz w:val="24"/>
          <w:szCs w:val="28"/>
          <w:rtl w:val="true"/>
          <w:lang w:bidi="he-IL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  <w:lang w:bidi="he-IL"/>
        </w:rPr>
        <w:t>חומרת</w:t>
      </w:r>
      <w:r>
        <w:rPr>
          <w:rFonts w:ascii="Garamond" w:hAnsi="Garamond" w:eastAsia="Garamond" w:cs="Garamond"/>
          <w:sz w:val="24"/>
          <w:sz w:val="24"/>
          <w:szCs w:val="28"/>
          <w:rtl w:val="true"/>
          <w:lang w:bidi="he-IL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  <w:lang w:bidi="he-IL"/>
        </w:rPr>
        <w:t>האירוע</w:t>
      </w:r>
      <w:r>
        <w:rPr>
          <w:rFonts w:cs="FrankRuehl" w:ascii="Garamond" w:hAnsi="Garamond"/>
          <w:sz w:val="24"/>
          <w:szCs w:val="28"/>
          <w:rtl w:val="true"/>
          <w:lang w:bidi="he-IL"/>
        </w:rPr>
        <w:t xml:space="preserve">, </w:t>
      </w:r>
      <w:r>
        <w:rPr>
          <w:rFonts w:ascii="Garamond" w:hAnsi="Garamond" w:cs="FrankRuehl"/>
          <w:sz w:val="24"/>
          <w:sz w:val="24"/>
          <w:szCs w:val="28"/>
          <w:rtl w:val="true"/>
          <w:lang w:bidi="he-IL"/>
        </w:rPr>
        <w:t>כאשר</w:t>
      </w:r>
      <w:r>
        <w:rPr>
          <w:rFonts w:ascii="Garamond" w:hAnsi="Garamond" w:eastAsia="Garamond" w:cs="Garamond"/>
          <w:sz w:val="24"/>
          <w:sz w:val="24"/>
          <w:szCs w:val="28"/>
          <w:rtl w:val="true"/>
          <w:lang w:bidi="he-IL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  <w:lang w:bidi="he-IL"/>
        </w:rPr>
        <w:t>המשיב</w:t>
      </w:r>
      <w:r>
        <w:rPr>
          <w:rFonts w:ascii="Garamond" w:hAnsi="Garamond" w:eastAsia="Garamond" w:cs="Garamond"/>
          <w:sz w:val="24"/>
          <w:sz w:val="24"/>
          <w:szCs w:val="28"/>
          <w:rtl w:val="true"/>
          <w:lang w:bidi="he-IL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  <w:lang w:bidi="he-IL"/>
        </w:rPr>
        <w:t>כילה</w:t>
      </w:r>
      <w:r>
        <w:rPr>
          <w:rFonts w:ascii="Garamond" w:hAnsi="Garamond" w:eastAsia="Garamond" w:cs="Garamond"/>
          <w:sz w:val="24"/>
          <w:sz w:val="24"/>
          <w:szCs w:val="28"/>
          <w:rtl w:val="true"/>
          <w:lang w:bidi="he-IL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  <w:lang w:bidi="he-IL"/>
        </w:rPr>
        <w:t>זעמו</w:t>
      </w:r>
      <w:r>
        <w:rPr>
          <w:rFonts w:ascii="Garamond" w:hAnsi="Garamond" w:eastAsia="Garamond" w:cs="Garamond"/>
          <w:sz w:val="24"/>
          <w:sz w:val="24"/>
          <w:szCs w:val="28"/>
          <w:rtl w:val="true"/>
          <w:lang w:bidi="he-IL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  <w:lang w:bidi="he-IL"/>
        </w:rPr>
        <w:t>באדם</w:t>
      </w:r>
      <w:r>
        <w:rPr>
          <w:rFonts w:ascii="Garamond" w:hAnsi="Garamond" w:eastAsia="Garamond" w:cs="Garamond"/>
          <w:sz w:val="24"/>
          <w:sz w:val="24"/>
          <w:szCs w:val="28"/>
          <w:rtl w:val="true"/>
          <w:lang w:bidi="he-IL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  <w:lang w:bidi="he-IL"/>
        </w:rPr>
        <w:t>תמים</w:t>
      </w:r>
      <w:r>
        <w:rPr>
          <w:rFonts w:ascii="Garamond" w:hAnsi="Garamond" w:eastAsia="Garamond" w:cs="Garamond"/>
          <w:sz w:val="24"/>
          <w:sz w:val="24"/>
          <w:szCs w:val="28"/>
          <w:rtl w:val="true"/>
          <w:lang w:bidi="he-IL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  <w:lang w:bidi="he-IL"/>
        </w:rPr>
        <w:t>שעמד</w:t>
      </w:r>
      <w:r>
        <w:rPr>
          <w:rFonts w:ascii="Garamond" w:hAnsi="Garamond" w:eastAsia="Garamond" w:cs="Garamond"/>
          <w:sz w:val="24"/>
          <w:sz w:val="24"/>
          <w:szCs w:val="28"/>
          <w:rtl w:val="true"/>
          <w:lang w:bidi="he-IL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  <w:lang w:bidi="he-IL"/>
        </w:rPr>
        <w:t>ברחוב</w:t>
      </w:r>
      <w:r>
        <w:rPr>
          <w:rFonts w:ascii="Garamond" w:hAnsi="Garamond" w:eastAsia="Garamond" w:cs="Garamond"/>
          <w:sz w:val="24"/>
          <w:sz w:val="24"/>
          <w:szCs w:val="28"/>
          <w:rtl w:val="true"/>
          <w:lang w:bidi="he-IL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  <w:lang w:bidi="he-IL"/>
        </w:rPr>
        <w:t>ש</w:t>
      </w:r>
      <w:r>
        <w:rPr>
          <w:rFonts w:ascii="Garamond" w:hAnsi="Garamond" w:cs="FrankRuehl"/>
          <w:sz w:val="24"/>
          <w:sz w:val="24"/>
          <w:szCs w:val="28"/>
          <w:rtl w:val="true"/>
          <w:lang w:bidi="he-IL"/>
        </w:rPr>
        <w:t>כל</w:t>
      </w:r>
      <w:r>
        <w:rPr>
          <w:rFonts w:ascii="Garamond" w:hAnsi="Garamond" w:eastAsia="Garamond" w:cs="Garamond"/>
          <w:sz w:val="24"/>
          <w:sz w:val="24"/>
          <w:szCs w:val="28"/>
          <w:rtl w:val="true"/>
          <w:lang w:bidi="he-IL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  <w:lang w:bidi="he-IL"/>
        </w:rPr>
        <w:t>חטאו</w:t>
      </w:r>
      <w:r>
        <w:rPr>
          <w:rFonts w:ascii="Garamond" w:hAnsi="Garamond" w:eastAsia="Garamond" w:cs="Garamond"/>
          <w:sz w:val="24"/>
          <w:sz w:val="24"/>
          <w:szCs w:val="28"/>
          <w:rtl w:val="true"/>
          <w:lang w:bidi="he-IL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  <w:lang w:bidi="he-IL"/>
        </w:rPr>
        <w:t>היה</w:t>
      </w:r>
      <w:r>
        <w:rPr>
          <w:rFonts w:ascii="Garamond" w:hAnsi="Garamond" w:eastAsia="Garamond" w:cs="Garamond"/>
          <w:sz w:val="24"/>
          <w:sz w:val="24"/>
          <w:szCs w:val="28"/>
          <w:rtl w:val="true"/>
          <w:lang w:bidi="he-IL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  <w:lang w:bidi="he-IL"/>
        </w:rPr>
        <w:t>שעמד</w:t>
      </w:r>
      <w:r>
        <w:rPr>
          <w:rFonts w:ascii="Garamond" w:hAnsi="Garamond" w:eastAsia="Garamond" w:cs="Garamond"/>
          <w:sz w:val="24"/>
          <w:sz w:val="24"/>
          <w:szCs w:val="28"/>
          <w:rtl w:val="true"/>
          <w:lang w:bidi="he-IL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  <w:lang w:bidi="he-IL"/>
        </w:rPr>
        <w:t>והביט</w:t>
      </w:r>
      <w:r>
        <w:rPr>
          <w:rFonts w:ascii="Garamond" w:hAnsi="Garamond" w:eastAsia="Garamond" w:cs="Garamond"/>
          <w:sz w:val="24"/>
          <w:sz w:val="24"/>
          <w:szCs w:val="28"/>
          <w:rtl w:val="true"/>
          <w:lang w:bidi="he-IL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  <w:lang w:bidi="he-IL"/>
        </w:rPr>
        <w:t>לכיוון</w:t>
      </w:r>
      <w:r>
        <w:rPr>
          <w:rFonts w:ascii="Garamond" w:hAnsi="Garamond" w:eastAsia="Garamond" w:cs="Garamond"/>
          <w:sz w:val="24"/>
          <w:sz w:val="24"/>
          <w:szCs w:val="28"/>
          <w:rtl w:val="true"/>
          <w:lang w:bidi="he-IL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  <w:lang w:bidi="he-IL"/>
        </w:rPr>
        <w:t>המשיב</w:t>
      </w:r>
      <w:r>
        <w:rPr>
          <w:rFonts w:ascii="Garamond" w:hAnsi="Garamond" w:eastAsia="Garamond" w:cs="Garamond"/>
          <w:sz w:val="24"/>
          <w:sz w:val="24"/>
          <w:szCs w:val="28"/>
          <w:rtl w:val="true"/>
          <w:lang w:bidi="he-IL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  <w:lang w:bidi="he-IL"/>
        </w:rPr>
        <w:t>כשזה</w:t>
      </w:r>
      <w:r>
        <w:rPr>
          <w:rFonts w:ascii="Garamond" w:hAnsi="Garamond" w:eastAsia="Garamond" w:cs="Garamond"/>
          <w:sz w:val="24"/>
          <w:sz w:val="24"/>
          <w:szCs w:val="28"/>
          <w:rtl w:val="true"/>
          <w:lang w:bidi="he-IL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  <w:lang w:bidi="he-IL"/>
        </w:rPr>
        <w:t>האחרון</w:t>
      </w:r>
      <w:r>
        <w:rPr>
          <w:rFonts w:ascii="Garamond" w:hAnsi="Garamond" w:eastAsia="Garamond" w:cs="Garamond"/>
          <w:sz w:val="24"/>
          <w:sz w:val="24"/>
          <w:szCs w:val="28"/>
          <w:rtl w:val="true"/>
          <w:lang w:bidi="he-IL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  <w:lang w:bidi="he-IL"/>
        </w:rPr>
        <w:t>בעט</w:t>
      </w:r>
      <w:r>
        <w:rPr>
          <w:rFonts w:ascii="Garamond" w:hAnsi="Garamond" w:eastAsia="Garamond" w:cs="Garamond"/>
          <w:sz w:val="24"/>
          <w:sz w:val="24"/>
          <w:szCs w:val="28"/>
          <w:rtl w:val="true"/>
          <w:lang w:bidi="he-IL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  <w:lang w:bidi="he-IL"/>
        </w:rPr>
        <w:t>ברכבים</w:t>
      </w:r>
      <w:r>
        <w:rPr>
          <w:rFonts w:cs="FrankRuehl" w:ascii="Garamond" w:hAnsi="Garamond"/>
          <w:sz w:val="24"/>
          <w:szCs w:val="28"/>
          <w:rtl w:val="true"/>
          <w:lang w:bidi="he-IL"/>
        </w:rPr>
        <w:t xml:space="preserve">. </w:t>
      </w:r>
      <w:r>
        <w:rPr>
          <w:rFonts w:ascii="Garamond" w:hAnsi="Garamond" w:cs="FrankRuehl"/>
          <w:sz w:val="24"/>
          <w:sz w:val="24"/>
          <w:szCs w:val="28"/>
          <w:rtl w:val="true"/>
          <w:lang w:bidi="he-IL"/>
        </w:rPr>
        <w:t>לדבריה</w:t>
      </w:r>
      <w:r>
        <w:rPr>
          <w:rFonts w:ascii="Garamond" w:hAnsi="Garamond" w:eastAsia="Garamond" w:cs="Garamond"/>
          <w:sz w:val="24"/>
          <w:sz w:val="24"/>
          <w:szCs w:val="28"/>
          <w:rtl w:val="true"/>
          <w:lang w:bidi="he-IL"/>
        </w:rPr>
        <w:t xml:space="preserve"> </w:t>
      </w:r>
      <w:r>
        <w:rPr>
          <w:rFonts w:cs="FrankRuehl" w:ascii="Garamond" w:hAnsi="Garamond"/>
          <w:sz w:val="24"/>
          <w:szCs w:val="28"/>
          <w:rtl w:val="true"/>
          <w:lang w:bidi="he-IL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המנוח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צד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לאירוע</w:t>
      </w:r>
      <w:r>
        <w:rPr>
          <w:rFonts w:cs="Miriam" w:ascii="Century" w:hAnsi="Century"/>
          <w:b/>
          <w:spacing w:val="0"/>
          <w:szCs w:val="24"/>
          <w:rtl w:val="true"/>
          <w:lang w:bidi="he-IL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צד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לוויכוח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המשיב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לארוסתו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ובני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משפחתה</w:t>
      </w:r>
      <w:r>
        <w:rPr>
          <w:rFonts w:cs="Miriam" w:ascii="Century" w:hAnsi="Century"/>
          <w:b/>
          <w:spacing w:val="0"/>
          <w:szCs w:val="24"/>
          <w:rtl w:val="true"/>
          <w:lang w:bidi="he-IL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המנוח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פשוט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נקלע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למקום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בסמוך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לביתו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ובאבחת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חפץ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בחזה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השמאלי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שחודר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ללבו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וכך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מוצא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מותו</w:t>
      </w:r>
      <w:r>
        <w:rPr>
          <w:rFonts w:cs="Miriam" w:ascii="Century" w:hAnsi="Century"/>
          <w:b/>
          <w:spacing w:val="0"/>
          <w:szCs w:val="24"/>
          <w:rtl w:val="true"/>
          <w:lang w:bidi="he-IL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חושבת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ולטעמנו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הנסיבות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כאן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המאפיינות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האירוע</w:t>
      </w:r>
      <w:r>
        <w:rPr>
          <w:rFonts w:cs="Miriam" w:ascii="Century" w:hAnsi="Century"/>
          <w:b/>
          <w:spacing w:val="0"/>
          <w:szCs w:val="24"/>
          <w:rtl w:val="true"/>
          <w:lang w:bidi="he-IL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המעידות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סתמיות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אקראיות</w:t>
      </w:r>
      <w:r>
        <w:rPr>
          <w:rFonts w:cs="Miriam" w:ascii="Century" w:hAnsi="Century"/>
          <w:b/>
          <w:spacing w:val="0"/>
          <w:szCs w:val="24"/>
          <w:rtl w:val="true"/>
          <w:lang w:bidi="he-IL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מעידות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זילות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בוטה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בחיי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bidi="he-IL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bidi="he-IL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  <w:lang w:bidi="he-IL"/>
        </w:rPr>
        <w:t>[...]</w:t>
      </w:r>
      <w:r>
        <w:rPr>
          <w:rFonts w:cs="FrankRuehl" w:ascii="Garamond" w:hAnsi="Garamond"/>
          <w:sz w:val="24"/>
          <w:szCs w:val="28"/>
          <w:rtl w:val="true"/>
          <w:lang w:bidi="he-IL"/>
        </w:rPr>
        <w:t xml:space="preserve">".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לטענת בא</w:t>
      </w:r>
      <w:r>
        <w:rPr>
          <w:rtl w:val="true"/>
        </w:rPr>
        <w:t>-</w:t>
      </w:r>
      <w:r>
        <w:rPr>
          <w:rtl w:val="true"/>
        </w:rPr>
        <w:t>כוח המשיב יש לדחות את הערעור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חומרת המעשים</w:t>
      </w:r>
      <w:r>
        <w:rPr>
          <w:rtl w:val="true"/>
        </w:rPr>
        <w:t xml:space="preserve">, </w:t>
      </w:r>
      <w:r>
        <w:rPr>
          <w:rtl w:val="true"/>
        </w:rPr>
        <w:t>נטען כי יש לקחת בחשבון את הודאתו לפני הערכאה הדיונית ואת תפקודו ה</w:t>
      </w:r>
      <w:r>
        <w:rPr>
          <w:rtl w:val="true"/>
        </w:rPr>
        <w:t>"</w:t>
      </w:r>
      <w:r>
        <w:rPr>
          <w:rtl w:val="true"/>
        </w:rPr>
        <w:t>חיובי</w:t>
      </w:r>
      <w:r>
        <w:rPr>
          <w:rtl w:val="true"/>
        </w:rPr>
        <w:t xml:space="preserve">" </w:t>
      </w:r>
      <w:r>
        <w:rPr>
          <w:rtl w:val="true"/>
        </w:rPr>
        <w:t>כהגדרתו</w:t>
      </w:r>
      <w:r>
        <w:rPr>
          <w:rtl w:val="true"/>
        </w:rPr>
        <w:t xml:space="preserve">, </w:t>
      </w:r>
      <w:r>
        <w:rPr>
          <w:rtl w:val="true"/>
        </w:rPr>
        <w:t>בין כותלי בית הסוהר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 xml:space="preserve">כי המשיב לא הצטייד מראש בכלים ולא תכנן להמית את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אלא מדובר במעשה ספונטני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בית המשפט </w:t>
      </w:r>
      <w:r>
        <w:rPr>
          <w:rtl w:val="true"/>
        </w:rPr>
        <w:t>המחוזי</w:t>
      </w:r>
      <w:r>
        <w:rPr>
          <w:rtl w:val="true"/>
        </w:rPr>
        <w:t xml:space="preserve"> ש</w:t>
      </w:r>
      <w:r>
        <w:rPr>
          <w:rtl w:val="true"/>
        </w:rPr>
        <w:t>י</w:t>
      </w:r>
      <w:r>
        <w:rPr>
          <w:rtl w:val="true"/>
        </w:rPr>
        <w:t>קלל כראוי את כלל השיקולים הרלוונטיים וכן את השלכות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אין סיבה להתערב ב</w:t>
      </w:r>
      <w:r>
        <w:rPr>
          <w:rtl w:val="true"/>
        </w:rPr>
        <w:t>חומרת ה</w:t>
      </w:r>
      <w:r>
        <w:rPr>
          <w:rtl w:val="true"/>
        </w:rPr>
        <w:t>עונש שנגזר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המשיב אף הפנה לפסיקה של בית משפט זה</w:t>
      </w:r>
      <w:r>
        <w:rPr>
          <w:rtl w:val="true"/>
        </w:rPr>
        <w:t xml:space="preserve">, </w:t>
      </w:r>
      <w:r>
        <w:rPr>
          <w:rtl w:val="true"/>
        </w:rPr>
        <w:t xml:space="preserve">וטען כי </w:t>
      </w:r>
      <w:r>
        <w:rPr>
          <w:rtl w:val="true"/>
        </w:rPr>
        <w:t xml:space="preserve">במקרים מעין אלו </w:t>
      </w:r>
      <w:r>
        <w:rPr>
          <w:rtl w:val="true"/>
        </w:rPr>
        <w:t>נגזרו עונשים פחותים מעונשו של המשיב</w:t>
      </w:r>
      <w:r>
        <w:rPr>
          <w:rtl w:val="true"/>
        </w:rPr>
        <w:t xml:space="preserve">, </w:t>
      </w:r>
      <w:r>
        <w:rPr>
          <w:rtl w:val="true"/>
        </w:rPr>
        <w:t xml:space="preserve">וזאת </w:t>
      </w:r>
      <w:r>
        <w:rPr>
          <w:rtl w:val="true"/>
        </w:rPr>
        <w:t>בנסיבות חמורות יותר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להשלמת התמונה יצוין</w:t>
      </w:r>
      <w:r>
        <w:rPr>
          <w:rtl w:val="true"/>
        </w:rPr>
        <w:t xml:space="preserve">, </w:t>
      </w:r>
      <w:r>
        <w:rPr>
          <w:rtl w:val="true"/>
        </w:rPr>
        <w:t>כי לקראת הדיון בערעור הוגש תסקיר עדכני של שירות המבחן לנוער</w:t>
      </w:r>
      <w:r>
        <w:rPr>
          <w:rtl w:val="true"/>
        </w:rPr>
        <w:t xml:space="preserve"> מיום </w:t>
      </w:r>
      <w:r>
        <w:rPr/>
        <w:t>6.9.2023</w:t>
      </w:r>
      <w:r>
        <w:rPr>
          <w:rtl w:val="true"/>
        </w:rPr>
        <w:t xml:space="preserve">. </w:t>
      </w:r>
      <w:r>
        <w:rPr>
          <w:rtl w:val="true"/>
        </w:rPr>
        <w:t>מתסקיר זה עולה</w:t>
      </w:r>
      <w:r>
        <w:rPr>
          <w:rtl w:val="true"/>
        </w:rPr>
        <w:t xml:space="preserve">, </w:t>
      </w:r>
      <w:r>
        <w:rPr>
          <w:rtl w:val="true"/>
        </w:rPr>
        <w:t>בהתייחס לתקופת שהיית המשיב במאסר</w:t>
      </w:r>
      <w:r>
        <w:rPr>
          <w:rtl w:val="true"/>
        </w:rPr>
        <w:t xml:space="preserve">, </w:t>
      </w:r>
      <w:r>
        <w:rPr>
          <w:rtl w:val="true"/>
        </w:rPr>
        <w:t xml:space="preserve">כי לחובתו שתי עבירות משמעת </w:t>
      </w:r>
      <w:r>
        <w:rPr>
          <w:rtl w:val="true"/>
        </w:rPr>
        <w:t>(</w:t>
      </w:r>
      <w:r>
        <w:rPr>
          <w:rtl w:val="true"/>
        </w:rPr>
        <w:t>אחת מהן בשל חשד למעורבות בקטטה</w:t>
      </w:r>
      <w:r>
        <w:rPr>
          <w:rtl w:val="true"/>
        </w:rPr>
        <w:t xml:space="preserve">).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 xml:space="preserve">ח סוציאלי מתאריך </w:t>
      </w:r>
      <w:r>
        <w:rPr/>
        <w:t>15.8.2023</w:t>
      </w:r>
      <w:r>
        <w:rPr>
          <w:rtl w:val="true"/>
        </w:rPr>
        <w:t xml:space="preserve"> </w:t>
      </w:r>
      <w:r>
        <w:rPr>
          <w:rtl w:val="true"/>
        </w:rPr>
        <w:t xml:space="preserve">נכתב כי המשיב בשלבים ראשוניים של טיפול וכי הוא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סביבתיים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והתמכרותיים</w:t>
      </w:r>
      <w:r>
        <w:rPr>
          <w:rtl w:val="true"/>
        </w:rPr>
        <w:t>".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 להתייחסותו כיום לעבירה שביצע</w:t>
      </w:r>
      <w:r>
        <w:rPr>
          <w:rtl w:val="true"/>
        </w:rPr>
        <w:t xml:space="preserve">, </w:t>
      </w:r>
      <w:r>
        <w:rPr>
          <w:rtl w:val="true"/>
        </w:rPr>
        <w:t xml:space="preserve">צוין כי הניסיונות לקראת הגשת התסקיר לשוחח עמו על מעשה העבירה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כשלו</w:t>
      </w:r>
      <w:r>
        <w:rPr>
          <w:rtl w:val="true"/>
        </w:rPr>
        <w:t xml:space="preserve">" </w:t>
      </w:r>
      <w:r>
        <w:rPr>
          <w:rtl w:val="true"/>
        </w:rPr>
        <w:t xml:space="preserve">וכי גם כיום הוא משליך אחריות על קורבן העבירה המנוח וטוען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בפניו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סיבה</w:t>
      </w:r>
      <w:r>
        <w:rPr>
          <w:rtl w:val="true"/>
        </w:rPr>
        <w:t xml:space="preserve">" </w:t>
      </w:r>
      <w:r>
        <w:rPr>
          <w:rtl w:val="true"/>
        </w:rPr>
        <w:t xml:space="preserve">ועל כן הגיב באלימות ותקף אותו </w:t>
      </w:r>
      <w:r>
        <w:rPr>
          <w:rtl w:val="true"/>
        </w:rPr>
        <w:t>–</w:t>
      </w:r>
      <w:r>
        <w:rPr>
          <w:rtl w:val="true"/>
        </w:rPr>
        <w:t xml:space="preserve"> דברים שכאמור לא בא זכרם בכתב האישום המתוקן שבעובדותיו הודה או בטענות המשיב לעונש</w:t>
      </w:r>
      <w:r>
        <w:rPr>
          <w:rtl w:val="true"/>
        </w:rPr>
        <w:t xml:space="preserve">. </w:t>
      </w:r>
      <w:r>
        <w:rPr>
          <w:rtl w:val="true"/>
        </w:rPr>
        <w:t xml:space="preserve">בפרק הסיכום וההמלצות צוין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התייחסות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מצומצמת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ממזערת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ומאופיינת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בהתנהגות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חרדתית</w:t>
      </w:r>
      <w:r>
        <w:rPr>
          <w:rtl w:val="true"/>
        </w:rPr>
        <w:t>".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צוין</w:t>
      </w:r>
      <w:r>
        <w:rPr>
          <w:rtl w:val="true"/>
        </w:rPr>
        <w:t xml:space="preserve">, </w:t>
      </w:r>
      <w:r>
        <w:rPr>
          <w:rtl w:val="true"/>
        </w:rPr>
        <w:t xml:space="preserve">כי אמנם המשיב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ומבטא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אמפתיה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ומשפחתו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שטחית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היעדר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להעמיק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ולהתבונן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במעשיו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ובמהלכה</w:t>
      </w:r>
      <w:r>
        <w:rPr>
          <w:rtl w:val="true"/>
        </w:rPr>
        <w:t xml:space="preserve">".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לא בא שירות המבחן לנוער בהמלצה באשר לערעור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נקודת המוצא היא כי</w:t>
      </w:r>
      <w:r>
        <w:rPr>
          <w:rtl w:val="true"/>
        </w:rPr>
        <w:t xml:space="preserve"> ערכאת הערעור תיטה שלא להתערב בעונש שהושת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שבהם ניכרת חריגה ממשית מרמת הענישה הנוהגת או כאשר נפלה על פני הדברים טעות מהותית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1938/23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13.12.2023</w:t>
      </w:r>
      <w:r>
        <w:rPr>
          <w:rtl w:val="true"/>
        </w:rPr>
        <w:t>)‏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ind w:hanging="0" w:start="0" w:end="0"/>
        <w:jc w:val="both"/>
        <w:rPr>
          <w:color w:val="000000"/>
          <w:sz w:val="27"/>
          <w:szCs w:val="27"/>
        </w:rPr>
      </w:pPr>
      <w:r>
        <w:rPr>
          <w:rtl w:val="true"/>
        </w:rPr>
        <w:t>בענייננו אני סבור כי אכן יש מקום להתערב במידת העונש שנגזר על המשיב</w:t>
      </w:r>
      <w:r>
        <w:rPr>
          <w:rtl w:val="true"/>
        </w:rPr>
        <w:t xml:space="preserve">, </w:t>
      </w:r>
      <w:r>
        <w:rPr>
          <w:rtl w:val="true"/>
        </w:rPr>
        <w:t>ולקבל את הערעור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משני טעמים מרכזיים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מאחר ש</w:t>
      </w:r>
      <w:r>
        <w:rPr>
          <w:rtl w:val="true"/>
        </w:rPr>
        <w:t>העונש שנגזר על המשיב אינו מבטא באופן הולם את חומרת מעשיו</w:t>
      </w:r>
      <w:r>
        <w:rPr>
          <w:rtl w:val="true"/>
        </w:rPr>
        <w:t xml:space="preserve">, </w:t>
      </w:r>
      <w:r>
        <w:rPr>
          <w:rtl w:val="true"/>
        </w:rPr>
        <w:t>נסיבות המקרה ונסיבותיו האישיות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הואיל ו</w:t>
      </w:r>
      <w:r>
        <w:rPr>
          <w:rtl w:val="true"/>
        </w:rPr>
        <w:t xml:space="preserve">העונש שנגזר על המשיב אינו </w:t>
      </w:r>
      <w:r>
        <w:rPr>
          <w:rtl w:val="true"/>
        </w:rPr>
        <w:t>משקף כנדרש את</w:t>
      </w:r>
      <w:r>
        <w:rPr>
          <w:rtl w:val="true"/>
        </w:rPr>
        <w:t xml:space="preserve"> הוראות הרפורמה בעבירות ההמתה</w:t>
      </w:r>
      <w:r>
        <w:rPr>
          <w:rtl w:val="true"/>
        </w:rPr>
        <w:t xml:space="preserve"> ביחס לעבירת רצח שמבוצעת ביסוד נפשי של אדישות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rtl w:val="true"/>
        </w:rPr>
      </w:r>
    </w:p>
    <w:p>
      <w:pPr>
        <w:pStyle w:val="Ruller42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תחילה לאיזון שבין שיקולי הענישה השונים בעניינו של קטין</w:t>
      </w:r>
      <w:r>
        <w:rPr>
          <w:rtl w:val="true"/>
        </w:rPr>
        <w:t xml:space="preserve">.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 xml:space="preserve">עמדתי </w:t>
      </w:r>
      <w:r>
        <w:rPr>
          <w:rtl w:val="true"/>
        </w:rPr>
        <w:t xml:space="preserve">בפירוט </w:t>
      </w:r>
      <w:r>
        <w:rPr>
          <w:rtl w:val="true"/>
        </w:rPr>
        <w:t xml:space="preserve">על </w:t>
      </w:r>
      <w:r>
        <w:rPr>
          <w:rtl w:val="true"/>
        </w:rPr>
        <w:t>הוראות החוק</w:t>
      </w:r>
      <w:r>
        <w:rPr>
          <w:rtl w:val="true"/>
        </w:rPr>
        <w:t xml:space="preserve">, </w:t>
      </w:r>
      <w:r>
        <w:rPr>
          <w:rtl w:val="true"/>
        </w:rPr>
        <w:t>שיקולי הענישה ו</w:t>
      </w:r>
      <w:r>
        <w:rPr>
          <w:rtl w:val="true"/>
        </w:rPr>
        <w:t>ההבדלים ב</w:t>
      </w:r>
      <w:r>
        <w:rPr>
          <w:rtl w:val="true"/>
        </w:rPr>
        <w:t xml:space="preserve">אופן שבו </w:t>
      </w:r>
      <w:r>
        <w:rPr>
          <w:rtl w:val="true"/>
        </w:rPr>
        <w:t xml:space="preserve">מתבצע </w:t>
      </w:r>
      <w:r>
        <w:rPr>
          <w:rtl w:val="true"/>
        </w:rPr>
        <w:t>הליך גזירת הדין בעניינו של קטין</w:t>
      </w:r>
      <w:r>
        <w:rPr>
          <w:rtl w:val="true"/>
        </w:rPr>
        <w:t xml:space="preserve"> </w:t>
      </w:r>
      <w:r>
        <w:rPr>
          <w:rtl w:val="true"/>
        </w:rPr>
        <w:t xml:space="preserve">בהשוואה לעניינו של בגיר </w:t>
      </w:r>
      <w:r>
        <w:rPr>
          <w:rtl w:val="true"/>
        </w:rPr>
        <w:t>(</w:t>
      </w:r>
      <w:r>
        <w:rPr>
          <w:rtl w:val="true"/>
        </w:rPr>
        <w:t>להרחבה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1589/23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פסקאות </w:t>
      </w:r>
      <w:r>
        <w:rPr/>
        <w:t>18-16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</w:t>
      </w:r>
      <w:r>
        <w:rPr/>
        <w:t>.</w:t>
      </w:r>
      <w:r>
        <w:rPr/>
        <w:t>8</w:t>
      </w:r>
      <w:r>
        <w:rPr/>
        <w:t>.2023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וראו גם </w:t>
      </w:r>
      <w:r>
        <w:rPr>
          <w:rtl w:val="true"/>
        </w:rPr>
        <w:t xml:space="preserve">פסקאות </w:t>
      </w:r>
      <w:r>
        <w:rPr/>
        <w:t>10-2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חוות דעתה של חברתי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tl w:val="true"/>
        </w:rPr>
        <w:t>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רונן</w:t>
      </w:r>
      <w:r>
        <w:rPr>
          <w:rtl w:val="true"/>
        </w:rPr>
        <w:t xml:space="preserve">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מלאכת גזירת עונשו של קטין נעשית באספקלריה ייחודית</w:t>
      </w:r>
      <w:r>
        <w:rPr>
          <w:rtl w:val="true"/>
        </w:rPr>
        <w:t xml:space="preserve">, </w:t>
      </w:r>
      <w:r>
        <w:rPr>
          <w:rtl w:val="true"/>
        </w:rPr>
        <w:t>אשר מעניקה משקל נוסף לנסיבותיו האישיות ובכלל זאת לסיכויי שיקומו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9821/16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30.11.2017</w:t>
      </w:r>
      <w:r>
        <w:rPr>
          <w:rtl w:val="true"/>
        </w:rPr>
        <w:t>)‏</w:t>
      </w:r>
      <w:r>
        <w:rPr>
          <w:rtl w:val="true"/>
        </w:rPr>
        <w:t>)</w:t>
      </w:r>
      <w:r>
        <w:rPr>
          <w:rtl w:val="true"/>
        </w:rPr>
        <w:t>‏</w:t>
      </w:r>
      <w:r>
        <w:rPr>
          <w:rtl w:val="true"/>
        </w:rPr>
        <w:t xml:space="preserve">, </w:t>
      </w:r>
      <w:r>
        <w:rPr>
          <w:rtl w:val="true"/>
        </w:rPr>
        <w:t xml:space="preserve">וכפי שסיכמתי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שנבחנים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'</w:t>
      </w:r>
      <w:r>
        <w:rPr>
          <w:rtl w:val="true"/>
        </w:rPr>
        <w:t>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חסינות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גמול</w:t>
      </w:r>
      <w:r>
        <w:rPr>
          <w:rtl w:val="true"/>
        </w:rPr>
        <w:t xml:space="preserve">, </w:t>
      </w:r>
      <w:r>
        <w:rPr>
          <w:rtl w:val="true"/>
        </w:rPr>
        <w:t>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וסיכוייו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כפועל יוצא</w:t>
      </w:r>
      <w:r>
        <w:rPr>
          <w:rtl w:val="true"/>
        </w:rPr>
        <w:t xml:space="preserve">, </w:t>
      </w:r>
      <w:r>
        <w:rPr>
          <w:rtl w:val="true"/>
        </w:rPr>
        <w:t xml:space="preserve">לעיתים </w:t>
      </w:r>
      <w:r>
        <w:rPr>
          <w:rtl w:val="true"/>
        </w:rPr>
        <w:t>ישנה התנגשות חזיתית בין השיקולים השונים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מצד אחד</w:t>
      </w:r>
      <w:r>
        <w:rPr>
          <w:rtl w:val="true"/>
        </w:rPr>
        <w:t xml:space="preserve">, </w:t>
      </w:r>
      <w:r>
        <w:rPr>
          <w:rtl w:val="true"/>
        </w:rPr>
        <w:t>מעשה חמור ביותר</w:t>
      </w:r>
      <w:r>
        <w:rPr>
          <w:rtl w:val="true"/>
        </w:rPr>
        <w:t xml:space="preserve">; </w:t>
      </w:r>
      <w:r>
        <w:rPr>
          <w:rtl w:val="true"/>
        </w:rPr>
        <w:t xml:space="preserve">ומצד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שיקולי שיקום משמעותיים</w:t>
      </w:r>
      <w:r>
        <w:rPr>
          <w:rtl w:val="true"/>
        </w:rPr>
        <w:t xml:space="preserve">. </w:t>
      </w:r>
      <w:r>
        <w:rPr>
          <w:rtl w:val="true"/>
        </w:rPr>
        <w:t xml:space="preserve">מקרים </w:t>
      </w:r>
      <w:r>
        <w:rPr>
          <w:rtl w:val="true"/>
        </w:rPr>
        <w:t>מסוג זה</w:t>
      </w:r>
      <w:r>
        <w:rPr>
          <w:rtl w:val="true"/>
        </w:rPr>
        <w:t xml:space="preserve"> </w:t>
      </w:r>
      <w:r>
        <w:rPr>
          <w:rtl w:val="true"/>
        </w:rPr>
        <w:t>מחייבים איזון עדין בין שיקולי הענישה השונים ומעוררים לבטים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 xml:space="preserve">המקרה שלפנינו אינו נמנה על מקרים מורכבים אלו </w:t>
      </w:r>
      <w:r>
        <w:rPr>
          <w:rtl w:val="true"/>
        </w:rPr>
        <w:t>–</w:t>
      </w:r>
      <w:r>
        <w:rPr>
          <w:rtl w:val="true"/>
        </w:rPr>
        <w:t xml:space="preserve"> מתסקיר שירות המבחן עולה באופן מובהק מסוכנות המשיב</w:t>
      </w:r>
      <w:r>
        <w:rPr>
          <w:rtl w:val="true"/>
        </w:rPr>
        <w:t xml:space="preserve">; </w:t>
      </w:r>
      <w:r>
        <w:rPr>
          <w:rtl w:val="true"/>
        </w:rPr>
        <w:t>שירות המבחן לנוער כלל לא בא בהמלצה טיפולית בעניינו</w:t>
      </w:r>
      <w:r>
        <w:rPr>
          <w:rtl w:val="true"/>
        </w:rPr>
        <w:t xml:space="preserve">; </w:t>
      </w:r>
      <w:r>
        <w:rPr>
          <w:rtl w:val="true"/>
        </w:rPr>
        <w:t xml:space="preserve">וגם במועד הדיון בערעור </w:t>
      </w:r>
      <w:r>
        <w:rPr>
          <w:rtl w:val="true"/>
        </w:rPr>
        <w:t>הליך שיקומו</w:t>
      </w:r>
      <w:r>
        <w:rPr>
          <w:rtl w:val="true"/>
        </w:rPr>
        <w:t xml:space="preserve"> של המשיב</w:t>
      </w:r>
      <w:r>
        <w:rPr>
          <w:rtl w:val="true"/>
        </w:rPr>
        <w:t xml:space="preserve"> נמצא בצעדיו הראשונים</w:t>
      </w:r>
      <w:r>
        <w:rPr>
          <w:rtl w:val="true"/>
        </w:rPr>
        <w:t xml:space="preserve">, </w:t>
      </w:r>
      <w:r>
        <w:rPr>
          <w:rtl w:val="true"/>
        </w:rPr>
        <w:t>אם בכלל</w:t>
      </w:r>
      <w:r>
        <w:rPr>
          <w:rtl w:val="true"/>
        </w:rPr>
        <w:t xml:space="preserve">. </w:t>
      </w:r>
      <w:r>
        <w:rPr>
          <w:rtl w:val="true"/>
        </w:rPr>
        <w:t>אדרבא</w:t>
      </w:r>
      <w:r>
        <w:rPr>
          <w:rtl w:val="true"/>
        </w:rPr>
        <w:t xml:space="preserve">, </w:t>
      </w:r>
      <w:r>
        <w:rPr>
          <w:rtl w:val="true"/>
        </w:rPr>
        <w:t>התסקירים בעניינו של המשיב רוויים בסימנים מטרידים</w:t>
      </w:r>
      <w:r>
        <w:rPr>
          <w:rtl w:val="true"/>
        </w:rPr>
        <w:t xml:space="preserve"> בדבר מסוכנותו הרבה</w:t>
      </w:r>
      <w:r>
        <w:rPr>
          <w:rtl w:val="true"/>
        </w:rPr>
        <w:t xml:space="preserve">. </w:t>
      </w:r>
      <w:r>
        <w:rPr>
          <w:rtl w:val="true"/>
        </w:rPr>
        <w:t>יתרה מזאת</w:t>
      </w:r>
      <w:r>
        <w:rPr>
          <w:rtl w:val="true"/>
        </w:rPr>
        <w:t xml:space="preserve">, </w:t>
      </w:r>
      <w:r>
        <w:rPr>
          <w:rtl w:val="true"/>
        </w:rPr>
        <w:t>המשיב עודנו מתכחש לאחריותו המלאה לאירוע</w:t>
      </w:r>
      <w:r>
        <w:rPr>
          <w:rtl w:val="true"/>
        </w:rPr>
        <w:t xml:space="preserve">, </w:t>
      </w:r>
      <w:r>
        <w:rPr>
          <w:rtl w:val="true"/>
        </w:rPr>
        <w:t>ומאשים את המנוח בכך שהוא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סטר לו תחילה</w:t>
      </w:r>
      <w:r>
        <w:rPr>
          <w:rtl w:val="true"/>
        </w:rPr>
        <w:t xml:space="preserve">. </w:t>
      </w:r>
      <w:r>
        <w:rPr>
          <w:rtl w:val="true"/>
        </w:rPr>
        <w:t>טענה זו של המשיב סותרת באופן מובהק את עובדות כתב האישום המתוקן שבו הודה</w:t>
      </w:r>
      <w:r>
        <w:rPr>
          <w:rtl w:val="true"/>
        </w:rPr>
        <w:t xml:space="preserve">, </w:t>
      </w:r>
      <w:r>
        <w:rPr>
          <w:rtl w:val="true"/>
        </w:rPr>
        <w:t>והיא מלמדת היטב על כך שהמשיב אינו מביע חרטה כנה ואמתית על ביצוע העבירה או נוטל אחריות על מעשיו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על כן</w:t>
      </w:r>
      <w:r>
        <w:rPr>
          <w:rtl w:val="true"/>
        </w:rPr>
        <w:t xml:space="preserve">: </w:t>
      </w:r>
      <w:r>
        <w:rPr>
          <w:rtl w:val="true"/>
        </w:rPr>
        <w:t>אין לפנינו חוות דעת של גורמי מקצוע המלמדת על סיכויי שיקום המשיב המצדיקים ענישה מקלה</w:t>
      </w:r>
      <w:r>
        <w:rPr>
          <w:rtl w:val="true"/>
        </w:rPr>
        <w:t xml:space="preserve">; </w:t>
      </w:r>
      <w:r>
        <w:rPr>
          <w:rtl w:val="true"/>
        </w:rPr>
        <w:t>אין לפנינו נטילת אחריות על המעשים</w:t>
      </w:r>
      <w:r>
        <w:rPr>
          <w:rtl w:val="true"/>
        </w:rPr>
        <w:t xml:space="preserve">; </w:t>
      </w:r>
      <w:r>
        <w:rPr>
          <w:rtl w:val="true"/>
        </w:rPr>
        <w:t>אין לפנינו הבעת חרטה כנה</w:t>
      </w:r>
      <w:r>
        <w:rPr>
          <w:rtl w:val="true"/>
        </w:rPr>
        <w:t xml:space="preserve">; </w:t>
      </w:r>
      <w:r>
        <w:rPr>
          <w:rtl w:val="true"/>
        </w:rPr>
        <w:t xml:space="preserve">ובעת ביצוע הרצח המשיב </w:t>
      </w:r>
      <w:r>
        <w:rPr>
          <w:rtl w:val="true"/>
        </w:rPr>
        <w:t xml:space="preserve">היה כמעט בן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כמעט בגיר</w:t>
      </w:r>
      <w:r>
        <w:rPr>
          <w:rtl w:val="true"/>
        </w:rPr>
        <w:t xml:space="preserve">. </w:t>
      </w:r>
      <w:r>
        <w:rPr>
          <w:rtl w:val="true"/>
        </w:rPr>
        <w:t>יוצא 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אין </w:t>
      </w:r>
      <w:r>
        <w:rPr>
          <w:rtl w:val="true"/>
        </w:rPr>
        <w:t xml:space="preserve">אנו ניצבים לפני </w:t>
      </w:r>
      <w:r>
        <w:rPr>
          <w:rtl w:val="true"/>
        </w:rPr>
        <w:t>דילמה בין הליך שיקום משמעותי לשיקולי ענישה נוקשים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אלו גם אלו</w:t>
      </w:r>
      <w:r>
        <w:rPr>
          <w:rtl w:val="true"/>
        </w:rPr>
        <w:t xml:space="preserve"> </w:t>
      </w:r>
      <w:r>
        <w:rPr>
          <w:rtl w:val="true"/>
        </w:rPr>
        <w:t xml:space="preserve">מחייבים </w:t>
      </w:r>
      <w:r>
        <w:rPr>
          <w:rtl w:val="true"/>
        </w:rPr>
        <w:t xml:space="preserve">השתת </w:t>
      </w:r>
      <w:r>
        <w:rPr>
          <w:rtl w:val="true"/>
        </w:rPr>
        <w:t xml:space="preserve">ענישה </w:t>
      </w:r>
      <w:r>
        <w:rPr>
          <w:rtl w:val="true"/>
        </w:rPr>
        <w:t>הולמת אשר אינה על הצד המקל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 xml:space="preserve">אף אין מנוס מלהזכיר פעם נוספת את נסיבות ביצוע הרצח </w:t>
      </w:r>
      <w:r>
        <w:rPr>
          <w:rtl w:val="true"/>
        </w:rPr>
        <w:t>–</w:t>
      </w:r>
      <w:r>
        <w:rPr>
          <w:rtl w:val="true"/>
        </w:rPr>
        <w:t xml:space="preserve"> המשיב נטל את חייו של המנוח סתם כך</w:t>
      </w:r>
      <w:r>
        <w:rPr>
          <w:rtl w:val="true"/>
        </w:rPr>
        <w:t xml:space="preserve">, </w:t>
      </w:r>
      <w:r>
        <w:rPr>
          <w:rtl w:val="true"/>
        </w:rPr>
        <w:t>כאשר לרצח לא קדמו התגרות או סכסוך כלשהו</w:t>
      </w:r>
      <w:r>
        <w:rPr>
          <w:rtl w:val="true"/>
        </w:rPr>
        <w:t xml:space="preserve">, </w:t>
      </w:r>
      <w:r>
        <w:rPr>
          <w:rtl w:val="true"/>
        </w:rPr>
        <w:t>באופן המבטא זלזול עמוק בעקרון קדושת החיים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עונש של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משקלל כראוי את כלל נסיבות המקרה גם בהתחשב ב</w:t>
      </w:r>
      <w:r>
        <w:rPr>
          <w:rtl w:val="true"/>
        </w:rPr>
        <w:t xml:space="preserve">הודאת המשיב </w:t>
      </w:r>
      <w:r>
        <w:rPr>
          <w:rtl w:val="true"/>
        </w:rPr>
        <w:t>וב</w:t>
      </w:r>
      <w:r>
        <w:rPr>
          <w:rtl w:val="true"/>
        </w:rPr>
        <w:t>היותו נעדר עבר פלילי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 xml:space="preserve">אפנה </w:t>
      </w:r>
      <w:r>
        <w:rPr>
          <w:rtl w:val="true"/>
        </w:rPr>
        <w:t>כעת לנימוק השני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 הורשע בעבירת הרצח הבסיסית שנקבעה במסגרת הרפורמה בעבירות ההמתה</w:t>
      </w:r>
      <w:r>
        <w:rPr>
          <w:rtl w:val="true"/>
        </w:rPr>
        <w:t xml:space="preserve">. </w:t>
      </w:r>
      <w:r>
        <w:rPr>
          <w:rtl w:val="true"/>
        </w:rPr>
        <w:t>אין צורך לשוב ולפרט על הרקע לרפורמה ותכליתה</w:t>
      </w:r>
      <w:r>
        <w:rPr>
          <w:rtl w:val="true"/>
        </w:rPr>
        <w:t xml:space="preserve">, </w:t>
      </w:r>
      <w:r>
        <w:rPr>
          <w:rtl w:val="true"/>
        </w:rPr>
        <w:t>עליהם עמדתי בהרחבה במקרים קודמים</w:t>
      </w:r>
      <w:r>
        <w:rPr>
          <w:rtl w:val="true"/>
        </w:rPr>
        <w:t xml:space="preserve"> רבים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: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סרארי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28-27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16.2.2023</w:t>
      </w:r>
      <w:r>
        <w:rPr>
          <w:rtl w:val="true"/>
        </w:rPr>
        <w:t xml:space="preserve">);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עבדל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קאדר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9-8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1.6.2022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6338/20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7.7.2022</w:t>
      </w:r>
      <w:r>
        <w:rPr>
          <w:rtl w:val="true"/>
        </w:rPr>
        <w:t xml:space="preserve">);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3187/21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אלקאדי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21.8.2022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עד כניסתה לתוקף של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 xml:space="preserve">מקרים של המתה באדישות </w:t>
      </w:r>
      <w:r>
        <w:rPr>
          <w:rtl w:val="true"/>
        </w:rPr>
        <w:t xml:space="preserve">באו בגדרי </w:t>
      </w:r>
      <w:r>
        <w:rPr>
          <w:rtl w:val="true"/>
        </w:rPr>
        <w:t xml:space="preserve">עבירת ההריגה אשר </w:t>
      </w:r>
      <w:r>
        <w:rPr>
          <w:rtl w:val="true"/>
        </w:rPr>
        <w:t xml:space="preserve">נקבעה </w:t>
      </w:r>
      <w:hyperlink r:id="rId29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 xml:space="preserve">העונש המרבי שהיה קבוע בצדה היה עונש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בשונה מכך</w:t>
      </w:r>
      <w:r>
        <w:rPr>
          <w:rtl w:val="true"/>
        </w:rPr>
        <w:t xml:space="preserve">,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מעש</w:t>
      </w:r>
      <w:r>
        <w:rPr>
          <w:rtl w:val="true"/>
        </w:rPr>
        <w:t>י</w:t>
      </w:r>
      <w:r>
        <w:rPr>
          <w:rtl w:val="true"/>
        </w:rPr>
        <w:t xml:space="preserve"> המתה באדישות</w:t>
      </w:r>
      <w:r>
        <w:rPr>
          <w:rtl w:val="true"/>
        </w:rPr>
        <w:t xml:space="preserve"> נכללים </w:t>
      </w:r>
      <w:hyperlink r:id="rId3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תחת עבירת הרצח הבסיסית ולצד מעשה המתה בכוונה</w:t>
      </w:r>
      <w:r>
        <w:rPr>
          <w:rtl w:val="true"/>
        </w:rPr>
        <w:t xml:space="preserve">. </w:t>
      </w:r>
      <w:r>
        <w:rPr>
          <w:rtl w:val="true"/>
        </w:rPr>
        <w:t>העונש המרבי בגין עבירה זו הוא עונש של מאסר עולם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במקרים המתאימים המתה ביסוד נפשי של אדישות אף יכולה לעלות לכדי עבירת הרצח בנסיבות מחמירות </w:t>
      </w:r>
      <w:r>
        <w:rPr>
          <w:rtl w:val="true"/>
        </w:rPr>
        <w:t>(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המחייבת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גזירת עונש של מאסר עולם‏‏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בראי זאת</w:t>
      </w:r>
      <w:r>
        <w:rPr>
          <w:rtl w:val="true"/>
        </w:rPr>
        <w:t xml:space="preserve">, </w:t>
      </w:r>
      <w:r>
        <w:rPr>
          <w:rtl w:val="true"/>
        </w:rPr>
        <w:t xml:space="preserve">הודגש בפסיקה כי </w:t>
      </w:r>
      <w:r>
        <w:rPr>
          <w:rtl w:val="true"/>
        </w:rPr>
        <w:t xml:space="preserve">בשינוי </w:t>
      </w:r>
      <w:r>
        <w:rPr>
          <w:rtl w:val="true"/>
        </w:rPr>
        <w:t>האמור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המחוקק ביקש לבטא את החומרה </w:t>
      </w:r>
      <w:r>
        <w:rPr>
          <w:rtl w:val="true"/>
        </w:rPr>
        <w:t>הרבה</w:t>
      </w:r>
      <w:r>
        <w:rPr>
          <w:rtl w:val="true"/>
        </w:rPr>
        <w:t xml:space="preserve"> ואת מידת אשמו של הממית באדישות אשר מעשיו מבטאים זלזול מובהק והתנכרות חמורה לערך של חיי אדם</w:t>
      </w:r>
      <w:r>
        <w:rPr>
          <w:rtl w:val="true"/>
        </w:rPr>
        <w:t xml:space="preserve">. </w:t>
      </w:r>
      <w:r>
        <w:rPr>
          <w:rtl w:val="true"/>
        </w:rPr>
        <w:t xml:space="preserve">הדבר בא לידי ביטוי </w:t>
      </w:r>
      <w:r>
        <w:rPr>
          <w:rtl w:val="true"/>
        </w:rPr>
        <w:t>הן</w:t>
      </w:r>
      <w:r>
        <w:rPr>
          <w:rtl w:val="true"/>
        </w:rPr>
        <w:t xml:space="preserve"> בתיוג הממית כ</w:t>
      </w:r>
      <w:r>
        <w:rPr>
          <w:rtl w:val="true"/>
        </w:rPr>
        <w:t>"</w:t>
      </w:r>
      <w:r>
        <w:rPr>
          <w:rtl w:val="true"/>
        </w:rPr>
        <w:t>רוצח</w:t>
      </w:r>
      <w:r>
        <w:rPr>
          <w:rtl w:val="true"/>
        </w:rPr>
        <w:t xml:space="preserve">", </w:t>
      </w:r>
      <w:r>
        <w:rPr>
          <w:rtl w:val="true"/>
        </w:rPr>
        <w:t>על כל המשתמע מכך</w:t>
      </w:r>
      <w:r>
        <w:rPr>
          <w:rtl w:val="true"/>
        </w:rPr>
        <w:t xml:space="preserve">, </w:t>
      </w:r>
      <w:r>
        <w:rPr>
          <w:rtl w:val="true"/>
        </w:rPr>
        <w:t>הן ב</w:t>
      </w:r>
      <w:r>
        <w:rPr>
          <w:rtl w:val="true"/>
        </w:rPr>
        <w:t>"</w:t>
      </w:r>
      <w:r>
        <w:rPr>
          <w:rtl w:val="true"/>
        </w:rPr>
        <w:t>אות הקין</w:t>
      </w:r>
      <w:r>
        <w:rPr>
          <w:rtl w:val="true"/>
        </w:rPr>
        <w:t xml:space="preserve">" </w:t>
      </w:r>
      <w:r>
        <w:rPr>
          <w:rtl w:val="true"/>
        </w:rPr>
        <w:t xml:space="preserve">שיישא בעקבות מעשיו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2654/22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דישלבסקי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6.12.2022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דישלבסקי</w:t>
      </w:r>
      <w:r>
        <w:rPr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 xml:space="preserve">משמעות הרפורמה היא חדה ונחרצת </w:t>
      </w:r>
      <w:r>
        <w:rPr>
          <w:rtl w:val="true"/>
        </w:rPr>
        <w:t>–</w:t>
      </w:r>
      <w:r>
        <w:rPr>
          <w:rtl w:val="true"/>
        </w:rPr>
        <w:t xml:space="preserve"> מעשה המתה באדישות הוא כעת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רצח</w:t>
      </w:r>
      <w:r>
        <w:rPr>
          <w:rtl w:val="true"/>
        </w:rPr>
        <w:t xml:space="preserve">. </w:t>
      </w:r>
      <w:r>
        <w:rPr>
          <w:rtl w:val="true"/>
        </w:rPr>
        <w:t>הפער שהיה קיים בעבר</w:t>
      </w:r>
      <w:r>
        <w:rPr>
          <w:rtl w:val="true"/>
        </w:rPr>
        <w:t xml:space="preserve">, </w:t>
      </w:r>
      <w:r>
        <w:rPr>
          <w:rtl w:val="true"/>
        </w:rPr>
        <w:t>בהיבט 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בין המתה באדישות לבין המתה בכוונה </w:t>
      </w:r>
      <w:r>
        <w:rPr>
          <w:rtl w:val="true"/>
        </w:rPr>
        <w:t>–</w:t>
      </w:r>
      <w:r>
        <w:rPr>
          <w:rtl w:val="true"/>
        </w:rPr>
        <w:t xml:space="preserve"> בוטל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cs="Times New Roman"/>
          <w:color w:val="000000"/>
          <w:sz w:val="27"/>
          <w:szCs w:val="27"/>
        </w:rPr>
      </w:pPr>
      <w:r>
        <w:rPr>
          <w:rFonts w:cs="FrankRuehl" w:ascii="FrankRuehl" w:hAnsi="FrankRuehl"/>
          <w:color w:val="000000"/>
          <w:sz w:val="28"/>
          <w:rtl w:val="true"/>
        </w:rPr>
        <w:tab/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ההיגיון שבכריכתן יחדיו של מעשי המתה באדישות והמתה בכוונה טמון בכך שהאשמה הניכרת ממעשי האדיש יסודה בכך שלא אכפת לו אם הערך החברתי ייפגע אם לאו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היעדר </w:t>
      </w:r>
      <w:r>
        <w:rPr>
          <w:rtl w:val="true"/>
        </w:rPr>
        <w:t>העדפה לגבי התרחשות התוצאה מבטאת בחירה מלאה מצדו לפגיעה אפשרית בערך המוגן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היחס השלילי והמזלזל של האדיש כלפי ערך חיי אדם – והאשמה הנודעת למעשיו בגין יחס זה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קרובים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למתכוון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המייחל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להגשמת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התוצאה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ופועל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להוציאה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לפועל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המקווה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תתרחש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 בהרחבה</w:t>
      </w:r>
      <w:r>
        <w:rPr>
          <w:rtl w:val="true"/>
        </w:rPr>
        <w:t xml:space="preserve">: </w:t>
      </w:r>
      <w:r>
        <w:rPr>
          <w:rtl w:val="true"/>
        </w:rPr>
        <w:t xml:space="preserve">מרדכי קרמניצר וחאלד </w:t>
      </w:r>
      <w:hyperlink r:id="rId33">
        <w:r>
          <w:rPr>
            <w:rStyle w:val="Hyperlink"/>
            <w:color w:val="0000FF"/>
            <w:u w:val="single"/>
            <w:rtl w:val="true"/>
          </w:rPr>
          <w:t>גנאים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הרפורמה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בעבירות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ההמתה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2019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>)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עקרונות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ומחקר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היסטורי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והשוואתי</w:t>
      </w:r>
      <w:r>
        <w:rPr>
          <w:rtl w:val="true"/>
        </w:rPr>
        <w:t xml:space="preserve"> </w:t>
      </w:r>
      <w:r>
        <w:rPr/>
        <w:t>281-262</w:t>
      </w:r>
      <w:r>
        <w:rPr>
          <w:rtl w:val="true"/>
        </w:rPr>
        <w:t xml:space="preserve"> (</w:t>
      </w:r>
      <w:r>
        <w:rPr/>
        <w:t>2020</w:t>
      </w:r>
      <w:r>
        <w:rPr>
          <w:rtl w:val="true"/>
        </w:rPr>
        <w:t>)).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כפי שנכתב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בדברי ההסבר לתיקון החוק</w:t>
      </w:r>
      <w:r>
        <w:rPr>
          <w:rFonts w:cs="FrankRuehl" w:ascii="FrankRuehl" w:hAnsi="FrankRuehl"/>
          <w:color w:val="000000"/>
          <w:sz w:val="28"/>
          <w:rtl w:val="true"/>
        </w:rPr>
        <w:t>:</w:t>
      </w:r>
    </w:p>
    <w:p>
      <w:pPr>
        <w:pStyle w:val="Ruller42"/>
        <w:numPr>
          <w:ilvl w:val="0"/>
          <w:numId w:val="0"/>
        </w:numPr>
        <w:spacing w:lineRule="atLeast" w:line="360"/>
        <w:ind w:hanging="0" w:start="0" w:end="0"/>
        <w:jc w:val="both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  <w:rtl w:val="true"/>
        </w:rPr>
      </w:r>
    </w:p>
    <w:p>
      <w:pPr>
        <w:pStyle w:val="Ruller5"/>
        <w:ind w:end="1282"/>
        <w:jc w:val="both"/>
        <w:rPr>
          <w:rFonts w:cs="Arial TUR;Arial"/>
          <w:szCs w:val="22"/>
        </w:rPr>
      </w:pPr>
      <w:r>
        <w:rPr>
          <w:rtl w:val="true"/>
        </w:rPr>
        <w:t>"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המוצע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זלזול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שבעטיים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</w:t>
      </w:r>
      <w:r>
        <w:rPr>
          <w:rtl w:val="true"/>
        </w:rPr>
        <w:t xml:space="preserve">" </w:t>
      </w:r>
      <w:r>
        <w:rPr>
          <w:rtl w:val="true"/>
        </w:rPr>
        <w:t>)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;Arial" w:cs="Arial TUR;Arial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 (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/>
        <w:t>972</w:t>
      </w:r>
      <w:r>
        <w:rPr>
          <w:rtl w:val="true"/>
        </w:rPr>
        <w:t xml:space="preserve">, </w:t>
      </w:r>
      <w:r>
        <w:rPr/>
        <w:t>169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cs="Arial TUR;Arial"/>
          <w:szCs w:val="22"/>
        </w:rPr>
      </w:pPr>
      <w:r>
        <w:rPr>
          <w:rFonts w:cs="Arial TUR;Arial"/>
          <w:szCs w:val="22"/>
          <w:rtl w:val="true"/>
        </w:rPr>
      </w:r>
    </w:p>
    <w:p>
      <w:pPr>
        <w:pStyle w:val="Ruller42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מאז כניסתה לתוקף של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>עוצבה בפסיקה</w:t>
      </w:r>
      <w:r>
        <w:rPr>
          <w:rtl w:val="true"/>
        </w:rPr>
        <w:t xml:space="preserve"> מדיניות הענישה בעבירת רצח באדישות </w:t>
      </w:r>
      <w:r>
        <w:rPr>
          <w:rtl w:val="true"/>
        </w:rPr>
        <w:t>(</w:t>
      </w:r>
      <w:r>
        <w:rPr>
          <w:rtl w:val="true"/>
        </w:rPr>
        <w:t>להרחבה ראו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1464/21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קפוסטין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11.9.2022</w:t>
      </w:r>
      <w:r>
        <w:rPr>
          <w:rtl w:val="true"/>
        </w:rPr>
        <w:t xml:space="preserve">);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5806/22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גריפאת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20.11.2022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גריפאת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דישלבסקי</w:t>
      </w:r>
      <w:r>
        <w:rPr>
          <w:rtl w:val="true"/>
        </w:rPr>
        <w:t xml:space="preserve">; </w:t>
      </w:r>
      <w:r>
        <w:rPr>
          <w:rtl w:val="true"/>
        </w:rPr>
        <w:t>ו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אנאנטאפאק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2.7.2023</w:t>
      </w:r>
      <w:r>
        <w:rPr>
          <w:rtl w:val="true"/>
        </w:rPr>
        <w:t>))</w:t>
      </w:r>
      <w:r>
        <w:rPr>
          <w:rtl w:val="true"/>
        </w:rPr>
        <w:t xml:space="preserve">; </w:t>
      </w:r>
      <w:r>
        <w:rPr>
          <w:rtl w:val="true"/>
        </w:rPr>
        <w:t xml:space="preserve">וכפי שסקרתי </w:t>
      </w:r>
      <w:r>
        <w:rPr>
          <w:rtl w:val="true"/>
        </w:rPr>
        <w:t>לאחרונה</w:t>
      </w:r>
      <w:r>
        <w:rPr>
          <w:rtl w:val="true"/>
        </w:rPr>
        <w:t xml:space="preserve"> במקרה אחר</w:t>
      </w:r>
      <w:r>
        <w:rPr>
          <w:rtl w:val="true"/>
        </w:rPr>
        <w:t>: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ההרכבים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ערכית</w:t>
      </w:r>
      <w:r>
        <w:rPr>
          <w:rtl w:val="true"/>
        </w:rPr>
        <w:t>-</w:t>
      </w:r>
      <w:r>
        <w:rPr>
          <w:rtl w:val="true"/>
        </w:rPr>
        <w:t>נורמטיבית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tl w:val="true"/>
        </w:rPr>
        <w:t xml:space="preserve">. </w:t>
      </w:r>
      <w:r>
        <w:rPr>
          <w:rtl w:val="true"/>
        </w:rPr>
        <w:t>מגמה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עוברת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כחוט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2011</w:t>
      </w:r>
      <w:r>
        <w:rPr>
          <w:rtl w:val="true"/>
        </w:rPr>
        <w:t xml:space="preserve">),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הצעת</w:t>
      </w:r>
      <w:r>
        <w:rPr>
          <w:rFonts w:eastAsia="Arial TUR;Arial" w:cs="Arial TUR;Arial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 (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/>
        <w:t>166</w:t>
      </w:r>
      <w:r>
        <w:rPr>
          <w:rtl w:val="true"/>
        </w:rPr>
        <w:t xml:space="preserve">) </w:t>
      </w:r>
      <w:r>
        <w:rPr>
          <w:rtl w:val="true"/>
        </w:rPr>
        <w:t>והדיונים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החוקה</w:t>
      </w:r>
      <w:r>
        <w:rPr>
          <w:rtl w:val="true"/>
        </w:rPr>
        <w:t xml:space="preserve">,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" </w:t>
      </w:r>
      <w:r>
        <w:rPr>
          <w:rtl w:val="true"/>
        </w:rPr>
        <w:t>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2079/22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יראת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</w:t>
      </w:r>
      <w:r>
        <w:rPr/>
        <w:t>8</w:t>
      </w:r>
      <w:r>
        <w:rPr/>
        <w:t>.2023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‏‏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הווה אומר</w:t>
      </w:r>
      <w:r>
        <w:rPr>
          <w:rtl w:val="true"/>
        </w:rPr>
        <w:t xml:space="preserve">: </w:t>
      </w:r>
      <w:r>
        <w:rPr>
          <w:rtl w:val="true"/>
        </w:rPr>
        <w:t>מדיניות ההחמרה בענישה בגין עבירות של רצח ביסוד נפשי של אדישות היא ברורה ונחרצת</w:t>
      </w:r>
      <w:r>
        <w:rPr>
          <w:rtl w:val="true"/>
        </w:rPr>
        <w:t xml:space="preserve">. </w:t>
      </w:r>
      <w:r>
        <w:rPr>
          <w:rtl w:val="true"/>
        </w:rPr>
        <w:t>מובן 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אין להשוות בין רף הענישה בעניינו של בגיר לרף הענישה בעניינו של קטין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משהרפורמה </w:t>
      </w:r>
      <w:r>
        <w:rPr>
          <w:rtl w:val="true"/>
        </w:rPr>
        <w:t>בעבירות ההמתה מורה על</w:t>
      </w:r>
      <w:r>
        <w:rPr>
          <w:rtl w:val="true"/>
        </w:rPr>
        <w:t xml:space="preserve"> החמרה</w:t>
      </w:r>
      <w:r>
        <w:rPr>
          <w:rtl w:val="true"/>
        </w:rPr>
        <w:t xml:space="preserve"> בענישה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הרי </w:t>
      </w:r>
      <w:r>
        <w:rPr>
          <w:rtl w:val="true"/>
        </w:rPr>
        <w:t xml:space="preserve">שהוראה </w:t>
      </w:r>
      <w:r>
        <w:rPr>
          <w:rtl w:val="true"/>
        </w:rPr>
        <w:t xml:space="preserve">זו </w:t>
      </w:r>
      <w:r>
        <w:rPr>
          <w:rtl w:val="true"/>
        </w:rPr>
        <w:t xml:space="preserve">משליכה על רף הענישה בכללותו </w:t>
      </w:r>
      <w:r>
        <w:rPr>
          <w:rtl w:val="true"/>
        </w:rPr>
        <w:t>–</w:t>
      </w:r>
      <w:r>
        <w:rPr>
          <w:rtl w:val="true"/>
        </w:rPr>
        <w:t xml:space="preserve"> וזאת גם על רף הענישה בעניינם של קטינים</w:t>
      </w:r>
      <w:r>
        <w:rPr>
          <w:rtl w:val="true"/>
        </w:rPr>
        <w:t xml:space="preserve">, </w:t>
      </w:r>
      <w:r>
        <w:rPr>
          <w:rtl w:val="true"/>
        </w:rPr>
        <w:t>גם אם במידה פחותה לנוכח המשקל שיש להעניק בעניינם לשיקולי שיקום</w:t>
      </w:r>
      <w:r>
        <w:rPr>
          <w:rtl w:val="true"/>
        </w:rPr>
        <w:t xml:space="preserve">. </w:t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בית המשפט המחוזי אמנם נתן דעתו לפסיקה האמורה</w:t>
      </w:r>
      <w:r>
        <w:rPr>
          <w:rtl w:val="true"/>
        </w:rPr>
        <w:t xml:space="preserve">, </w:t>
      </w:r>
      <w:r>
        <w:rPr>
          <w:rtl w:val="true"/>
        </w:rPr>
        <w:t>אולם לגישתי נדרש היה ליישמה באופן מובהק יותר לנוכח יתר נסיבות המקרה כמפורט לעיל ולנוכח העבירות הנוספות אשר בהן המשיב הורשע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עוד יש להקפיד ולהציב מול עינינו את הפגיעה הקשה מנשוא שנגרמה ממעשיו של המשיב</w:t>
      </w:r>
      <w:r>
        <w:rPr>
          <w:rtl w:val="true"/>
        </w:rPr>
        <w:t xml:space="preserve">. </w:t>
      </w:r>
      <w:r>
        <w:rPr>
          <w:rtl w:val="true"/>
        </w:rPr>
        <w:t>הלה</w:t>
      </w:r>
      <w:r>
        <w:rPr>
          <w:rtl w:val="true"/>
        </w:rPr>
        <w:t xml:space="preserve"> רצח את המנוח </w:t>
      </w:r>
      <w:r>
        <w:rPr>
          <w:rtl w:val="true"/>
        </w:rPr>
        <w:t>וחירב את חייה של</w:t>
      </w:r>
      <w:r>
        <w:rPr>
          <w:rtl w:val="true"/>
        </w:rPr>
        <w:t xml:space="preserve"> משפחה שלמה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לרבות </w:t>
      </w:r>
      <w:r>
        <w:rPr>
          <w:rtl w:val="true"/>
        </w:rPr>
        <w:t xml:space="preserve">ארבעה ילדים </w:t>
      </w:r>
      <w:r>
        <w:rPr>
          <w:rtl w:val="true"/>
        </w:rPr>
        <w:t xml:space="preserve">אשר </w:t>
      </w:r>
      <w:r>
        <w:rPr>
          <w:rtl w:val="true"/>
        </w:rPr>
        <w:t>נותרו יתומים מאב</w:t>
      </w:r>
      <w:r>
        <w:rPr>
          <w:rtl w:val="true"/>
        </w:rPr>
        <w:t xml:space="preserve">, </w:t>
      </w:r>
      <w:r>
        <w:rPr>
          <w:rtl w:val="true"/>
        </w:rPr>
        <w:t xml:space="preserve">כאשר </w:t>
      </w:r>
      <w:r>
        <w:rPr>
          <w:rtl w:val="true"/>
        </w:rPr>
        <w:t>בתו הבכורה של המנוח הייתה בכיתה א</w:t>
      </w:r>
      <w:r>
        <w:rPr>
          <w:rtl w:val="true"/>
        </w:rPr>
        <w:t xml:space="preserve">' </w:t>
      </w:r>
      <w:r>
        <w:rPr>
          <w:rtl w:val="true"/>
        </w:rPr>
        <w:t>בעת הרצח</w:t>
      </w:r>
      <w:r>
        <w:rPr>
          <w:rtl w:val="true"/>
        </w:rPr>
        <w:t xml:space="preserve"> ו</w:t>
      </w:r>
      <w:r>
        <w:rPr>
          <w:rtl w:val="true"/>
        </w:rPr>
        <w:t>בנו הצעיר היה רק בן חודשיים</w:t>
      </w:r>
      <w:r>
        <w:rPr>
          <w:rtl w:val="true"/>
        </w:rPr>
        <w:t xml:space="preserve">. </w:t>
      </w:r>
      <w:r>
        <w:rPr>
          <w:rtl w:val="true"/>
        </w:rPr>
        <w:t xml:space="preserve">מעשיו של המשיב </w:t>
      </w:r>
      <w:r>
        <w:rPr>
          <w:rtl w:val="true"/>
        </w:rPr>
        <w:t>הובילו</w:t>
      </w:r>
      <w:r>
        <w:rPr>
          <w:rtl w:val="true"/>
        </w:rPr>
        <w:t xml:space="preserve"> משפחה אומללה זו למצוקה קשה ביותר</w:t>
      </w:r>
      <w:r>
        <w:rPr>
          <w:rtl w:val="true"/>
        </w:rPr>
        <w:t xml:space="preserve">, </w:t>
      </w:r>
      <w:r>
        <w:rPr>
          <w:rtl w:val="true"/>
        </w:rPr>
        <w:t>ביותר מהיבט אחד</w:t>
      </w:r>
      <w:r>
        <w:rPr>
          <w:rtl w:val="true"/>
        </w:rPr>
        <w:t xml:space="preserve">. </w:t>
      </w:r>
      <w:r>
        <w:rPr>
          <w:rtl w:val="true"/>
        </w:rPr>
        <w:t xml:space="preserve">עונש של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 מאסר בפועל אינו מבטא</w:t>
      </w:r>
      <w:r>
        <w:rPr>
          <w:rtl w:val="true"/>
        </w:rPr>
        <w:t xml:space="preserve"> אפוא </w:t>
      </w:r>
      <w:r>
        <w:rPr>
          <w:rtl w:val="true"/>
        </w:rPr>
        <w:t>באופן הולם השלכות הרות אסון אלו של מעשי המשי</w:t>
      </w:r>
      <w:r>
        <w:rPr>
          <w:rtl w:val="true"/>
        </w:rPr>
        <w:t>ב אשר</w:t>
      </w:r>
      <w:r>
        <w:rPr>
          <w:rtl w:val="true"/>
        </w:rPr>
        <w:t xml:space="preserve"> רצח את המנוח סתם כך</w:t>
      </w:r>
      <w:r>
        <w:rPr>
          <w:rtl w:val="true"/>
        </w:rPr>
        <w:t xml:space="preserve">, </w:t>
      </w:r>
      <w:r>
        <w:rPr>
          <w:rtl w:val="true"/>
        </w:rPr>
        <w:t>רק מאחר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א</w:t>
      </w:r>
      <w:r>
        <w:rPr>
          <w:rtl w:val="true"/>
        </w:rPr>
        <w:t>י</w:t>
      </w:r>
      <w:r>
        <w:rPr>
          <w:rtl w:val="true"/>
        </w:rPr>
        <w:t>תרע מזלו להיתקל במשיב בעוד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נתון ב</w:t>
      </w:r>
      <w:r>
        <w:rPr>
          <w:rtl w:val="true"/>
        </w:rPr>
        <w:t>סערת רגשות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מטעמים אלו</w:t>
      </w:r>
      <w:r>
        <w:rPr>
          <w:rtl w:val="true"/>
        </w:rPr>
        <w:t xml:space="preserve">, </w:t>
      </w:r>
      <w:r>
        <w:rPr>
          <w:rtl w:val="true"/>
        </w:rPr>
        <w:t xml:space="preserve">אציע </w:t>
      </w:r>
      <w:r>
        <w:rPr>
          <w:rtl w:val="true"/>
        </w:rPr>
        <w:t>לחברי ולחברתי</w:t>
      </w:r>
      <w:r>
        <w:rPr>
          <w:rtl w:val="true"/>
        </w:rPr>
        <w:t xml:space="preserve"> כי נקבל את הערעור ונחמיר בעונשו של המשיב</w:t>
      </w:r>
      <w:r>
        <w:rPr>
          <w:rtl w:val="true"/>
        </w:rPr>
        <w:t xml:space="preserve"> באופן </w:t>
      </w:r>
      <w:r>
        <w:rPr>
          <w:rtl w:val="true"/>
        </w:rPr>
        <w:t xml:space="preserve">שתחת עונש של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יהא עליו לרצות עונש של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וכי </w:t>
      </w:r>
      <w:r>
        <w:rPr>
          <w:rtl w:val="true"/>
        </w:rPr>
        <w:t>יתר רכיבי גזר דינו של בית המשפט קמא יוותרו על כנם</w:t>
      </w:r>
      <w:r>
        <w:rPr>
          <w:rtl w:val="true"/>
        </w:rPr>
        <w:t xml:space="preserve">.  </w:t>
      </w:r>
      <w:r>
        <w:rPr>
          <w:rtl w:val="true"/>
        </w:rPr>
        <w:t>יש להדגיש</w:t>
      </w:r>
      <w:r>
        <w:rPr>
          <w:rtl w:val="true"/>
        </w:rPr>
        <w:t xml:space="preserve">, </w:t>
      </w:r>
      <w:r>
        <w:rPr>
          <w:rtl w:val="true"/>
        </w:rPr>
        <w:t>כי עונש זה נקבע בהתחשב בהלכה שלפיה ערכאת הערעור אינה ממצה את הדין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לאחר שעיינתי בחוות דעתו של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כבוב</w:t>
      </w:r>
      <w:r>
        <w:rPr>
          <w:rtl w:val="true"/>
        </w:rPr>
        <w:t xml:space="preserve">, </w:t>
      </w:r>
      <w:r>
        <w:rPr>
          <w:rtl w:val="true"/>
        </w:rPr>
        <w:t>אוסיף מספר הערות</w:t>
      </w:r>
      <w:r>
        <w:rPr>
          <w:rtl w:val="true"/>
        </w:rPr>
        <w:t xml:space="preserve">. </w:t>
      </w:r>
      <w:r>
        <w:rPr>
          <w:rtl w:val="true"/>
        </w:rPr>
        <w:t>בניגוד למשתמע מעמדתו</w:t>
      </w:r>
      <w:r>
        <w:rPr>
          <w:rtl w:val="true"/>
        </w:rPr>
        <w:t xml:space="preserve">, </w:t>
      </w:r>
      <w:r>
        <w:rPr>
          <w:rtl w:val="true"/>
        </w:rPr>
        <w:t xml:space="preserve">לא סברתי כי ניתן </w:t>
      </w:r>
      <w:r>
        <w:rPr>
          <w:rtl w:val="true"/>
        </w:rPr>
        <w:t>"</w:t>
      </w:r>
      <w:r>
        <w:rPr>
          <w:rtl w:val="true"/>
        </w:rPr>
        <w:t>להתעלם</w:t>
      </w:r>
      <w:r>
        <w:rPr>
          <w:rtl w:val="true"/>
        </w:rPr>
        <w:t xml:space="preserve">" </w:t>
      </w:r>
      <w:r>
        <w:rPr>
          <w:rtl w:val="true"/>
        </w:rPr>
        <w:t>משיקולי שיקום או ממדיניות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ואף לא הצגתי עמדה שלפיה אין צורך בבחינת מדיניות הענישה הנוהגת בענישת קטינים</w:t>
      </w:r>
      <w:r>
        <w:rPr>
          <w:rtl w:val="true"/>
        </w:rPr>
        <w:t xml:space="preserve">. </w:t>
      </w:r>
      <w:r>
        <w:rPr>
          <w:rtl w:val="true"/>
        </w:rPr>
        <w:t>נהפוך הוא</w:t>
      </w:r>
      <w:r>
        <w:rPr>
          <w:rtl w:val="true"/>
        </w:rPr>
        <w:t xml:space="preserve">, </w:t>
      </w:r>
      <w:r>
        <w:rPr>
          <w:rtl w:val="true"/>
        </w:rPr>
        <w:t>סברתי ועודני סבור כי מדיניות הענישה הנוהגת והראויה היא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שמחייבת החמרה בענישה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בענישת קטין שיקול השיקום הוא אמנם המרכזי</w:t>
      </w:r>
      <w:r>
        <w:rPr>
          <w:rtl w:val="true"/>
        </w:rPr>
        <w:t xml:space="preserve">; </w:t>
      </w:r>
      <w:r>
        <w:rPr>
          <w:rtl w:val="true"/>
        </w:rPr>
        <w:t>אולם שיקום אינו חזות הכול</w:t>
      </w:r>
      <w:r>
        <w:rPr>
          <w:rtl w:val="true"/>
        </w:rPr>
        <w:t xml:space="preserve">, </w:t>
      </w:r>
      <w:r>
        <w:rPr>
          <w:rtl w:val="true"/>
        </w:rPr>
        <w:t xml:space="preserve">שכן אחרת נחטא לכלל שלפיו </w:t>
      </w:r>
      <w:r>
        <w:rPr>
          <w:rtl w:val="true"/>
        </w:rPr>
        <w:t>"</w:t>
      </w:r>
      <w:r>
        <w:rPr>
          <w:rtl w:val="true"/>
        </w:rPr>
        <w:t>קטינות אינה יוצרת חסינות</w:t>
      </w:r>
      <w:r>
        <w:rPr>
          <w:rtl w:val="true"/>
        </w:rPr>
        <w:t xml:space="preserve">". </w:t>
      </w:r>
      <w:r>
        <w:rPr>
          <w:rtl w:val="true"/>
        </w:rPr>
        <w:t>על סיכויי השיקום להיבחן על בסיס חוות דעת של גורמי המקצוע ולא בעלמא</w:t>
      </w:r>
      <w:r>
        <w:rPr>
          <w:rtl w:val="true"/>
        </w:rPr>
        <w:t xml:space="preserve">, </w:t>
      </w:r>
      <w:r>
        <w:rPr>
          <w:rtl w:val="true"/>
        </w:rPr>
        <w:t>ורק במקרים מתאימים</w:t>
      </w:r>
      <w:r>
        <w:rPr>
          <w:rtl w:val="true"/>
        </w:rPr>
        <w:t xml:space="preserve">. </w:t>
      </w:r>
      <w:r>
        <w:rPr>
          <w:rtl w:val="true"/>
        </w:rPr>
        <w:t>בשונה מחברי איני מוצא בתסקיר העדכני שהוגש לפנינו עובר לדיון בערעור טעם שלא להחמיר בעונשו של המשיב</w:t>
      </w:r>
      <w:r>
        <w:rPr>
          <w:rtl w:val="true"/>
        </w:rPr>
        <w:t xml:space="preserve">, </w:t>
      </w:r>
      <w:r>
        <w:rPr>
          <w:rtl w:val="true"/>
        </w:rPr>
        <w:t>ואסביר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 מתמיד בהסרת אחריות מכתפיו</w:t>
      </w:r>
      <w:r>
        <w:rPr>
          <w:rtl w:val="true"/>
        </w:rPr>
        <w:t xml:space="preserve">, </w:t>
      </w:r>
      <w:r>
        <w:rPr>
          <w:rtl w:val="true"/>
        </w:rPr>
        <w:t>אינו מבטא חרטה כנה ומלאה ואף מתכחש להתרחשות העובדתית של האירועים שבה הודה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 זה עלי להדגיש</w:t>
      </w:r>
      <w:r>
        <w:rPr>
          <w:rtl w:val="true"/>
        </w:rPr>
        <w:t xml:space="preserve">, </w:t>
      </w:r>
      <w:r>
        <w:rPr>
          <w:rtl w:val="true"/>
        </w:rPr>
        <w:t xml:space="preserve">כי בחוות דעתי לא נכתב כי </w:t>
      </w:r>
      <w:r>
        <w:rPr>
          <w:rtl w:val="true"/>
        </w:rPr>
        <w:t>"</w:t>
      </w:r>
      <w:r>
        <w:rPr>
          <w:rtl w:val="true"/>
        </w:rPr>
        <w:t>אפסו סיכוייו של המשיב להשתקם</w:t>
      </w:r>
      <w:r>
        <w:rPr>
          <w:rtl w:val="true"/>
        </w:rPr>
        <w:t xml:space="preserve">" </w:t>
      </w:r>
      <w:r>
        <w:rPr>
          <w:rtl w:val="true"/>
        </w:rPr>
        <w:t>כמוצג בחוות דעתו של חברי</w:t>
      </w:r>
      <w:r>
        <w:rPr>
          <w:rtl w:val="true"/>
        </w:rPr>
        <w:t xml:space="preserve">. </w:t>
      </w:r>
      <w:r>
        <w:rPr>
          <w:rtl w:val="true"/>
        </w:rPr>
        <w:t>כפי שכתבתי</w:t>
      </w:r>
      <w:r>
        <w:rPr>
          <w:rtl w:val="true"/>
        </w:rPr>
        <w:t xml:space="preserve">, </w:t>
      </w:r>
      <w:r>
        <w:rPr>
          <w:rtl w:val="true"/>
        </w:rPr>
        <w:t>כאשר בחרתי את מילותיי בקפידה</w:t>
      </w:r>
      <w:r>
        <w:rPr>
          <w:rtl w:val="true"/>
        </w:rPr>
        <w:t xml:space="preserve">, </w:t>
      </w:r>
      <w:r>
        <w:rPr>
          <w:rtl w:val="true"/>
        </w:rPr>
        <w:t>עובדות המקרה</w:t>
      </w:r>
      <w:r>
        <w:rPr>
          <w:rtl w:val="true"/>
        </w:rPr>
        <w:t xml:space="preserve">, </w:t>
      </w:r>
      <w:r>
        <w:rPr>
          <w:rtl w:val="true"/>
        </w:rPr>
        <w:t>בראי המשקל הראוי שיש להעניק לשיקולי שיקום</w:t>
      </w:r>
      <w:r>
        <w:rPr>
          <w:rtl w:val="true"/>
        </w:rPr>
        <w:t xml:space="preserve">, </w:t>
      </w:r>
      <w:r>
        <w:rPr>
          <w:rtl w:val="true"/>
        </w:rPr>
        <w:t xml:space="preserve">אינן מצדיקות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המקל</w:t>
      </w:r>
      <w:r>
        <w:rPr>
          <w:rtl w:val="true"/>
        </w:rPr>
        <w:t xml:space="preserve">. </w:t>
      </w:r>
      <w:r>
        <w:rPr>
          <w:rtl w:val="true"/>
        </w:rPr>
        <w:t xml:space="preserve">עונשו של המשיב הוא אכן מקל </w:t>
      </w:r>
      <w:r>
        <w:rPr>
          <w:rtl w:val="true"/>
        </w:rPr>
        <w:t>–</w:t>
      </w:r>
      <w:r>
        <w:rPr>
          <w:rtl w:val="true"/>
        </w:rPr>
        <w:t xml:space="preserve"> מקל מדי</w:t>
      </w:r>
      <w:r>
        <w:rPr>
          <w:rtl w:val="true"/>
        </w:rPr>
        <w:t xml:space="preserve">. </w:t>
      </w:r>
      <w:r>
        <w:rPr>
          <w:rtl w:val="true"/>
        </w:rPr>
        <w:t>בית המשפט המחוזי שגה אפוא</w:t>
      </w:r>
      <w:r>
        <w:rPr>
          <w:rtl w:val="true"/>
        </w:rPr>
        <w:t xml:space="preserve">, </w:t>
      </w:r>
      <w:r>
        <w:rPr>
          <w:rtl w:val="true"/>
        </w:rPr>
        <w:t>באופן המצדיק את התערבותנו כערכאת הערעור</w:t>
      </w:r>
      <w:r>
        <w:rPr>
          <w:rtl w:val="true"/>
        </w:rPr>
        <w:t xml:space="preserve">. </w:t>
      </w:r>
      <w:r>
        <w:rPr>
          <w:rtl w:val="true"/>
        </w:rPr>
        <w:t>חלילה אם נסתפק בתסקיר מעין זה</w:t>
      </w:r>
      <w:r>
        <w:rPr>
          <w:rtl w:val="true"/>
        </w:rPr>
        <w:t xml:space="preserve">, </w:t>
      </w:r>
      <w:r>
        <w:rPr>
          <w:rtl w:val="true"/>
        </w:rPr>
        <w:t>שבו ניתן למצוא לכל היותר התקדמות קלה</w:t>
      </w:r>
      <w:r>
        <w:rPr>
          <w:rtl w:val="true"/>
        </w:rPr>
        <w:t xml:space="preserve">, </w:t>
      </w:r>
      <w:r>
        <w:rPr>
          <w:rtl w:val="true"/>
        </w:rPr>
        <w:t>כדי להצדיקה הקלה משמעותית בעונשו של נאשם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עלי לציין כי איני רואה דמיון בין המקרה שלפנינו לבין המקרה שנדון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גריפאת</w:t>
      </w:r>
      <w:r>
        <w:rPr>
          <w:rtl w:val="true"/>
        </w:rPr>
        <w:t xml:space="preserve">. </w:t>
      </w:r>
      <w:r>
        <w:rPr>
          <w:rtl w:val="true"/>
        </w:rPr>
        <w:t>באותו עניין</w:t>
      </w:r>
      <w:r>
        <w:rPr>
          <w:rtl w:val="true"/>
        </w:rPr>
        <w:t xml:space="preserve">, </w:t>
      </w:r>
      <w:r>
        <w:rPr>
          <w:rtl w:val="true"/>
        </w:rPr>
        <w:t>בו כתבתי את חוות הדעת העיקרית</w:t>
      </w:r>
      <w:r>
        <w:rPr>
          <w:rtl w:val="true"/>
        </w:rPr>
        <w:t xml:space="preserve">, </w:t>
      </w:r>
      <w:r>
        <w:rPr>
          <w:rtl w:val="true"/>
        </w:rPr>
        <w:t>מדובר היה במכה אחת באמצעות קרש שהמיתה את הקורבן ולא בדקירה בלב בחפץ חד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האירוע אף התרחש בעיצומה של קטטה שבה נפצע אחיו של הרוצח</w:t>
      </w:r>
      <w:r>
        <w:rPr>
          <w:rtl w:val="true"/>
        </w:rPr>
        <w:t xml:space="preserve">, </w:t>
      </w:r>
      <w:r>
        <w:rPr>
          <w:rtl w:val="true"/>
        </w:rPr>
        <w:t>הגם שהקורבן לא היה מעורב בה ישירות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איני מוצא דמיון בין המקרים</w:t>
      </w:r>
      <w:r>
        <w:rPr>
          <w:rtl w:val="true"/>
        </w:rPr>
        <w:t xml:space="preserve">, </w:t>
      </w:r>
      <w:r>
        <w:rPr>
          <w:rtl w:val="true"/>
        </w:rPr>
        <w:t xml:space="preserve">ודאי שלא </w:t>
      </w:r>
      <w:r>
        <w:rPr>
          <w:rtl w:val="true"/>
        </w:rPr>
        <w:t>"</w:t>
      </w:r>
      <w:r>
        <w:rPr>
          <w:rtl w:val="true"/>
        </w:rPr>
        <w:t>דמיון רב</w:t>
      </w:r>
      <w:r>
        <w:rPr>
          <w:rtl w:val="true"/>
        </w:rPr>
        <w:t xml:space="preserve">" </w:t>
      </w:r>
      <w:r>
        <w:rPr>
          <w:rtl w:val="true"/>
        </w:rPr>
        <w:t>כפי שסבור חברי</w:t>
      </w:r>
      <w:r>
        <w:rPr>
          <w:rtl w:val="true"/>
        </w:rPr>
        <w:t xml:space="preserve">. </w:t>
      </w:r>
      <w:r>
        <w:rPr>
          <w:rtl w:val="true"/>
        </w:rPr>
        <w:t>עוד יש לזכור</w:t>
      </w:r>
      <w:r>
        <w:rPr>
          <w:rtl w:val="true"/>
        </w:rPr>
        <w:t xml:space="preserve">, </w:t>
      </w:r>
      <w:r>
        <w:rPr>
          <w:rtl w:val="true"/>
        </w:rPr>
        <w:t xml:space="preserve">כי באותו מקרה החמרנו בעונשו של המשיב באופן משמעותי </w:t>
      </w:r>
      <w:r>
        <w:rPr>
          <w:rtl w:val="true"/>
        </w:rPr>
        <w:t>–</w:t>
      </w:r>
      <w:r>
        <w:rPr>
          <w:rtl w:val="true"/>
        </w:rPr>
        <w:t xml:space="preserve"> מ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וזאת בהתחשב בהיות מדיניות הענישה בשלבי התגבשות לאור הרפורמה בעבירות ההמתה ובכלל ש</w:t>
      </w:r>
      <w:r>
        <w:rPr>
          <w:rtl w:val="true"/>
        </w:rPr>
        <w:t>לפיו ערכאת הערעור אינה ממצה את מלוא חומרת הדין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פסיקה אחרת עליה מסתמך חברי</w:t>
      </w:r>
      <w:r>
        <w:rPr>
          <w:rtl w:val="true"/>
        </w:rPr>
        <w:t xml:space="preserve">, </w:t>
      </w:r>
      <w:r>
        <w:rPr>
          <w:rtl w:val="true"/>
        </w:rPr>
        <w:t>ניתנה לפני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>אשר שינתה כאמור באופן מהותי את מצב הדברים</w:t>
      </w:r>
      <w:r>
        <w:rPr>
          <w:rtl w:val="true"/>
        </w:rPr>
        <w:t xml:space="preserve">, </w:t>
      </w:r>
      <w:r>
        <w:rPr>
          <w:rtl w:val="true"/>
        </w:rPr>
        <w:t xml:space="preserve">ובמיוחד במקרים של המתה ביסוד נפשי של אדישות </w:t>
      </w:r>
      <w:r>
        <w:rPr>
          <w:rtl w:val="true"/>
        </w:rPr>
        <w:t>–</w:t>
      </w:r>
      <w:r>
        <w:rPr>
          <w:rtl w:val="true"/>
        </w:rPr>
        <w:t xml:space="preserve"> אשר מוגדרים כעת כ</w:t>
      </w:r>
      <w:r>
        <w:rPr>
          <w:rtl w:val="true"/>
        </w:rPr>
        <w:t>"</w:t>
      </w:r>
      <w:r>
        <w:rPr>
          <w:rtl w:val="true"/>
        </w:rPr>
        <w:t>רצח</w:t>
      </w:r>
      <w:r>
        <w:rPr>
          <w:rtl w:val="true"/>
        </w:rPr>
        <w:t xml:space="preserve">", </w:t>
      </w:r>
      <w:r>
        <w:rPr>
          <w:rtl w:val="true"/>
        </w:rPr>
        <w:t>ועל כן גם היא אינה מתאימה לענייננו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חברי תוהה אם ישנה טעות או סטייה מהותית ממדיניות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ולכך אשיב באופן חד</w:t>
      </w:r>
      <w:r>
        <w:rPr>
          <w:rtl w:val="true"/>
        </w:rPr>
        <w:t>-</w:t>
      </w:r>
      <w:r>
        <w:rPr>
          <w:rtl w:val="true"/>
        </w:rPr>
        <w:t xml:space="preserve">משמעי </w:t>
      </w:r>
      <w:r>
        <w:rPr>
          <w:rtl w:val="true"/>
        </w:rPr>
        <w:t>–</w:t>
      </w:r>
      <w:r>
        <w:rPr>
          <w:rtl w:val="true"/>
        </w:rPr>
        <w:t xml:space="preserve"> אכן</w:t>
      </w:r>
      <w:r>
        <w:rPr>
          <w:rtl w:val="true"/>
        </w:rPr>
        <w:t xml:space="preserve">. </w:t>
      </w:r>
      <w:r>
        <w:rPr>
          <w:rtl w:val="true"/>
        </w:rPr>
        <w:t>בפנינו רוצח</w:t>
      </w:r>
      <w:r>
        <w:rPr>
          <w:rtl w:val="true"/>
        </w:rPr>
        <w:t xml:space="preserve">. </w:t>
      </w:r>
      <w:r>
        <w:rPr>
          <w:rtl w:val="true"/>
        </w:rPr>
        <w:t>אמנם רוצח קטין</w:t>
      </w:r>
      <w:r>
        <w:rPr>
          <w:rtl w:val="true"/>
        </w:rPr>
        <w:t xml:space="preserve">, </w:t>
      </w:r>
      <w:r>
        <w:rPr>
          <w:rtl w:val="true"/>
        </w:rPr>
        <w:t>אך רוצח לכל דבר ועניין אשר גדע את חייו של אחר על לא עוול בכפו</w:t>
      </w:r>
      <w:r>
        <w:rPr>
          <w:rtl w:val="true"/>
        </w:rPr>
        <w:t xml:space="preserve">, </w:t>
      </w:r>
      <w:r>
        <w:rPr>
          <w:rtl w:val="true"/>
        </w:rPr>
        <w:t>וכל זאת על שום מה</w:t>
      </w:r>
      <w:r>
        <w:rPr>
          <w:rtl w:val="true"/>
        </w:rPr>
        <w:t xml:space="preserve">? </w:t>
      </w:r>
      <w:r>
        <w:rPr>
          <w:rtl w:val="true"/>
        </w:rPr>
        <w:t>על שום שהביט לעברו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אזכיר</w:t>
      </w:r>
      <w:r>
        <w:rPr>
          <w:rtl w:val="true"/>
        </w:rPr>
        <w:t xml:space="preserve">, </w:t>
      </w:r>
      <w:r>
        <w:rPr>
          <w:rtl w:val="true"/>
        </w:rPr>
        <w:t xml:space="preserve">כי עובר לרפורמה בעבירות ההמתה </w:t>
      </w:r>
      <w:r>
        <w:rPr>
          <w:rFonts w:ascii="FrankRuehl" w:hAnsi="FrankRuehl" w:cs="FrankRuehl"/>
          <w:sz w:val="28"/>
          <w:sz w:val="28"/>
          <w:rtl w:val="true"/>
        </w:rPr>
        <w:t>החוק קבע דין אחד לכל מעשי הרצח – עונש של מאסר עולם חובה</w:t>
      </w:r>
      <w:r>
        <w:rPr>
          <w:rtl w:val="true"/>
        </w:rPr>
        <w:t xml:space="preserve">, </w:t>
      </w:r>
      <w:r>
        <w:rPr>
          <w:rtl w:val="true"/>
        </w:rPr>
        <w:t>כאשר בעניינם של קטינים השתת עונש של מאסר עולם הייתה נתונה לשיקול דעתו של בית המשפט</w:t>
      </w:r>
      <w:r>
        <w:rPr>
          <w:rtl w:val="true"/>
        </w:rPr>
        <w:t xml:space="preserve">. </w:t>
      </w:r>
      <w:r>
        <w:rPr>
          <w:rtl w:val="true"/>
        </w:rPr>
        <w:t>משמע</w:t>
      </w:r>
      <w:r>
        <w:rPr>
          <w:rtl w:val="true"/>
        </w:rPr>
        <w:t xml:space="preserve">, </w:t>
      </w:r>
      <w:r>
        <w:rPr>
          <w:rtl w:val="true"/>
        </w:rPr>
        <w:t>לאחר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 xml:space="preserve">השתת עונש של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בגין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בנסיבות כה חמורות</w:t>
      </w:r>
      <w:r>
        <w:rPr>
          <w:rtl w:val="true"/>
        </w:rPr>
        <w:t xml:space="preserve">, </w:t>
      </w:r>
      <w:r>
        <w:rPr>
          <w:rtl w:val="true"/>
        </w:rPr>
        <w:t>ללא כל התגרות</w:t>
      </w:r>
      <w:r>
        <w:rPr>
          <w:rtl w:val="true"/>
        </w:rPr>
        <w:t xml:space="preserve">, </w:t>
      </w:r>
      <w:r>
        <w:rPr>
          <w:rtl w:val="true"/>
        </w:rPr>
        <w:t>בשימוש בחפץ חד</w:t>
      </w:r>
      <w:r>
        <w:rPr>
          <w:rtl w:val="true"/>
        </w:rPr>
        <w:t xml:space="preserve">, </w:t>
      </w:r>
      <w:r>
        <w:rPr>
          <w:rtl w:val="true"/>
        </w:rPr>
        <w:t xml:space="preserve">בדקירה ללב הקורבן </w:t>
      </w:r>
      <w:r>
        <w:rPr>
          <w:rtl w:val="true"/>
        </w:rPr>
        <w:t>–</w:t>
      </w:r>
      <w:r>
        <w:rPr>
          <w:rtl w:val="true"/>
        </w:rPr>
        <w:t xml:space="preserve"> אינה ראויה</w:t>
      </w:r>
      <w:r>
        <w:rPr>
          <w:rtl w:val="true"/>
        </w:rPr>
        <w:t xml:space="preserve">, </w:t>
      </w:r>
      <w:r>
        <w:rPr>
          <w:rtl w:val="true"/>
        </w:rPr>
        <w:t>גם אם מדובר בקטין</w:t>
      </w:r>
      <w:r>
        <w:rPr>
          <w:rtl w:val="true"/>
        </w:rPr>
        <w:t xml:space="preserve">. </w:t>
      </w:r>
      <w:r>
        <w:rPr>
          <w:rtl w:val="true"/>
        </w:rPr>
        <w:t>עונש כזה בנסיבות אלו</w:t>
      </w:r>
      <w:r>
        <w:rPr>
          <w:rtl w:val="true"/>
        </w:rPr>
        <w:t xml:space="preserve">, </w:t>
      </w:r>
      <w:r>
        <w:rPr>
          <w:rtl w:val="true"/>
        </w:rPr>
        <w:t>בהתחשב בעובדות הקונקרטיות של המקרה ובתסקירי שירות המבחן</w:t>
      </w:r>
      <w:r>
        <w:rPr>
          <w:rtl w:val="true"/>
        </w:rPr>
        <w:t xml:space="preserve">, </w:t>
      </w:r>
      <w:r>
        <w:rPr>
          <w:rtl w:val="true"/>
        </w:rPr>
        <w:t>אף אינו מבטא באופן הולם את עקרון קדושת החיים ומעמדו הרם במשפטנו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ענישה מקלה שכזו</w:t>
      </w:r>
      <w:r>
        <w:rPr>
          <w:rtl w:val="true"/>
        </w:rPr>
        <w:t>: 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נותנת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לערכם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המוסרי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נפגעי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הקורבן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הישיר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והנפגעים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העקיפים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לשקם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באמצעות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הולמת</w:t>
      </w:r>
      <w:r>
        <w:rPr>
          <w:rtl w:val="true"/>
        </w:rPr>
        <w:t>" (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טלוי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</w:t>
      </w:r>
      <w:r>
        <w:rPr/>
        <w:t>5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), </w:t>
      </w:r>
      <w:r>
        <w:rPr>
          <w:rtl w:val="true"/>
        </w:rPr>
        <w:t>כפי שציין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פעם נוספת</w:t>
      </w:r>
      <w:r>
        <w:rPr>
          <w:rtl w:val="true"/>
        </w:rPr>
        <w:t xml:space="preserve">: </w:t>
      </w:r>
      <w:r>
        <w:rPr>
          <w:rtl w:val="true"/>
        </w:rPr>
        <w:t>אני רואה חובה להעמיד לנגד עינינו את משפחת הקורבן</w:t>
      </w:r>
      <w:r>
        <w:rPr>
          <w:rtl w:val="true"/>
        </w:rPr>
        <w:t xml:space="preserve">. </w:t>
      </w:r>
      <w:r>
        <w:rPr>
          <w:rtl w:val="true"/>
        </w:rPr>
        <w:t>לא אחת משפחות הקורבן מביטות אלינו בתקווה</w:t>
      </w:r>
      <w:r>
        <w:rPr>
          <w:rtl w:val="true"/>
        </w:rPr>
        <w:t xml:space="preserve">, </w:t>
      </w:r>
      <w:r>
        <w:rPr>
          <w:rtl w:val="true"/>
        </w:rPr>
        <w:t>ובציפייה</w:t>
      </w:r>
      <w:r>
        <w:rPr>
          <w:rtl w:val="true"/>
        </w:rPr>
        <w:t xml:space="preserve">, </w:t>
      </w:r>
      <w:r>
        <w:rPr>
          <w:rtl w:val="true"/>
        </w:rPr>
        <w:t>כי בל נשכח את יקירם אשר נרצח לשווא</w:t>
      </w:r>
      <w:r>
        <w:rPr>
          <w:rtl w:val="true"/>
        </w:rPr>
        <w:t xml:space="preserve">, </w:t>
      </w:r>
      <w:r>
        <w:rPr>
          <w:rtl w:val="true"/>
        </w:rPr>
        <w:t>ולא אחת הן עושות דרכן הישר מבית המשפט לבית העלמין בו הוא מונח</w:t>
      </w:r>
      <w:r>
        <w:rPr>
          <w:rtl w:val="true"/>
        </w:rPr>
        <w:t xml:space="preserve">, </w:t>
      </w:r>
      <w:r>
        <w:rPr>
          <w:rtl w:val="true"/>
        </w:rPr>
        <w:t xml:space="preserve">ובלבם ציפייה כי בית המשפט </w:t>
      </w:r>
      <w:r>
        <w:rPr>
          <w:rtl w:val="true"/>
        </w:rPr>
        <w:t>יִתֵּן</w:t>
      </w:r>
      <w:r>
        <w:rPr>
          <w:rtl w:val="true"/>
        </w:rPr>
        <w:t xml:space="preserve"> מענה עונשי הולם וראוי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עלינו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end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כבוב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2"/>
        <w:numPr>
          <w:ilvl w:val="0"/>
          <w:numId w:val="4"/>
        </w:numPr>
        <w:spacing w:before="240" w:after="240"/>
        <w:ind w:hanging="0" w:start="0" w:end="0"/>
        <w:jc w:val="both"/>
        <w:textAlignment w:val="baseline"/>
        <w:rPr/>
      </w:pPr>
      <w:r>
        <w:rPr>
          <w:rtl w:val="true"/>
        </w:rPr>
        <w:t>כפי שציין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לחוות דעתו</w:t>
      </w:r>
      <w:r>
        <w:rPr>
          <w:rtl w:val="true"/>
        </w:rPr>
        <w:t xml:space="preserve">, </w:t>
      </w:r>
      <w:r>
        <w:rPr>
          <w:rtl w:val="true"/>
        </w:rPr>
        <w:t>השאלה שעליה עלינו להשיב במסגרת הערעור שלפנינו היא כדלהלן</w:t>
      </w:r>
      <w:r>
        <w:rPr>
          <w:rtl w:val="true"/>
        </w:rPr>
        <w:t xml:space="preserve">: </w:t>
      </w:r>
      <w:r>
        <w:rPr>
          <w:rtl w:val="true"/>
        </w:rPr>
        <w:t>האם בגזר הדין שנגזר על המשיב על</w:t>
      </w:r>
      <w:r>
        <w:rPr>
          <w:rtl w:val="true"/>
        </w:rPr>
        <w:t>-</w:t>
      </w:r>
      <w:r>
        <w:rPr>
          <w:rtl w:val="true"/>
        </w:rPr>
        <w:t xml:space="preserve">ידי הערכאה הדיונית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ניכרת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חריגה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הנוהגת</w:t>
      </w:r>
      <w:r>
        <w:rPr>
          <w:rtl w:val="true"/>
        </w:rPr>
        <w:t xml:space="preserve">" </w:t>
      </w:r>
      <w:r>
        <w:rPr>
          <w:rtl w:val="true"/>
        </w:rPr>
        <w:t>או ש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מהותית</w:t>
      </w:r>
      <w:r>
        <w:rPr>
          <w:rtl w:val="true"/>
        </w:rPr>
        <w:t xml:space="preserve">". </w:t>
      </w:r>
      <w:r>
        <w:rPr>
          <w:rtl w:val="true"/>
        </w:rPr>
        <w:t>חברי משיב על שאלה זו</w:t>
      </w:r>
      <w:r>
        <w:rPr>
          <w:rtl w:val="true"/>
        </w:rPr>
        <w:t xml:space="preserve">, </w:t>
      </w:r>
      <w:r>
        <w:rPr>
          <w:rtl w:val="true"/>
        </w:rPr>
        <w:t>בחיוב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לאחר שעיינתי בחוות דעתו של חברי</w:t>
      </w:r>
      <w:r>
        <w:rPr>
          <w:rtl w:val="true"/>
        </w:rPr>
        <w:t xml:space="preserve">, </w:t>
      </w:r>
      <w:r>
        <w:rPr>
          <w:rtl w:val="true"/>
        </w:rPr>
        <w:t xml:space="preserve">והפכתי בכתובים שהונחו לפנינו ובתיק בית משפט קמא </w:t>
      </w:r>
      <w:r>
        <w:rPr>
          <w:rtl w:val="true"/>
        </w:rPr>
        <w:t>–</w:t>
      </w:r>
      <w:r>
        <w:rPr>
          <w:rtl w:val="true"/>
        </w:rPr>
        <w:t xml:space="preserve"> לא אוכל להצטרף למסקנתו</w:t>
      </w:r>
      <w:r>
        <w:rPr>
          <w:rtl w:val="true"/>
        </w:rPr>
        <w:t xml:space="preserve">. </w:t>
      </w:r>
      <w:r>
        <w:rPr>
          <w:rtl w:val="true"/>
        </w:rPr>
        <w:t>כפי שאבאר להלן לגישתי המערערת לא עמדה בנטל שהונח לפתחה</w:t>
      </w:r>
      <w:r>
        <w:rPr>
          <w:rtl w:val="true"/>
        </w:rPr>
        <w:t xml:space="preserve">, </w:t>
      </w:r>
      <w:r>
        <w:rPr>
          <w:rtl w:val="true"/>
        </w:rPr>
        <w:t>בשים לב לאמת המידה הנוהגת</w:t>
      </w:r>
      <w:r>
        <w:rPr>
          <w:rtl w:val="true"/>
        </w:rPr>
        <w:t xml:space="preserve">, </w:t>
      </w:r>
      <w:r>
        <w:rPr>
          <w:rtl w:val="true"/>
        </w:rPr>
        <w:t>להוכיח כי קמה עילה להתערבותנו בגזר דינו של בית המשפט המחוזי</w:t>
      </w:r>
      <w:r>
        <w:rPr>
          <w:rtl w:val="true"/>
        </w:rPr>
        <w:t>.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כאלו</w:t>
      </w:r>
      <w:r>
        <w:rPr>
          <w:rtl w:val="true"/>
        </w:rPr>
        <w:t xml:space="preserve">),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חריגה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ממשית</w:t>
      </w:r>
      <w:r>
        <w:rPr>
          <w:rtl w:val="true"/>
        </w:rPr>
        <w:t xml:space="preserve">" </w:t>
      </w:r>
      <w:r>
        <w:rPr>
          <w:rtl w:val="true"/>
        </w:rPr>
        <w:t>מהענישה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;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מצאתי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מהותית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נפלה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הדברים</w:t>
      </w:r>
      <w:r>
        <w:rPr>
          <w:rFonts w:ascii="Century" w:hAnsi="Century" w:cs="Century"/>
          <w:rtl w:val="true"/>
        </w:rPr>
        <w:t xml:space="preserve"> בפסק הדי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ויובהר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הרסניות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זוהי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להתערבותנו</w:t>
      </w:r>
      <w:r>
        <w:rPr>
          <w:rtl w:val="true"/>
        </w:rPr>
        <w:t xml:space="preserve">, </w:t>
      </w:r>
      <w:r>
        <w:rPr>
          <w:rtl w:val="true"/>
        </w:rPr>
        <w:t>כערכאת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,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>.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מלאכתו</w:t>
      </w:r>
      <w:r>
        <w:rPr>
          <w:rtl w:val="true"/>
        </w:rPr>
        <w:t xml:space="preserve">, </w:t>
      </w:r>
      <w:r>
        <w:rPr>
          <w:rtl w:val="true"/>
        </w:rPr>
        <w:t>מלאכת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נאמנה</w:t>
      </w:r>
      <w:r>
        <w:rPr>
          <w:rtl w:val="true"/>
        </w:rPr>
        <w:t xml:space="preserve">.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נבחנה</w:t>
      </w:r>
      <w:r>
        <w:rPr>
          <w:rtl w:val="true"/>
        </w:rPr>
        <w:t xml:space="preserve">;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נשקלו</w:t>
      </w:r>
      <w:r>
        <w:rPr>
          <w:rtl w:val="true"/>
        </w:rPr>
        <w:t xml:space="preserve">; </w:t>
      </w:r>
      <w:r>
        <w:rPr>
          <w:rtl w:val="true"/>
        </w:rPr>
        <w:t>והתוצאה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בולטת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היינו</w:t>
      </w:r>
      <w:r>
        <w:rPr>
          <w:rtl w:val="true"/>
        </w:rPr>
        <w:t>-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וכמה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לוּ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נשמעת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כל זאת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בתמצית</w:t>
      </w:r>
      <w:r>
        <w:rPr>
          <w:rtl w:val="true"/>
        </w:rPr>
        <w:t xml:space="preserve">. </w:t>
      </w:r>
      <w:r>
        <w:rPr>
          <w:rtl w:val="true"/>
        </w:rPr>
        <w:t xml:space="preserve">מכאן </w:t>
      </w:r>
      <w:r>
        <w:rPr>
          <w:rtl w:val="true"/>
        </w:rPr>
        <w:t>–</w:t>
      </w:r>
      <w:r>
        <w:rPr>
          <w:rtl w:val="true"/>
        </w:rPr>
        <w:t xml:space="preserve"> ארחיב קמעא על הנימוקים העומדים ביסוד חוות דעתי</w:t>
      </w:r>
      <w:r>
        <w:rPr>
          <w:rtl w:val="true"/>
        </w:rPr>
        <w:t xml:space="preserve">. </w:t>
      </w:r>
      <w:r>
        <w:rPr>
          <w:rtl w:val="true"/>
        </w:rPr>
        <w:t>וזו תהא דרך הילוכי</w:t>
      </w:r>
      <w:r>
        <w:rPr>
          <w:rtl w:val="true"/>
        </w:rPr>
        <w:t xml:space="preserve">: </w:t>
      </w:r>
      <w:r>
        <w:rPr>
          <w:rtl w:val="true"/>
        </w:rPr>
        <w:t>תחילה אסקור</w:t>
      </w:r>
      <w:r>
        <w:rPr>
          <w:rtl w:val="true"/>
        </w:rPr>
        <w:t xml:space="preserve">, </w:t>
      </w:r>
      <w:r>
        <w:rPr>
          <w:rtl w:val="true"/>
        </w:rPr>
        <w:t>בקצרה</w:t>
      </w:r>
      <w:r>
        <w:rPr>
          <w:rtl w:val="true"/>
        </w:rPr>
        <w:t xml:space="preserve">, </w:t>
      </w:r>
      <w:r>
        <w:rPr>
          <w:rtl w:val="true"/>
        </w:rPr>
        <w:t>את מדיניות הענישה הנוהגת במקרים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ואבחן אם </w:t>
      </w:r>
      <w:r>
        <w:rPr>
          <w:rFonts w:ascii="Century" w:hAnsi="Century" w:cs="Century"/>
          <w:sz w:val="22"/>
          <w:sz w:val="22"/>
          <w:rtl w:val="true"/>
        </w:rPr>
        <w:t>לפנינו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חריגה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ממשית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מרמת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הענישה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הנוהגת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או שמא</w:t>
      </w:r>
      <w:r>
        <w:rPr>
          <w:rtl w:val="true"/>
        </w:rPr>
        <w:t xml:space="preserve"> על פני הדברים</w:t>
      </w:r>
      <w:r>
        <w:rPr>
          <w:rtl w:val="true"/>
        </w:rPr>
        <w:t xml:space="preserve">, </w:t>
      </w:r>
      <w:r>
        <w:rPr>
          <w:rtl w:val="true"/>
        </w:rPr>
        <w:t>נפלה בפסק דינו של בית המשפט המחוזי טעות מהותית</w:t>
      </w:r>
      <w:r>
        <w:rPr>
          <w:rtl w:val="true"/>
        </w:rPr>
        <w:t xml:space="preserve">; </w:t>
      </w:r>
      <w:r>
        <w:rPr>
          <w:rtl w:val="true"/>
        </w:rPr>
        <w:t xml:space="preserve">לאחר מכן אעמוד בקצרה על </w:t>
      </w:r>
      <w:r>
        <w:rPr>
          <w:rtl w:val="true"/>
        </w:rPr>
        <w:t>שיקולי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 </w:t>
      </w:r>
      <w:r>
        <w:rPr>
          <w:rtl w:val="true"/>
        </w:rPr>
        <w:t>בענישת קטינים ועל ההליך השיקומי שבראשיתו מצוי המשיב כיום</w:t>
      </w:r>
      <w:r>
        <w:rPr>
          <w:rtl w:val="true"/>
        </w:rPr>
        <w:t xml:space="preserve">, </w:t>
      </w:r>
      <w:r>
        <w:rPr>
          <w:rtl w:val="true"/>
        </w:rPr>
        <w:t>ואסביר מדוע לגישתי לא נכון להתעלם משיקולים אלו בבואנו לבחון אם קיימת עילת התערבות בגזר הדין שניתן בעניינו</w:t>
      </w:r>
      <w:r>
        <w:rPr>
          <w:rtl w:val="true"/>
        </w:rPr>
        <w:t>.</w:t>
      </w:r>
    </w:p>
    <w:p>
      <w:pPr>
        <w:pStyle w:val="Ruller41"/>
        <w:keepNext w:val="true"/>
        <w:spacing w:before="24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מדיניות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הנוהגת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דומים</w:t>
      </w:r>
    </w:p>
    <w:p>
      <w:pPr>
        <w:pStyle w:val="Ruller42"/>
        <w:numPr>
          <w:ilvl w:val="0"/>
          <w:numId w:val="1"/>
        </w:numPr>
        <w:spacing w:before="240" w:after="240"/>
        <w:ind w:hanging="0" w:start="0" w:end="0"/>
        <w:jc w:val="both"/>
        <w:textAlignment w:val="baseline"/>
        <w:rPr/>
      </w:pPr>
      <w:r>
        <w:rPr>
          <w:rtl w:val="true"/>
        </w:rPr>
        <w:t>בראשית הדברים אציין</w:t>
      </w:r>
      <w:r>
        <w:rPr>
          <w:rtl w:val="true"/>
        </w:rPr>
        <w:t xml:space="preserve">, </w:t>
      </w:r>
      <w:r>
        <w:rPr>
          <w:rtl w:val="true"/>
        </w:rPr>
        <w:t xml:space="preserve">כי שותף אני לגישתו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כשר</w:t>
      </w:r>
      <w:r>
        <w:rPr>
          <w:rtl w:val="true"/>
        </w:rPr>
        <w:t xml:space="preserve"> ב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1589/23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(‏</w:t>
      </w:r>
      <w:r>
        <w:rPr/>
        <w:t>0</w:t>
      </w:r>
      <w:r>
        <w:rPr/>
        <w:t>7.</w:t>
      </w:r>
      <w:r>
        <w:rPr/>
        <w:t>0</w:t>
      </w:r>
      <w:r>
        <w:rPr/>
        <w:t>8.2023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4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1589/23</w:t>
        </w:r>
      </w:hyperlink>
      <w:r>
        <w:rPr>
          <w:rtl w:val="true"/>
        </w:rPr>
        <w:t xml:space="preserve">), </w:t>
      </w:r>
      <w:r>
        <w:rPr>
          <w:rtl w:val="true"/>
        </w:rPr>
        <w:t>אשר עמד על חשיבות בחינת מדיניות הענישה הנוהגת ככלי לצמצום השרירותיות ואי</w:t>
      </w:r>
      <w:r>
        <w:rPr>
          <w:rtl w:val="true"/>
        </w:rPr>
        <w:t>-</w:t>
      </w:r>
      <w:r>
        <w:rPr>
          <w:rtl w:val="true"/>
        </w:rPr>
        <w:t>השוויון בענישה</w:t>
      </w:r>
      <w:r>
        <w:rPr>
          <w:rtl w:val="true"/>
        </w:rPr>
        <w:t xml:space="preserve">, </w:t>
      </w:r>
      <w:r>
        <w:rPr>
          <w:rtl w:val="true"/>
        </w:rPr>
        <w:t>בציינו כדלהלן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ספציפית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הספציפית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tl w:val="true"/>
        </w:rPr>
        <w:t xml:space="preserve">, </w:t>
      </w:r>
      <w:r>
        <w:rPr>
          <w:rtl w:val="true"/>
        </w:rPr>
        <w:t>תכליתו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המובהקת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tl w:val="true"/>
        </w:rPr>
        <w:t xml:space="preserve">, </w:t>
      </w:r>
      <w:r>
        <w:rPr>
          <w:rtl w:val="true"/>
        </w:rPr>
        <w:t>כמצוין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הצעת</w:t>
      </w:r>
      <w:r>
        <w:rPr>
          <w:rFonts w:eastAsia="Arial TUR;Arial" w:cs="Arial TUR;Arial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92</w:t>
      </w:r>
      <w:r>
        <w:rPr>
          <w:rtl w:val="true"/>
        </w:rPr>
        <w:t>) (</w:t>
      </w:r>
      <w:r>
        <w:rPr>
          <w:rtl w:val="true"/>
        </w:rPr>
        <w:t>הבניית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),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241</w:t>
      </w:r>
      <w:r>
        <w:rPr>
          <w:rtl w:val="true"/>
        </w:rPr>
        <w:t xml:space="preserve">, </w:t>
      </w:r>
      <w:r>
        <w:rPr/>
        <w:t>446</w:t>
      </w:r>
      <w:r>
        <w:rPr>
          <w:rtl w:val="true"/>
        </w:rPr>
        <w:t xml:space="preserve">): </w:t>
      </w:r>
      <w:r>
        <w:rPr>
          <w:rtl w:val="true"/>
        </w:rPr>
        <w:t>'</w:t>
      </w:r>
      <w:r>
        <w:rPr>
          <w:rtl w:val="true"/>
        </w:rPr>
        <w:t>מטרת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ולצמצם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מוצדקים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הסופי</w:t>
      </w:r>
      <w:r>
        <w:rPr>
          <w:rtl w:val="true"/>
        </w:rPr>
        <w:t>'</w:t>
      </w:r>
      <w:r>
        <w:rPr>
          <w:rtl w:val="true"/>
        </w:rPr>
        <w:t xml:space="preserve">. </w:t>
      </w:r>
      <w:r>
        <w:rPr>
          <w:rtl w:val="true"/>
        </w:rPr>
        <w:t>בניסוחו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, </w:t>
      </w:r>
      <w:r>
        <w:rPr>
          <w:rtl w:val="true"/>
        </w:rPr>
        <w:t>לימים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מזוז</w:t>
      </w:r>
      <w:r>
        <w:rPr>
          <w:rtl w:val="true"/>
        </w:rPr>
        <w:t xml:space="preserve">,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9.7.2006</w:t>
      </w:r>
      <w:r>
        <w:rPr>
          <w:rtl w:val="true"/>
        </w:rPr>
        <w:t xml:space="preserve">, </w:t>
      </w:r>
      <w:r>
        <w:rPr>
          <w:rtl w:val="true"/>
        </w:rPr>
        <w:t>מטרת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: </w:t>
      </w:r>
      <w:r>
        <w:rPr>
          <w:rtl w:val="true"/>
        </w:rPr>
        <w:t>'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לצמצום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והשרירותיות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להתגבר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השוויון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ישיבה</w:t>
      </w:r>
      <w:r>
        <w:rPr>
          <w:rFonts w:eastAsia="Arial TUR;Arial" w:cs="Arial TUR;Arial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חוקה</w:t>
      </w:r>
      <w:r>
        <w:rPr>
          <w:rtl w:val="true"/>
        </w:rPr>
        <w:t xml:space="preserve">,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ומשפט</w:t>
      </w:r>
      <w:r>
        <w:rPr>
          <w:rtl w:val="true"/>
        </w:rPr>
        <w:t xml:space="preserve">, </w:t>
      </w:r>
      <w:r>
        <w:rPr>
          <w:rtl w:val="true"/>
        </w:rPr>
        <w:t>הכנסת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(</w:t>
      </w:r>
      <w:r>
        <w:rPr/>
        <w:t>9.7.2006</w:t>
      </w:r>
      <w:r>
        <w:rPr>
          <w:rtl w:val="true"/>
        </w:rPr>
        <w:t xml:space="preserve">)).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גולדברג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: </w:t>
      </w:r>
      <w:r>
        <w:rPr>
          <w:rtl w:val="true"/>
        </w:rPr>
        <w:t>'</w:t>
      </w:r>
      <w:r>
        <w:rPr>
          <w:rtl w:val="true"/>
        </w:rPr>
        <w:t>מעיקרון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החוקיות</w:t>
      </w:r>
      <w:r>
        <w:rPr>
          <w:rtl w:val="true"/>
        </w:rPr>
        <w:t xml:space="preserve">... </w:t>
      </w:r>
      <w:r>
        <w:rPr>
          <w:rtl w:val="true"/>
        </w:rPr>
        <w:t>מתבקש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. </w:t>
      </w:r>
      <w:r>
        <w:rPr>
          <w:rtl w:val="true"/>
        </w:rPr>
        <w:t>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וודאות</w:t>
      </w:r>
      <w:r>
        <w:rPr>
          <w:rtl w:val="true"/>
        </w:rPr>
        <w:t xml:space="preserve">, </w:t>
      </w:r>
      <w:r>
        <w:rPr>
          <w:rtl w:val="true"/>
        </w:rPr>
        <w:t>בהירות</w:t>
      </w:r>
      <w:r>
        <w:rPr>
          <w:rtl w:val="true"/>
        </w:rPr>
        <w:t xml:space="preserve">, </w:t>
      </w:r>
      <w:r>
        <w:rPr>
          <w:rtl w:val="true"/>
        </w:rPr>
        <w:t>וצפיות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וכדי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בפסיקתם</w:t>
      </w:r>
      <w:r>
        <w:rPr>
          <w:rtl w:val="true"/>
        </w:rPr>
        <w:t>.</w:t>
      </w:r>
      <w:r>
        <w:rPr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1997</w:t>
      </w:r>
      <w:r>
        <w:rPr>
          <w:rtl w:val="true"/>
        </w:rPr>
        <w:t>)).</w:t>
      </w:r>
    </w:p>
    <w:p>
      <w:pPr>
        <w:pStyle w:val="Ruller5"/>
        <w:ind w:end="1282"/>
        <w:jc w:val="both"/>
        <w:rPr/>
      </w:pP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בחישובים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</w:t>
      </w:r>
      <w:r>
        <w:rPr>
          <w:rtl w:val="true"/>
        </w:rPr>
        <w:t xml:space="preserve">. </w:t>
      </w:r>
      <w:r>
        <w:rPr>
          <w:rtl w:val="true"/>
        </w:rPr>
        <w:t>עדיין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), </w:t>
      </w:r>
      <w:r>
        <w:rPr>
          <w:rtl w:val="true"/>
        </w:rPr>
        <w:t>הינה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בחינתה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והתייחסות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והקטנת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>.</w:t>
      </w:r>
      <w:r>
        <w:rPr>
          <w:rtl w:val="true"/>
        </w:rPr>
        <w:t>"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 xml:space="preserve">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 xml:space="preserve">אינו מחייב את בית המשפט בבואו לגזור את דינו של קטין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טו</w:t>
        </w:r>
      </w:hyperlink>
      <w:r>
        <w:rPr>
          <w:rtl w:val="true"/>
        </w:rPr>
        <w:t xml:space="preserve"> לחוק העונשין</w:t>
      </w:r>
      <w:r>
        <w:rPr>
          <w:rtl w:val="true"/>
        </w:rPr>
        <w:t xml:space="preserve">; </w:t>
      </w:r>
      <w:hyperlink r:id="rId4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1589/23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17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לחוות דעתו של חברי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ובפסקה </w:t>
      </w:r>
      <w:r>
        <w:rPr>
          <w:rFonts w:cs="Century" w:ascii="Century" w:hAnsi="Century"/>
          <w:sz w:val="22"/>
        </w:rPr>
        <w:t>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לחוות דעתה של חברתי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רונן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עם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לגישתי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ניתן לקבל עמדה שלפיה בחינת מדיניות הענישה הנוהגת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שנועדה להגן על בגירים בעת גזירת עונשם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לא תחול כאשר עסקינן בענישת קטינים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בשורות הבאות אעמוד אפוא על מדיניות הענישה הנוהגת במקרים דומים</w:t>
      </w:r>
      <w:r>
        <w:rPr>
          <w:rtl w:val="true"/>
        </w:rPr>
        <w:t xml:space="preserve">, </w:t>
      </w:r>
      <w:r>
        <w:rPr>
          <w:rtl w:val="true"/>
        </w:rPr>
        <w:t>על מנת להסיק מכך האם הענישה שנגזרה על המשיב חורגת ממנה באופן ממשי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spacing w:before="240" w:after="240"/>
        <w:ind w:hanging="0" w:start="0" w:end="0"/>
        <w:jc w:val="both"/>
        <w:textAlignment w:val="baseline"/>
        <w:rPr/>
      </w:pPr>
      <w:r>
        <w:rPr>
          <w:rtl w:val="true"/>
        </w:rPr>
        <w:t>בפסק דינו</w:t>
      </w:r>
      <w:r>
        <w:rPr>
          <w:rtl w:val="true"/>
        </w:rPr>
        <w:t xml:space="preserve">, </w:t>
      </w:r>
      <w:r>
        <w:rPr>
          <w:rtl w:val="true"/>
        </w:rPr>
        <w:t>בית המשפט המחוזי סקר בהרחבה את פסקי הדין שהובאו על</w:t>
      </w:r>
      <w:r>
        <w:rPr>
          <w:rtl w:val="true"/>
        </w:rPr>
        <w:t>-</w:t>
      </w:r>
      <w:r>
        <w:rPr>
          <w:rtl w:val="true"/>
        </w:rPr>
        <w:t>ידי הצדדים</w:t>
      </w:r>
      <w:r>
        <w:rPr>
          <w:rtl w:val="true"/>
        </w:rPr>
        <w:t xml:space="preserve">, </w:t>
      </w:r>
      <w:r>
        <w:rPr>
          <w:rtl w:val="true"/>
        </w:rPr>
        <w:t>כמו גם פסקי דין נוספים שנמצאו על</w:t>
      </w:r>
      <w:r>
        <w:rPr>
          <w:rtl w:val="true"/>
        </w:rPr>
        <w:t>-</w:t>
      </w:r>
      <w:r>
        <w:rPr>
          <w:rtl w:val="true"/>
        </w:rPr>
        <w:t>ידו כרלוונטיים להליך דנא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היא המערערת</w:t>
      </w:r>
      <w:r>
        <w:rPr>
          <w:rtl w:val="true"/>
        </w:rPr>
        <w:t xml:space="preserve">, </w:t>
      </w:r>
      <w:r>
        <w:rPr>
          <w:rtl w:val="true"/>
        </w:rPr>
        <w:t xml:space="preserve">הפנתה לשבעה פסקי דין </w:t>
      </w:r>
      <w:r>
        <w:rPr>
          <w:rtl w:val="true"/>
        </w:rPr>
        <w:t>–</w:t>
      </w:r>
      <w:r>
        <w:rPr>
          <w:rtl w:val="true"/>
        </w:rPr>
        <w:t xml:space="preserve"> ארבעה מהם ניתנו לאחר כניסתו לתוקף של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tl w:val="true"/>
        </w:rPr>
        <w:t xml:space="preserve">):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1464/21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קפוסטין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</w:t>
      </w:r>
      <w:r>
        <w:rPr/>
        <w:t>0</w:t>
      </w:r>
      <w:r>
        <w:rPr/>
        <w:t>9.2022</w:t>
      </w:r>
      <w:r>
        <w:rPr>
          <w:rtl w:val="true"/>
        </w:rPr>
        <w:t xml:space="preserve">); 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5806/22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גריפאת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20.11.2022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גריפאת</w:t>
      </w:r>
      <w:r>
        <w:rPr>
          <w:rtl w:val="true"/>
        </w:rPr>
        <w:t xml:space="preserve">);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2654/22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דישלבסקי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</w:t>
      </w:r>
      <w:r>
        <w:rPr/>
        <w:t>6.12.2022</w:t>
      </w:r>
      <w:r>
        <w:rPr>
          <w:rtl w:val="true"/>
        </w:rPr>
        <w:t xml:space="preserve">); </w:t>
      </w:r>
      <w:hyperlink r:id="rId53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58841-11-19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אשטה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</w:t>
      </w:r>
      <w:r>
        <w:rPr/>
        <w:t>6.12.2022</w:t>
      </w:r>
      <w:r>
        <w:rPr>
          <w:rtl w:val="true"/>
        </w:rPr>
        <w:t xml:space="preserve">)), </w:t>
      </w:r>
      <w:r>
        <w:rPr>
          <w:rtl w:val="true"/>
        </w:rPr>
        <w:t>ואילו היֶתֶר ניתנו עובר לכניסת הרפורמה לתוקף</w:t>
      </w:r>
      <w:r>
        <w:rPr>
          <w:rtl w:val="true"/>
        </w:rPr>
        <w:t xml:space="preserve">: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10045/17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רבאייב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24.12.2018</w:t>
      </w:r>
      <w:r>
        <w:rPr>
          <w:rtl w:val="true"/>
        </w:rPr>
        <w:t xml:space="preserve">);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8774/15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</w:t>
      </w:r>
      <w:r>
        <w:rPr/>
        <w:t>0</w:t>
      </w:r>
      <w:r>
        <w:rPr/>
        <w:t>6.2016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5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8774/15</w:t>
        </w:r>
      </w:hyperlink>
      <w:r>
        <w:rPr>
          <w:rtl w:val="true"/>
        </w:rPr>
        <w:t xml:space="preserve">); </w:t>
      </w:r>
      <w:r>
        <w:rPr>
          <w:rtl w:val="true"/>
        </w:rPr>
        <w:t>ו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5987/15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</w:t>
      </w:r>
      <w:r>
        <w:rPr/>
        <w:t>0</w:t>
      </w:r>
      <w:r>
        <w:rPr/>
        <w:t>7.2017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5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5987/15</w:t>
        </w:r>
      </w:hyperlink>
      <w:r>
        <w:rPr>
          <w:rtl w:val="true"/>
        </w:rPr>
        <w:t xml:space="preserve">).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כבר עתה יצוין כי ארבעת פסקי הדין שהוזכרו על</w:t>
      </w:r>
      <w:r>
        <w:rPr>
          <w:rtl w:val="true"/>
        </w:rPr>
        <w:t>-</w:t>
      </w:r>
      <w:r>
        <w:rPr>
          <w:rtl w:val="true"/>
        </w:rPr>
        <w:t>ידי המאשימה ככאלו שניתנו לאחר הרפורמה</w:t>
      </w:r>
      <w:r>
        <w:rPr>
          <w:rtl w:val="true"/>
        </w:rPr>
        <w:t xml:space="preserve">, </w:t>
      </w:r>
      <w:r>
        <w:rPr>
          <w:rtl w:val="true"/>
        </w:rPr>
        <w:t xml:space="preserve">עסקו בענישה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בגירים</w:t>
      </w:r>
      <w:r>
        <w:rPr>
          <w:rtl w:val="true"/>
        </w:rPr>
        <w:t xml:space="preserve">, </w:t>
      </w:r>
      <w:r>
        <w:rPr>
          <w:rtl w:val="true"/>
        </w:rPr>
        <w:t xml:space="preserve">ולכן היכולת להסיק מהם על אודות מדיניות הענישה הנוהגת בעניינם של קטינים </w:t>
      </w:r>
      <w:r>
        <w:rPr>
          <w:rtl w:val="true"/>
        </w:rPr>
        <w:t>–</w:t>
      </w:r>
      <w:r>
        <w:rPr>
          <w:rtl w:val="true"/>
        </w:rPr>
        <w:t xml:space="preserve"> מוגבלת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אמנם שניים מתוך שלושת פסקי הדין שניתנו לפני הרפורמה</w:t>
      </w:r>
      <w:r>
        <w:rPr>
          <w:rtl w:val="true"/>
        </w:rPr>
        <w:t xml:space="preserve">, </w:t>
      </w:r>
      <w:r>
        <w:rPr>
          <w:rtl w:val="true"/>
        </w:rPr>
        <w:t>עסקו בעניינם של קטינים</w:t>
      </w:r>
      <w:r>
        <w:rPr>
          <w:rtl w:val="true"/>
        </w:rPr>
        <w:t xml:space="preserve">, </w:t>
      </w:r>
      <w:r>
        <w:rPr>
          <w:rtl w:val="true"/>
        </w:rPr>
        <w:t>אך עם זאת</w:t>
      </w:r>
      <w:r>
        <w:rPr>
          <w:rtl w:val="true"/>
        </w:rPr>
        <w:t xml:space="preserve">, </w:t>
      </w:r>
      <w:r>
        <w:rPr>
          <w:rtl w:val="true"/>
        </w:rPr>
        <w:t xml:space="preserve">באחד המקרים </w:t>
      </w:r>
      <w:r>
        <w:rPr>
          <w:rtl w:val="true"/>
        </w:rPr>
        <w:t>(</w:t>
      </w:r>
      <w:hyperlink r:id="rId5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8774/15</w:t>
        </w:r>
      </w:hyperlink>
      <w:r>
        <w:rPr>
          <w:rtl w:val="true"/>
        </w:rPr>
        <w:t xml:space="preserve">),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הקרוב בנסיבותיו למקרה דנן</w:t>
      </w:r>
      <w:r>
        <w:rPr>
          <w:rtl w:val="true"/>
        </w:rPr>
        <w:t xml:space="preserve">, </w:t>
      </w:r>
      <w:r>
        <w:rPr>
          <w:rtl w:val="true"/>
        </w:rPr>
        <w:t xml:space="preserve">ערעור הנאשם על חומרת העונש התקבל כך שבית משפט זה גזר עליו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 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חלף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 מאסר שנגזרו עליו בערכאה הדיונית</w:t>
      </w:r>
      <w:r>
        <w:rPr>
          <w:rtl w:val="true"/>
        </w:rPr>
        <w:t xml:space="preserve">; </w:t>
      </w:r>
      <w:r>
        <w:rPr>
          <w:rtl w:val="true"/>
        </w:rPr>
        <w:t xml:space="preserve">ואילו במקרה שבו נגזר על קטין עונש גבוה יותר </w:t>
      </w:r>
      <w:r>
        <w:rPr>
          <w:rtl w:val="true"/>
        </w:rPr>
        <w:t>(</w:t>
      </w:r>
      <w:hyperlink r:id="rId6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5987/15</w:t>
        </w:r>
      </w:hyperlink>
      <w:r>
        <w:rPr>
          <w:rtl w:val="true"/>
        </w:rPr>
        <w:t xml:space="preserve">),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דוּבַּר על קטין שהיה על סף בגירות </w:t>
      </w:r>
      <w:r>
        <w:rPr>
          <w:rtl w:val="true"/>
        </w:rPr>
        <w:t>(</w:t>
      </w:r>
      <w:r>
        <w:rPr>
          <w:rtl w:val="true"/>
        </w:rPr>
        <w:t xml:space="preserve">בגיל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), </w:t>
      </w:r>
      <w:r>
        <w:rPr>
          <w:rtl w:val="true"/>
        </w:rPr>
        <w:t xml:space="preserve">ובית משפט זה הדגיש כי אלמלא עמד לחובתו עבר פלילי משמעותי היה מקום להקל בעונשו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11</w:t>
      </w:r>
      <w:r>
        <w:rPr>
          <w:rtl w:val="true"/>
        </w:rPr>
        <w:t xml:space="preserve">), </w:t>
      </w:r>
      <w:r>
        <w:rPr>
          <w:rtl w:val="true"/>
        </w:rPr>
        <w:t>שלא כבענייננו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 המשיב</w:t>
      </w:r>
      <w:r>
        <w:rPr>
          <w:rtl w:val="true"/>
        </w:rPr>
        <w:t xml:space="preserve">, </w:t>
      </w:r>
      <w:r>
        <w:rPr>
          <w:rtl w:val="true"/>
        </w:rPr>
        <w:t xml:space="preserve">הפנה גם הוא לשבעה פסקי דין </w:t>
      </w:r>
      <w:r>
        <w:rPr>
          <w:rtl w:val="true"/>
        </w:rPr>
        <w:t>–</w:t>
      </w:r>
      <w:r>
        <w:rPr>
          <w:rtl w:val="true"/>
        </w:rPr>
        <w:t xml:space="preserve"> שלושה שניתנו לאחר כניסת הרפורמה לתוקף</w:t>
      </w:r>
      <w:r>
        <w:rPr>
          <w:rtl w:val="true"/>
        </w:rPr>
        <w:t xml:space="preserve">: </w:t>
      </w:r>
      <w:hyperlink r:id="rId61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28473-01-21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</w:t>
      </w:r>
      <w:r>
        <w:rPr/>
        <w:t>0</w:t>
      </w:r>
      <w:r>
        <w:rPr/>
        <w:t>3.2022</w:t>
      </w:r>
      <w:r>
        <w:rPr>
          <w:rtl w:val="true"/>
        </w:rPr>
        <w:t xml:space="preserve">); </w:t>
      </w:r>
      <w:hyperlink r:id="rId62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16149-10-20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אמארה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</w:t>
      </w:r>
      <w:r>
        <w:rPr/>
        <w:t>0</w:t>
      </w:r>
      <w:r>
        <w:rPr/>
        <w:t>3.2022</w:t>
      </w:r>
      <w:r>
        <w:rPr>
          <w:rtl w:val="true"/>
        </w:rPr>
        <w:t xml:space="preserve">); </w:t>
      </w:r>
      <w:hyperlink r:id="rId63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49705-06-20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27.12.2021</w:t>
      </w:r>
      <w:r>
        <w:rPr>
          <w:rtl w:val="true"/>
        </w:rPr>
        <w:t xml:space="preserve">), </w:t>
      </w:r>
      <w:r>
        <w:rPr>
          <w:rtl w:val="true"/>
        </w:rPr>
        <w:t>וארבעה שניתנו לפני הרפורמה</w:t>
      </w:r>
      <w:r>
        <w:rPr>
          <w:rtl w:val="true"/>
        </w:rPr>
        <w:t xml:space="preserve">: </w:t>
      </w:r>
      <w:hyperlink r:id="rId6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28834-03-12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אגבריה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11.12.2013</w:t>
      </w:r>
      <w:r>
        <w:rPr>
          <w:rtl w:val="true"/>
        </w:rPr>
        <w:t xml:space="preserve">); </w:t>
      </w:r>
      <w:hyperlink r:id="rId65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3154-05-13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26.10.2014</w:t>
      </w:r>
      <w:r>
        <w:rPr>
          <w:rtl w:val="true"/>
        </w:rPr>
        <w:t xml:space="preserve">); </w:t>
      </w:r>
      <w:hyperlink r:id="rId6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ירושלים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912/07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</w:t>
      </w:r>
      <w:r>
        <w:rPr/>
        <w:t>0</w:t>
      </w:r>
      <w:r>
        <w:rPr/>
        <w:t>3.2008</w:t>
      </w:r>
      <w:r>
        <w:rPr>
          <w:rtl w:val="true"/>
        </w:rPr>
        <w:t xml:space="preserve">); 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6508/05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</w:t>
      </w:r>
      <w:r>
        <w:rPr/>
        <w:t>0</w:t>
      </w:r>
      <w:r>
        <w:rPr/>
        <w:t>9.2006</w:t>
      </w:r>
      <w:r>
        <w:rPr>
          <w:rtl w:val="true"/>
        </w:rPr>
        <w:t xml:space="preserve">). </w:t>
      </w:r>
      <w:r>
        <w:rPr>
          <w:rtl w:val="true"/>
        </w:rPr>
        <w:t>מאליו מובן</w:t>
      </w:r>
      <w:r>
        <w:rPr>
          <w:rtl w:val="true"/>
        </w:rPr>
        <w:t xml:space="preserve">, </w:t>
      </w:r>
      <w:r>
        <w:rPr>
          <w:rtl w:val="true"/>
        </w:rPr>
        <w:t>כי גם פסקי דין אלו שונים</w:t>
      </w:r>
      <w:r>
        <w:rPr>
          <w:rtl w:val="true"/>
        </w:rPr>
        <w:t xml:space="preserve">, </w:t>
      </w:r>
      <w:r>
        <w:rPr>
          <w:rtl w:val="true"/>
        </w:rPr>
        <w:t>במידה כזו או אחרת</w:t>
      </w:r>
      <w:r>
        <w:rPr>
          <w:rtl w:val="true"/>
        </w:rPr>
        <w:t xml:space="preserve">, </w:t>
      </w:r>
      <w:r>
        <w:rPr>
          <w:rtl w:val="true"/>
        </w:rPr>
        <w:t>מהמקרה דנן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spacing w:before="240" w:after="240"/>
        <w:ind w:hanging="0" w:start="0" w:end="0"/>
        <w:jc w:val="both"/>
        <w:textAlignment w:val="baseline"/>
        <w:rPr/>
      </w:pPr>
      <w:r>
        <w:rPr>
          <w:rtl w:val="true"/>
        </w:rPr>
        <w:t>בית המשפט המחוזי הוסיף וציין כי בעת שניתן פסק דינו</w:t>
      </w:r>
      <w:r>
        <w:rPr>
          <w:rtl w:val="true"/>
        </w:rPr>
        <w:t xml:space="preserve">, </w:t>
      </w:r>
      <w:r>
        <w:rPr>
          <w:rtl w:val="true"/>
        </w:rPr>
        <w:t xml:space="preserve">טרם ניתנה פסיקת בית המשפט העליון בעניינם של קטינים שהורשעו ברצח באדישות לאחר הרפורמה בעבירות ההמתה </w:t>
      </w:r>
      <w:r>
        <w:rPr>
          <w:rtl w:val="true"/>
        </w:rPr>
        <w:t>(</w:t>
      </w:r>
      <w:hyperlink r:id="rId6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בית המשפט המחוזי נדרש לפסיקה שניתנה בעניינם של קטינים טרם הרפורמה</w:t>
      </w:r>
      <w:r>
        <w:rPr>
          <w:rtl w:val="true"/>
        </w:rPr>
        <w:t xml:space="preserve">. </w:t>
      </w:r>
      <w:r>
        <w:rPr>
          <w:rtl w:val="true"/>
        </w:rPr>
        <w:t>בהקשר זה נקבע</w:t>
      </w:r>
      <w:r>
        <w:rPr>
          <w:rtl w:val="true"/>
        </w:rPr>
        <w:t xml:space="preserve">, </w:t>
      </w:r>
      <w:r>
        <w:rPr>
          <w:rtl w:val="true"/>
        </w:rPr>
        <w:t>כי אמנם הרפורמה משקפת החמרה בתפיסת המחוקק את עבירת ההמתה באדישות</w:t>
      </w:r>
      <w:r>
        <w:rPr>
          <w:rtl w:val="true"/>
        </w:rPr>
        <w:t xml:space="preserve">, </w:t>
      </w:r>
      <w:r>
        <w:rPr>
          <w:rtl w:val="true"/>
        </w:rPr>
        <w:t xml:space="preserve">אך הפסיקה שניתנה טרם הרפורמה תוכל לשמש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כפסיקה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מנחה</w:t>
      </w:r>
      <w:r>
        <w:rPr>
          <w:rtl w:val="true"/>
        </w:rPr>
        <w:t xml:space="preserve">" </w:t>
      </w:r>
      <w:r>
        <w:rPr>
          <w:rtl w:val="true"/>
        </w:rPr>
        <w:t>בעניין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בתוך כך נדרש בית המשפט המחוזי לפסקי הדין הבאים</w:t>
      </w:r>
      <w:r>
        <w:rPr>
          <w:rtl w:val="true"/>
        </w:rPr>
        <w:t xml:space="preserve">: </w:t>
      </w:r>
      <w:hyperlink r:id="rId7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3472/11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</w:t>
      </w:r>
      <w:r>
        <w:rPr/>
        <w:t>3.</w:t>
      </w:r>
      <w:r>
        <w:rPr/>
        <w:t>0</w:t>
      </w:r>
      <w:r>
        <w:rPr/>
        <w:t>9.2012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71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3472/11</w:t>
        </w:r>
      </w:hyperlink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שבו נגזרו על הנאשם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; </w:t>
      </w:r>
      <w:hyperlink r:id="rId7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55300-02-18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22.12.2019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ערעור על חומרת העונש נדחה ב</w:t>
      </w: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955/20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30.09.2021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7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955/20</w:t>
        </w:r>
      </w:hyperlink>
      <w:r>
        <w:rPr>
          <w:rtl w:val="true"/>
        </w:rPr>
        <w:t xml:space="preserve">), </w:t>
      </w:r>
      <w:r>
        <w:rPr>
          <w:rtl w:val="true"/>
        </w:rPr>
        <w:t xml:space="preserve">שבו נגזרו על הנאשם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</w:t>
      </w:r>
      <w:r>
        <w:rPr/>
        <w:t>7.</w:t>
      </w:r>
      <w:r>
        <w:rPr/>
        <w:t>0</w:t>
      </w:r>
      <w:r>
        <w:rPr/>
        <w:t>3.2007</w:t>
      </w:r>
      <w:r>
        <w:rPr>
          <w:rtl w:val="true"/>
        </w:rPr>
        <w:t xml:space="preserve">), </w:t>
      </w:r>
      <w:r>
        <w:rPr>
          <w:rtl w:val="true"/>
        </w:rPr>
        <w:t xml:space="preserve">שבו נגזרו על הנאשם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; </w:t>
      </w:r>
      <w:hyperlink r:id="rId7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50010/07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25.12.2007</w:t>
      </w:r>
      <w:r>
        <w:rPr>
          <w:rtl w:val="true"/>
        </w:rPr>
        <w:t xml:space="preserve">), </w:t>
      </w:r>
      <w:r>
        <w:rPr>
          <w:rtl w:val="true"/>
        </w:rPr>
        <w:t xml:space="preserve">שבו נגזרו על הנאשם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; </w:t>
      </w:r>
      <w:hyperlink r:id="rId7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8242/15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11.12.2016</w:t>
      </w:r>
      <w:r>
        <w:rPr>
          <w:rtl w:val="true"/>
        </w:rPr>
        <w:t xml:space="preserve">), </w:t>
      </w:r>
      <w:r>
        <w:rPr>
          <w:rtl w:val="true"/>
        </w:rPr>
        <w:t xml:space="preserve">שבו נגזרו על הנאשם </w:t>
      </w:r>
      <w:r>
        <w:rPr/>
        <w:t>10.5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; </w:t>
      </w:r>
      <w:r>
        <w:rPr>
          <w:rtl w:val="true"/>
        </w:rPr>
        <w:t>ו</w:t>
      </w:r>
      <w:hyperlink r:id="rId7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671/12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</w:t>
      </w:r>
      <w:r>
        <w:rPr/>
        <w:t>0</w:t>
      </w:r>
      <w:r>
        <w:rPr/>
        <w:t>2.2013</w:t>
      </w:r>
      <w:r>
        <w:rPr>
          <w:rtl w:val="true"/>
        </w:rPr>
        <w:t xml:space="preserve">), </w:t>
      </w:r>
      <w:r>
        <w:rPr>
          <w:rtl w:val="true"/>
        </w:rPr>
        <w:t xml:space="preserve">שבו בית משפט זה הקל בעונשו של המערער והשית עליו עונש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חלף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 שגזרו עליו בערכאה הדיונית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spacing w:before="240" w:after="240"/>
        <w:ind w:hanging="0" w:start="0" w:end="0"/>
        <w:jc w:val="both"/>
        <w:textAlignment w:val="baseline"/>
        <w:rPr/>
      </w:pPr>
      <w:r>
        <w:rPr>
          <w:rtl w:val="true"/>
        </w:rPr>
        <w:t>מובן כי אין זה המקום להיכנס לכל פרטי ודקדוקי פסקי הדין שנזכרו לעיל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לא ניתן להתעלם מהעובדה שבית המשפט המחוזי סקר</w:t>
      </w:r>
      <w:r>
        <w:rPr>
          <w:rtl w:val="true"/>
        </w:rPr>
        <w:t xml:space="preserve">, </w:t>
      </w:r>
      <w:r>
        <w:rPr>
          <w:rtl w:val="true"/>
        </w:rPr>
        <w:t>בהרחבה</w:t>
      </w:r>
      <w:r>
        <w:rPr>
          <w:rtl w:val="true"/>
        </w:rPr>
        <w:t xml:space="preserve">, </w:t>
      </w:r>
      <w:r>
        <w:rPr>
          <w:rtl w:val="true"/>
        </w:rPr>
        <w:t>את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בבואו לגזור את דינו של המשיב</w:t>
      </w:r>
      <w:r>
        <w:rPr>
          <w:rtl w:val="true"/>
        </w:rPr>
        <w:t xml:space="preserve">. </w:t>
      </w:r>
      <w:r>
        <w:rPr>
          <w:rtl w:val="true"/>
        </w:rPr>
        <w:t>אסתפק אפוא בהתייחסות לשני מקרים דומים לענייננו</w:t>
      </w:r>
      <w:r>
        <w:rPr>
          <w:rtl w:val="true"/>
        </w:rPr>
        <w:t xml:space="preserve">, </w:t>
      </w:r>
      <w:r>
        <w:rPr>
          <w:rtl w:val="true"/>
        </w:rPr>
        <w:t>שניתנו טרם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>שבהם נגזרו על נאשמים עונשים קלים באופן משמעותי מזה שנגזר על המשיב בענייננו</w:t>
      </w:r>
      <w:r>
        <w:rPr>
          <w:rtl w:val="true"/>
        </w:rPr>
        <w:t xml:space="preserve">, </w:t>
      </w:r>
      <w:r>
        <w:rPr>
          <w:rtl w:val="true"/>
        </w:rPr>
        <w:t>מתוך המקבץ שלעיל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7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955/20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דובר בנאשם כבן </w:t>
      </w:r>
      <w:r>
        <w:rPr/>
        <w:t>17.5</w:t>
      </w:r>
      <w:r>
        <w:rPr>
          <w:rtl w:val="true"/>
        </w:rPr>
        <w:t xml:space="preserve"> </w:t>
      </w:r>
      <w:r>
        <w:rPr>
          <w:rtl w:val="true"/>
        </w:rPr>
        <w:t>שנים שדקר את חברו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 xml:space="preserve">קטין כבן </w:t>
      </w:r>
      <w:r>
        <w:rPr/>
        <w:t>16.5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על רקע קטטה שהחלה כאשר המנוח העיר לנאשם וקילל אותו על כך שלא הרים פרוסת לחם שנפלה לו</w:t>
      </w:r>
      <w:r>
        <w:rPr>
          <w:rtl w:val="true"/>
        </w:rPr>
        <w:t xml:space="preserve">.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ברון</w:t>
      </w:r>
      <w:r>
        <w:rPr>
          <w:rtl w:val="true"/>
        </w:rPr>
        <w:t xml:space="preserve"> סיכמה את האירוע בציינה</w:t>
      </w:r>
      <w:r>
        <w:rPr>
          <w:rtl w:val="true"/>
        </w:rPr>
        <w:t xml:space="preserve">, </w:t>
      </w:r>
      <w:r>
        <w:rPr>
          <w:rtl w:val="true"/>
        </w:rPr>
        <w:t>כדלהלן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הובילה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בהינף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לטרגדיה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שגדעה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צעיר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והותירה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וגעגועים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ארוכות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מאחורי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ובריח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ונדון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באשמו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להירתם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מרתיעה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למלחמה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נסבלת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ניצתת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שאירע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ותוצאותיה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הרסניות</w:t>
      </w:r>
      <w:r>
        <w:rPr>
          <w:rtl w:val="true"/>
        </w:rPr>
        <w:t>.</w:t>
      </w:r>
      <w:r>
        <w:rPr>
          <w:rtl w:val="true"/>
        </w:rPr>
        <w:t xml:space="preserve">" </w:t>
      </w:r>
      <w:r>
        <w:rPr>
          <w:rtl w:val="true"/>
        </w:rPr>
        <w:t xml:space="preserve">העונש שנגזר על המערער באותו מקרה עמד על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וזאת כאשר הנאשם באותו עניין לא נטל אחריות על מעשיו</w:t>
      </w:r>
      <w:r>
        <w:rPr>
          <w:rtl w:val="true"/>
        </w:rPr>
        <w:t xml:space="preserve">, </w:t>
      </w:r>
      <w:r>
        <w:rPr>
          <w:rtl w:val="true"/>
        </w:rPr>
        <w:t>והורשע לאחר ניהול הליך הוכחות מלא</w:t>
      </w:r>
      <w:r>
        <w:rPr>
          <w:rtl w:val="true"/>
        </w:rPr>
        <w:t xml:space="preserve">. </w:t>
      </w:r>
      <w:r>
        <w:rPr>
          <w:rtl w:val="true"/>
        </w:rPr>
        <w:t>במסגרת הדיון בערעורו על 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ציין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קרא</w:t>
      </w:r>
      <w:r>
        <w:rPr>
          <w:rtl w:val="true"/>
        </w:rPr>
        <w:t xml:space="preserve">, </w:t>
      </w:r>
      <w:r>
        <w:rPr>
          <w:rtl w:val="true"/>
        </w:rPr>
        <w:t xml:space="preserve">כדברים האלו </w:t>
      </w:r>
      <w:r>
        <w:rPr>
          <w:rtl w:val="true"/>
        </w:rPr>
        <w:t>(</w:t>
      </w:r>
      <w:r>
        <w:rPr>
          <w:rtl w:val="true"/>
        </w:rPr>
        <w:t xml:space="preserve">בפסקה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לחוות דעתו</w:t>
      </w:r>
      <w:r>
        <w:rPr>
          <w:rtl w:val="true"/>
        </w:rPr>
        <w:t xml:space="preserve">): 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והקוגניטיביות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בתוצאותיה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הפיכות</w:t>
      </w:r>
      <w:r>
        <w:rPr>
          <w:rtl w:val="true"/>
        </w:rPr>
        <w:t xml:space="preserve">; </w:t>
      </w:r>
      <w:r>
        <w:rPr>
          <w:rtl w:val="true"/>
        </w:rPr>
        <w:t>בגילו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17.5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קרבה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גמול</w:t>
      </w:r>
      <w:r>
        <w:rPr>
          <w:rtl w:val="true"/>
        </w:rPr>
        <w:t xml:space="preserve">, </w:t>
      </w:r>
      <w:r>
        <w:rPr>
          <w:rtl w:val="true"/>
        </w:rPr>
        <w:t>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;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;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שתיים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;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; </w:t>
      </w:r>
      <w:r>
        <w:rPr>
          <w:rtl w:val="true"/>
        </w:rPr>
        <w:t>ולאור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אימפולסיבית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" (</w:t>
      </w:r>
      <w:r>
        <w:rPr>
          <w:rtl w:val="true"/>
        </w:rPr>
        <w:t>הפניה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הושמטה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')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tl w:val="true"/>
        </w:rPr>
        <w:t>דוגמה נוספת ניתן למצוא ב</w:t>
      </w:r>
      <w:hyperlink r:id="rId8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3472/11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שם גם כן דובר בקטין כבן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שהורשע בכך שדקר את המנוח על רקע ויכוח של מה בכך</w:t>
      </w:r>
      <w:r>
        <w:rPr>
          <w:rtl w:val="true"/>
        </w:rPr>
        <w:t xml:space="preserve">. </w:t>
      </w:r>
      <w:r>
        <w:rPr>
          <w:rtl w:val="true"/>
        </w:rPr>
        <w:t xml:space="preserve">באותו עניין נגזרו על הנאשם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וכך קבע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זילברטל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בדחותו את הערעור על חומרת העונש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28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לחוות דעתו</w:t>
      </w:r>
      <w:r>
        <w:rPr>
          <w:rFonts w:cs="Century" w:ascii="Century" w:hAnsi="Century"/>
          <w:sz w:val="22"/>
          <w:rtl w:val="true"/>
        </w:rPr>
        <w:t>):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באשר לחומרת העונש שנגזר על הנאשם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אכן העונש אינו קל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בייחוד כאשר עסקינן בקטין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אולם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איני מוצא כי קיימת הצדקה להתערב בו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cs="FrankRuehl" w:ascii="FrankRuehl" w:hAnsi="FrankRuehl"/>
          <w:color w:val="000000"/>
          <w:sz w:val="28"/>
          <w:rtl w:val="true"/>
        </w:rPr>
        <w:t>[...]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העונש שהושת על המערער אינו חריג בחומרתו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מעשיו של המערער חמורים וקשים הם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המערער קיפח חייו של נער בשל זוטי דברים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ופעל באלימות קשה וקטלנית נגד המנוח אך משום שאמר משפט שלא נשא חן בעיניו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עלינו לשוות לנגד עיננו את הפגיעה הקשה מכל בערך העליון של קדושת החיים ואת הוריו של המנוח שהעידו בבית המשפט המחוזי ומסרו עדויות קורעות לב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חובתנו היא לתת ביטוי עונשי הולם לפגיעה המיותרת כל כך בחייו של נער צעיר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שעלה לישראל מאתיופיה בהיותו בן שש ומצא את מותו כעבור עשר שנים בדקירת סכין שנשלפה על ידי המערער בקלות מקוממת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בית המשפט המחוזי כבר הביא בחשבון את הנסיבות השונות לקולא בעניינו של המערער – הודאתו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חרטתו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קטינותו נסיבות חייו הקשות ועברו הנורמטיבי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בית המשפט נתן משקל לכל אלו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לצד חומרת העבירה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תוצאותיה הקשות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היקפה הקשה של תופעת הסכינאות וסכנותיה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והעדרה של המלצה טיפולית בעניינו של המערער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אשר אין בתסקיר המשלים שהוגש לעיוננו לשנות מכך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  <w:r>
        <w:rPr>
          <w:rtl w:val="true"/>
        </w:rPr>
        <w:t>"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 זה אוסיף</w:t>
      </w:r>
      <w:r>
        <w:rPr>
          <w:rtl w:val="true"/>
        </w:rPr>
        <w:t xml:space="preserve">, </w:t>
      </w:r>
      <w:r>
        <w:rPr>
          <w:rtl w:val="true"/>
        </w:rPr>
        <w:t xml:space="preserve">כי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גריפאת</w:t>
      </w:r>
      <w:r>
        <w:rPr>
          <w:rtl w:val="true"/>
        </w:rPr>
        <w:t xml:space="preserve">, </w:t>
      </w:r>
      <w:r>
        <w:rPr>
          <w:rtl w:val="true"/>
        </w:rPr>
        <w:t>אשר קיים דמיון רב בינו לבין ענייננו</w:t>
      </w:r>
      <w:r>
        <w:rPr>
          <w:rtl w:val="true"/>
        </w:rPr>
        <w:t xml:space="preserve">, </w:t>
      </w:r>
      <w:r>
        <w:rPr>
          <w:rtl w:val="true"/>
        </w:rPr>
        <w:t>נגזר על הנאשם</w:t>
      </w:r>
      <w:r>
        <w:rPr>
          <w:rtl w:val="true"/>
        </w:rPr>
        <w:t xml:space="preserve">, </w:t>
      </w:r>
      <w:r>
        <w:rPr>
          <w:rtl w:val="true"/>
        </w:rPr>
        <w:t>בגיר</w:t>
      </w:r>
      <w:r>
        <w:rPr>
          <w:rtl w:val="true"/>
        </w:rPr>
        <w:t xml:space="preserve">, </w:t>
      </w:r>
      <w:r>
        <w:rPr>
          <w:rtl w:val="true"/>
        </w:rPr>
        <w:t xml:space="preserve">עונש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ובית משפט זה החמיר את עונשו 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</w:t>
      </w:r>
      <w:r>
        <w:rPr>
          <w:rtl w:val="true"/>
        </w:rPr>
        <w:t>(</w:t>
      </w:r>
      <w:r>
        <w:rPr>
          <w:rtl w:val="true"/>
        </w:rPr>
        <w:t>והשוו ל</w:t>
      </w:r>
      <w:hyperlink r:id="rId8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8653/22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(‏</w:t>
      </w:r>
      <w:r>
        <w:rPr/>
        <w:t>22.6.2023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שם נדחה ערעור המדינה על חומרת העונש שנגזר על המשיב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בגין הרשעתו בעבירה של רצח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בכוונה</w:t>
      </w:r>
      <w:r>
        <w:rPr>
          <w:rtl w:val="true"/>
        </w:rPr>
        <w:t>).</w:t>
      </w:r>
    </w:p>
    <w:p>
      <w:pPr>
        <w:pStyle w:val="Ruller42"/>
        <w:numPr>
          <w:ilvl w:val="0"/>
          <w:numId w:val="1"/>
        </w:numPr>
        <w:spacing w:before="240" w:after="240"/>
        <w:ind w:hanging="0" w:start="0" w:end="0"/>
        <w:jc w:val="both"/>
        <w:textAlignment w:val="baseline"/>
        <w:rPr/>
      </w:pP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בית המשפט המחוזי גזר את דינו של המשיב לאחר שסקר באופן מפורט את מדיניות הענישה הנוהגת במקרים דומים</w:t>
      </w:r>
      <w:r>
        <w:rPr>
          <w:rtl w:val="true"/>
        </w:rPr>
        <w:t xml:space="preserve">, </w:t>
      </w:r>
      <w:r>
        <w:rPr>
          <w:rtl w:val="true"/>
        </w:rPr>
        <w:t>ואף לאחר שנתן דעתו לחומרה הנובעת מהרפורמה בעבירות ההמתה ביחס לעבירה של רצח באדישות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לגישתי</w:t>
      </w:r>
      <w:r>
        <w:rPr>
          <w:rtl w:val="true"/>
        </w:rPr>
        <w:t xml:space="preserve">, </w:t>
      </w:r>
      <w:r>
        <w:rPr>
          <w:rtl w:val="true"/>
        </w:rPr>
        <w:t xml:space="preserve">קשה עד מאוד להגיע למסקנה כי בפסק הדין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ניכרת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חריגה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הנוהגת</w:t>
      </w:r>
      <w:r>
        <w:rPr>
          <w:rtl w:val="true"/>
        </w:rPr>
        <w:t xml:space="preserve">", </w:t>
      </w:r>
      <w:r>
        <w:rPr>
          <w:rtl w:val="true"/>
        </w:rPr>
        <w:t>ובוודאי שכך בהיעדר הפניה לפסקי דין המלמדים על חריגה שכזו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spacing w:before="240" w:after="240"/>
        <w:ind w:hanging="0" w:start="0" w:end="0"/>
        <w:jc w:val="both"/>
        <w:textAlignment w:val="baseline"/>
        <w:rPr/>
      </w:pPr>
      <w:r>
        <w:rPr>
          <w:rtl w:val="true"/>
        </w:rPr>
        <w:t>חברי הוסיף וציין בחוות דעתו</w:t>
      </w:r>
      <w:r>
        <w:rPr>
          <w:rtl w:val="true"/>
        </w:rPr>
        <w:t xml:space="preserve">, </w:t>
      </w:r>
      <w:r>
        <w:rPr>
          <w:rtl w:val="true"/>
        </w:rPr>
        <w:t>כי מהפסיקה שניתנה לאחר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>מתחייבת המסקנה כי יש להחמיר בענישה של מי שהורשע בעבירה של רצח באדישות</w:t>
      </w:r>
      <w:r>
        <w:rPr>
          <w:rtl w:val="true"/>
        </w:rPr>
        <w:t xml:space="preserve">, </w:t>
      </w:r>
      <w:r>
        <w:rPr>
          <w:rtl w:val="true"/>
        </w:rPr>
        <w:t xml:space="preserve">וכי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לפסיקה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האמורה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לגישתי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נדרש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ליישמה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מובהק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tl w:val="true"/>
        </w:rPr>
        <w:t xml:space="preserve">".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כפי שהראיתי לעיל</w:t>
      </w:r>
      <w:r>
        <w:rPr>
          <w:rtl w:val="true"/>
        </w:rPr>
        <w:t xml:space="preserve">, </w:t>
      </w:r>
      <w:r>
        <w:rPr>
          <w:rtl w:val="true"/>
        </w:rPr>
        <w:t>בית המשפט המחוזי החמיר את עונשו של המשיב</w:t>
      </w:r>
      <w:r>
        <w:rPr>
          <w:rtl w:val="true"/>
        </w:rPr>
        <w:t xml:space="preserve">, </w:t>
      </w:r>
      <w:r>
        <w:rPr>
          <w:rtl w:val="true"/>
        </w:rPr>
        <w:t>באופן משמעותי</w:t>
      </w:r>
      <w:r>
        <w:rPr>
          <w:rtl w:val="true"/>
        </w:rPr>
        <w:t xml:space="preserve">, </w:t>
      </w:r>
      <w:r>
        <w:rPr>
          <w:rtl w:val="true"/>
        </w:rPr>
        <w:t>ביחס לעונשים שהוטלו על נאשמים במקרים דומים טרם הרפורמה בעבירות ההמתה</w:t>
      </w:r>
      <w:r>
        <w:rPr>
          <w:rtl w:val="true"/>
        </w:rPr>
        <w:t xml:space="preserve">.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 xml:space="preserve">אף אם יהיה מי שיסבור כי היה נדרש ליישם את הפסיקה האמורה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מובהק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tl w:val="true"/>
        </w:rPr>
        <w:t xml:space="preserve">", </w:t>
      </w:r>
      <w:r>
        <w:rPr>
          <w:rtl w:val="true"/>
        </w:rPr>
        <w:t>לטעמי אין מדובר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שנפלה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הדברים</w:t>
      </w:r>
      <w:r>
        <w:rPr>
          <w:rtl w:val="true"/>
        </w:rPr>
        <w:t xml:space="preserve"> שמצדיקה את התערבותנו כערכאת ערעור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spacing w:before="240" w:after="240"/>
        <w:ind w:hanging="0" w:start="0" w:end="0"/>
        <w:jc w:val="both"/>
        <w:textAlignment w:val="baseline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סיכומו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המערערת לא הצביעה על טעות</w:t>
      </w:r>
      <w:r>
        <w:rPr>
          <w:rtl w:val="true"/>
        </w:rPr>
        <w:t xml:space="preserve">, </w:t>
      </w:r>
      <w:r>
        <w:rPr>
          <w:rtl w:val="true"/>
        </w:rPr>
        <w:t>לא כל שכן מהותית</w:t>
      </w:r>
      <w:r>
        <w:rPr>
          <w:rtl w:val="true"/>
        </w:rPr>
        <w:t xml:space="preserve">, </w:t>
      </w:r>
      <w:r>
        <w:rPr>
          <w:rtl w:val="true"/>
        </w:rPr>
        <w:t>שנפלה בפסק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או על חריגה ממשית ממדיניות הענישה הנוהגת במקרים דומים</w:t>
      </w:r>
      <w:r>
        <w:rPr>
          <w:rtl w:val="true"/>
        </w:rPr>
        <w:t xml:space="preserve">. </w:t>
      </w:r>
      <w:r>
        <w:rPr>
          <w:rtl w:val="true"/>
        </w:rPr>
        <w:t>המערערת הדגישה את חומרת מעשי המשיב</w:t>
      </w:r>
      <w:r>
        <w:rPr>
          <w:rtl w:val="true"/>
        </w:rPr>
        <w:t xml:space="preserve">, </w:t>
      </w:r>
      <w:r>
        <w:rPr>
          <w:rtl w:val="true"/>
        </w:rPr>
        <w:t>וטענה בעוז כי יש להחמיר עמו</w:t>
      </w:r>
      <w:r>
        <w:rPr>
          <w:rtl w:val="true"/>
        </w:rPr>
        <w:t xml:space="preserve">, </w:t>
      </w:r>
      <w:r>
        <w:rPr>
          <w:rtl w:val="true"/>
        </w:rPr>
        <w:t>אך מלבד ציון העובדה</w:t>
      </w:r>
      <w:r>
        <w:rPr>
          <w:rtl w:val="true"/>
        </w:rPr>
        <w:t xml:space="preserve">, </w:t>
      </w:r>
      <w:r>
        <w:rPr>
          <w:rtl w:val="true"/>
        </w:rPr>
        <w:t>הנכונה</w:t>
      </w:r>
      <w:r>
        <w:rPr>
          <w:rtl w:val="true"/>
        </w:rPr>
        <w:t xml:space="preserve">, </w:t>
      </w:r>
      <w:r>
        <w:rPr>
          <w:rtl w:val="true"/>
        </w:rPr>
        <w:t>כי מעשיו של המשיב חמורים ביותר</w:t>
      </w:r>
      <w:r>
        <w:rPr>
          <w:rtl w:val="true"/>
        </w:rPr>
        <w:t xml:space="preserve">, </w:t>
      </w:r>
      <w:r>
        <w:rPr>
          <w:rtl w:val="true"/>
        </w:rPr>
        <w:t>לא מצאתי כי טענותיה באשר לכך שנדרשת החמרה בעונשו ניצבות על אדנים של ממש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גם אחר עיון בחוות דעתו של חברי</w:t>
      </w:r>
      <w:r>
        <w:rPr>
          <w:rtl w:val="true"/>
        </w:rPr>
        <w:t xml:space="preserve">, </w:t>
      </w:r>
      <w:r>
        <w:rPr>
          <w:rtl w:val="true"/>
        </w:rPr>
        <w:t>לא שוכנעתי כי קמה הצדקה להתערבותנו כערכאת הערעור בתוצאה שיצאה תחת ידו של בית המשפט המחוזי</w:t>
      </w:r>
      <w:r>
        <w:rPr>
          <w:rtl w:val="true"/>
        </w:rPr>
        <w:t>.</w:t>
      </w:r>
    </w:p>
    <w:p>
      <w:pPr>
        <w:pStyle w:val="Ruller42"/>
        <w:keepNext w:val="true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הרלוונטיים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ובכללם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</w:p>
    <w:p>
      <w:pPr>
        <w:pStyle w:val="Ruller42"/>
        <w:numPr>
          <w:ilvl w:val="0"/>
          <w:numId w:val="1"/>
        </w:numPr>
        <w:spacing w:before="240" w:after="240"/>
        <w:ind w:hanging="0" w:start="0" w:end="0"/>
        <w:jc w:val="both"/>
        <w:textAlignment w:val="baseline"/>
        <w:rPr/>
      </w:pPr>
      <w:r>
        <w:rPr>
          <w:rtl w:val="true"/>
        </w:rPr>
        <w:t>בהתייחסו לשיקולי הענישה בענייננו</w:t>
      </w:r>
      <w:r>
        <w:rPr>
          <w:rtl w:val="true"/>
        </w:rPr>
        <w:t xml:space="preserve">, </w:t>
      </w:r>
      <w:r>
        <w:rPr>
          <w:rtl w:val="true"/>
        </w:rPr>
        <w:t>חברי ציין כי במקרה הרגיל</w:t>
      </w:r>
      <w:r>
        <w:rPr>
          <w:rtl w:val="true"/>
        </w:rPr>
        <w:t xml:space="preserve">, </w:t>
      </w:r>
      <w:r>
        <w:rPr>
          <w:rtl w:val="true"/>
        </w:rPr>
        <w:t>ענישת קטינים מעוררת לבטים לא פשוטים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בהינתן המתח בין שיקולי ההלימה בין חומרת העבירה לבין העונש מחד גיסא</w:t>
      </w:r>
      <w:r>
        <w:rPr>
          <w:rtl w:val="true"/>
        </w:rPr>
        <w:t xml:space="preserve">, </w:t>
      </w:r>
      <w:r>
        <w:rPr>
          <w:rtl w:val="true"/>
        </w:rPr>
        <w:t>ושיקולי שיקום מאידך גיסא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במקרה שלפנינו</w:t>
      </w:r>
      <w:r>
        <w:rPr>
          <w:rtl w:val="true"/>
        </w:rPr>
        <w:t xml:space="preserve">, </w:t>
      </w:r>
      <w:r>
        <w:rPr>
          <w:rtl w:val="true"/>
        </w:rPr>
        <w:t>כך סבור חברי</w:t>
      </w:r>
      <w:r>
        <w:rPr>
          <w:rtl w:val="true"/>
        </w:rPr>
        <w:t xml:space="preserve">, </w:t>
      </w:r>
      <w:r>
        <w:rPr>
          <w:rtl w:val="true"/>
        </w:rPr>
        <w:t>לא מתעוררים לבטים כאמור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מכיוון ש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מתסקיר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המבחן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מובהק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מסוכנות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המבחן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לנוער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בהמלצה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טיפולית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בעניינו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במועד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בצעדיו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אפוא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ניצבים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דילמה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לשיקולי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נוקשים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מחייבים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המקל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לחוות דעתו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אין בידי להצטרף לקביעה זו בהיבט המשפטי</w:t>
      </w:r>
      <w:r>
        <w:rPr>
          <w:rtl w:val="true"/>
        </w:rPr>
        <w:t xml:space="preserve">; </w:t>
      </w:r>
      <w:r>
        <w:rPr>
          <w:rtl w:val="true"/>
        </w:rPr>
        <w:t>אף לא בהיבט העובדתי</w:t>
      </w:r>
      <w:r>
        <w:rPr>
          <w:rtl w:val="true"/>
        </w:rPr>
        <w:t xml:space="preserve">, </w:t>
      </w:r>
      <w:r>
        <w:rPr>
          <w:rtl w:val="true"/>
        </w:rPr>
        <w:t>ואסביר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spacing w:before="240" w:after="240"/>
        <w:ind w:hanging="0" w:start="0" w:end="0"/>
        <w:jc w:val="both"/>
        <w:textAlignment w:val="baseline"/>
        <w:rPr/>
      </w:pPr>
      <w:r>
        <w:rPr>
          <w:rtl w:val="true"/>
        </w:rPr>
        <w:t>אשר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היבט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כפי שציינה חברתי</w:t>
      </w:r>
      <w:r>
        <w:rPr>
          <w:rtl w:val="true"/>
        </w:rPr>
        <w:t xml:space="preserve">,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רונן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8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1589/23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קיימים שלושה נימוקים שונים</w:t>
      </w:r>
      <w:r>
        <w:rPr>
          <w:rtl w:val="true"/>
        </w:rPr>
        <w:t xml:space="preserve">, </w:t>
      </w:r>
      <w:r>
        <w:rPr>
          <w:rtl w:val="true"/>
        </w:rPr>
        <w:t>שבעטיים מקובל להקל בענישת קטינים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ההצדקה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. </w:t>
      </w:r>
      <w:r>
        <w:rPr>
          <w:rtl w:val="true"/>
        </w:rPr>
        <w:t>ההנחה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בקטינים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התפתחותו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הפיזיולוגית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והקוגניטיבית</w:t>
      </w:r>
      <w:r>
        <w:rPr>
          <w:rtl w:val="true"/>
        </w:rPr>
        <w:t xml:space="preserve">, </w:t>
      </w:r>
      <w:r>
        <w:rPr>
          <w:rtl w:val="true"/>
        </w:rPr>
        <w:t>והעדר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ההצדקה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ולפיה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ההצדקה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שסיכוייו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; </w:t>
      </w:r>
      <w:r>
        <w:rPr>
          <w:rtl w:val="true"/>
        </w:rPr>
        <w:t>ההפניות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הושמטו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').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הצדקות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);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.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מעצם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טיבם</w:t>
      </w:r>
      <w:r>
        <w:rPr>
          <w:rtl w:val="true"/>
        </w:rPr>
        <w:t xml:space="preserve">, </w:t>
      </w:r>
      <w:r>
        <w:rPr>
          <w:rtl w:val="true"/>
        </w:rPr>
        <w:t>מעוררים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שקיימנו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spacing w:before="240" w:after="240"/>
        <w:ind w:hanging="0" w:start="0" w:end="0"/>
        <w:jc w:val="both"/>
        <w:textAlignment w:val="baseline"/>
        <w:rPr/>
      </w:pPr>
      <w:r>
        <w:rPr>
          <w:rtl w:val="true"/>
        </w:rPr>
        <w:t>אשר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היבט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העובדתי</w:t>
      </w:r>
      <w:r>
        <w:rPr>
          <w:rtl w:val="true"/>
        </w:rPr>
        <w:t xml:space="preserve">, </w:t>
      </w:r>
      <w:r>
        <w:rPr>
          <w:rtl w:val="true"/>
        </w:rPr>
        <w:t>בניגוד לחברי</w:t>
      </w:r>
      <w:r>
        <w:rPr>
          <w:rtl w:val="true"/>
        </w:rPr>
        <w:t xml:space="preserve">, </w:t>
      </w:r>
      <w:r>
        <w:rPr>
          <w:rtl w:val="true"/>
        </w:rPr>
        <w:t>אינני סבור כי ניתן ללמוד מתסקיר שירות המבחן על כך שאפסו סיכוייו של המשיב להשתקם</w:t>
      </w:r>
      <w:r>
        <w:rPr>
          <w:rtl w:val="true"/>
        </w:rPr>
        <w:t xml:space="preserve">. </w:t>
      </w:r>
      <w:r>
        <w:rPr>
          <w:rtl w:val="true"/>
        </w:rPr>
        <w:t>אדרבא</w:t>
      </w:r>
      <w:r>
        <w:rPr>
          <w:rtl w:val="true"/>
        </w:rPr>
        <w:t xml:space="preserve">, </w:t>
      </w:r>
      <w:r>
        <w:rPr>
          <w:rtl w:val="true"/>
        </w:rPr>
        <w:t>מתסקיר שירות המבחן שהוגש לעיוננו טרם הדיון עולה כי המשיב תפקד בכלא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באופן חיובי</w:t>
      </w:r>
      <w:r>
        <w:rPr>
          <w:rtl w:val="true"/>
        </w:rPr>
        <w:t xml:space="preserve">, </w:t>
      </w:r>
      <w:r>
        <w:rPr>
          <w:rtl w:val="true"/>
        </w:rPr>
        <w:t xml:space="preserve">השלים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, </w:t>
      </w:r>
      <w:r>
        <w:rPr>
          <w:rtl w:val="true"/>
        </w:rPr>
        <w:t>שולב בקבוצה טיפולית בתחום ההתמכרויות</w:t>
      </w:r>
      <w:r>
        <w:rPr>
          <w:rtl w:val="true"/>
        </w:rPr>
        <w:t xml:space="preserve">, </w:t>
      </w:r>
      <w:r>
        <w:rPr>
          <w:rtl w:val="true"/>
        </w:rPr>
        <w:t>וכי בהמשך אף תיבחן התאמתו לטיפול בתחום האלימות</w:t>
      </w:r>
      <w:r>
        <w:rPr>
          <w:rtl w:val="true"/>
        </w:rPr>
        <w:t xml:space="preserve">. </w:t>
      </w:r>
      <w:r>
        <w:rPr>
          <w:rtl w:val="true"/>
        </w:rPr>
        <w:t>עוד צוין</w:t>
      </w:r>
      <w:r>
        <w:rPr>
          <w:rtl w:val="true"/>
        </w:rPr>
        <w:t xml:space="preserve">, </w:t>
      </w:r>
      <w:r>
        <w:rPr>
          <w:rtl w:val="true"/>
        </w:rPr>
        <w:t xml:space="preserve">כי לפי תיאור המשיב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ייאוש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וכאב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</w:t>
      </w:r>
      <w:r>
        <w:rPr>
          <w:rtl w:val="true"/>
        </w:rPr>
        <w:t xml:space="preserve">"; </w:t>
      </w:r>
      <w:r>
        <w:rPr>
          <w:rtl w:val="true"/>
        </w:rPr>
        <w:t xml:space="preserve">וכן כי הוא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בצעיר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ומשפחתו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כוונה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מתחרט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הכאב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למשפחת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כואב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ולהוריו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מאוד</w:t>
      </w:r>
      <w:r>
        <w:rPr>
          <w:rtl w:val="true"/>
        </w:rPr>
        <w:t xml:space="preserve">". </w:t>
      </w:r>
      <w:r>
        <w:rPr>
          <w:rtl w:val="true"/>
        </w:rPr>
        <w:t>שירות המבחן הוסיף ועמד על קשייו התפקודיים והמשפחתיים של המשיב</w:t>
      </w:r>
      <w:r>
        <w:rPr>
          <w:rtl w:val="true"/>
        </w:rPr>
        <w:t xml:space="preserve">, </w:t>
      </w:r>
      <w:r>
        <w:rPr>
          <w:rtl w:val="true"/>
        </w:rPr>
        <w:t>עוד משחר ילדותו</w:t>
      </w:r>
      <w:r>
        <w:rPr>
          <w:rtl w:val="true"/>
        </w:rPr>
        <w:t xml:space="preserve">, </w:t>
      </w:r>
      <w:r>
        <w:rPr>
          <w:rtl w:val="true"/>
        </w:rPr>
        <w:t>וציין כי לצד גורמי הסיכון</w:t>
      </w:r>
      <w:r>
        <w:rPr>
          <w:rtl w:val="true"/>
        </w:rPr>
        <w:t xml:space="preserve">, </w:t>
      </w:r>
      <w:r>
        <w:rPr>
          <w:rtl w:val="true"/>
        </w:rPr>
        <w:t>עומדים גם גורמי סיכוי בדמות השתלבותו של המשיב בטיפול והמוטיבציה שלו להמשך טיפול במאסר</w:t>
      </w:r>
      <w:r>
        <w:rPr>
          <w:rtl w:val="true"/>
        </w:rPr>
        <w:t xml:space="preserve">, </w:t>
      </w:r>
      <w:r>
        <w:rPr>
          <w:rtl w:val="true"/>
        </w:rPr>
        <w:t>לצד תפקודו החיובי לאורך תקופת מאסרו</w:t>
      </w:r>
      <w:r>
        <w:rPr>
          <w:rtl w:val="true"/>
        </w:rPr>
        <w:t xml:space="preserve">. </w:t>
      </w:r>
      <w:r>
        <w:rPr>
          <w:rtl w:val="true"/>
        </w:rPr>
        <w:t>גם הספרות המחקרית מצביעה על חשיבות שיקומם של קטינים</w:t>
      </w:r>
      <w:r>
        <w:rPr>
          <w:rtl w:val="true"/>
        </w:rPr>
        <w:t xml:space="preserve">, </w:t>
      </w:r>
      <w:r>
        <w:rPr>
          <w:rtl w:val="true"/>
        </w:rPr>
        <w:t>ועל ההכרה בכך שהליך השיקום בעניינם עשוי לסייע לשילובם בחברה</w:t>
      </w:r>
      <w:r>
        <w:rPr>
          <w:rtl w:val="true"/>
        </w:rPr>
        <w:t xml:space="preserve">, </w:t>
      </w:r>
      <w:r>
        <w:rPr>
          <w:rtl w:val="true"/>
        </w:rPr>
        <w:t>אף יותר מאשר במקרה של בגירים</w:t>
      </w:r>
      <w:r>
        <w:rPr>
          <w:rtl w:val="true"/>
        </w:rPr>
        <w:t xml:space="preserve">. </w:t>
      </w:r>
      <w:r>
        <w:rPr>
          <w:rtl w:val="true"/>
        </w:rPr>
        <w:t>כפי שציינה חברתי</w:t>
      </w:r>
      <w:r>
        <w:rPr>
          <w:rtl w:val="true"/>
        </w:rPr>
        <w:t xml:space="preserve">,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ב</w:t>
      </w:r>
      <w:hyperlink r:id="rId83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1589/23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 xml:space="preserve">בפסקה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לחוות דעתה</w:t>
      </w:r>
      <w:r>
        <w:rPr>
          <w:rtl w:val="true"/>
        </w:rPr>
        <w:t>):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מבגירים</w:t>
      </w:r>
      <w:r>
        <w:rPr>
          <w:rtl w:val="true"/>
        </w:rPr>
        <w:t xml:space="preserve">, </w:t>
      </w:r>
      <w:r>
        <w:rPr>
          <w:rtl w:val="true"/>
        </w:rPr>
        <w:t>לתרום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שיוכלו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הנורמטיבי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המובילות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לעבריינות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;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התפתחותית</w:t>
      </w:r>
      <w:r>
        <w:rPr>
          <w:rtl w:val="true"/>
        </w:rPr>
        <w:t xml:space="preserve">; </w:t>
      </w:r>
      <w:r>
        <w:rPr>
          <w:rtl w:val="true"/>
        </w:rPr>
        <w:t>ובשל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דפוסי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אוכלוסיית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אוכלוסייה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לרצידיביזם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).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[...]" (</w:t>
      </w:r>
      <w:r>
        <w:rPr>
          <w:rtl w:val="true"/>
        </w:rPr>
        <w:t>ההפניות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הושמטו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').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סבורני כי אף סיכויי שיקומו של המשיב אינם שיקול שנכון להתעלם ממנו בבואנו להכריע בגורל הערעור</w:t>
      </w:r>
      <w:r>
        <w:rPr>
          <w:rtl w:val="true"/>
        </w:rPr>
        <w:t>.</w:t>
      </w:r>
    </w:p>
    <w:p>
      <w:pPr>
        <w:pStyle w:val="Ruller41"/>
        <w:spacing w:before="24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2"/>
        <w:numPr>
          <w:ilvl w:val="0"/>
          <w:numId w:val="1"/>
        </w:numPr>
        <w:spacing w:before="240" w:after="240"/>
        <w:ind w:hanging="0" w:start="0" w:end="0"/>
        <w:jc w:val="both"/>
        <w:textAlignment w:val="baseline"/>
        <w:rPr/>
      </w:pPr>
      <w:r>
        <w:rPr>
          <w:rtl w:val="true"/>
        </w:rPr>
        <w:t>לו תישמע דעתי</w:t>
      </w:r>
      <w:r>
        <w:rPr>
          <w:rtl w:val="true"/>
        </w:rPr>
        <w:t xml:space="preserve">, </w:t>
      </w:r>
      <w:r>
        <w:rPr>
          <w:rtl w:val="true"/>
        </w:rPr>
        <w:t>נורה על דחיית ערעורה של המערערת</w:t>
      </w:r>
      <w:r>
        <w:rPr>
          <w:rtl w:val="true"/>
        </w:rPr>
        <w:t xml:space="preserve">, </w:t>
      </w:r>
      <w:r>
        <w:rPr>
          <w:rtl w:val="true"/>
        </w:rPr>
        <w:t>ונותיר את העונש שנגזר על המשיב בבית המשפט המחוזי על כנו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end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רונן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6"/>
        </w:numPr>
        <w:ind w:hanging="0" w:start="0" w:end="0"/>
        <w:jc w:val="both"/>
        <w:textAlignment w:val="baseline"/>
        <w:rPr/>
      </w:pPr>
      <w:r>
        <w:rPr>
          <w:rtl w:val="true"/>
        </w:rPr>
        <w:t>כפי שפירטו חבריי</w:t>
      </w:r>
      <w:r>
        <w:rPr>
          <w:rtl w:val="true"/>
        </w:rPr>
        <w:t xml:space="preserve">, </w:t>
      </w:r>
      <w:r>
        <w:rPr>
          <w:rtl w:val="true"/>
        </w:rPr>
        <w:t>הערעור שלפנינו הוא ערעור המדינה על קולת עונשו של המשיב</w:t>
      </w:r>
      <w:r>
        <w:rPr>
          <w:rtl w:val="true"/>
        </w:rPr>
        <w:t xml:space="preserve">, </w:t>
      </w:r>
      <w:r>
        <w:rPr>
          <w:rtl w:val="true"/>
        </w:rPr>
        <w:t xml:space="preserve">שהורשע על פי הודאתו בעבירה של רצח </w:t>
      </w:r>
      <w:r>
        <w:rPr>
          <w:rtl w:val="true"/>
        </w:rPr>
        <w:t>(</w:t>
      </w:r>
      <w:r>
        <w:rPr>
          <w:rtl w:val="true"/>
        </w:rPr>
        <w:t>וכן בעבירות של חבלה במזיד והיזק בזדון</w:t>
      </w:r>
      <w:r>
        <w:rPr>
          <w:rtl w:val="true"/>
        </w:rPr>
        <w:t xml:space="preserve">) </w:t>
      </w:r>
      <w:r>
        <w:rPr>
          <w:rtl w:val="true"/>
        </w:rPr>
        <w:t>שבוצעו בהיותו קטין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גזר עליו עונש של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והמערערת בערעור דנן טענה כי יש להחמיר עונש זה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חברי השופט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 xml:space="preserve"> סבור כי יש לקבל את עמדת המערערת</w:t>
      </w:r>
      <w:r>
        <w:rPr>
          <w:rtl w:val="true"/>
        </w:rPr>
        <w:t xml:space="preserve">. </w:t>
      </w:r>
      <w:r>
        <w:rPr>
          <w:rtl w:val="true"/>
        </w:rPr>
        <w:t>בקצרה יובהר כי לשיטתו</w:t>
      </w:r>
      <w:r>
        <w:rPr>
          <w:rtl w:val="true"/>
        </w:rPr>
        <w:t xml:space="preserve">, </w:t>
      </w:r>
      <w:r>
        <w:rPr>
          <w:rtl w:val="true"/>
        </w:rPr>
        <w:t>חרף העובדה שהמשיב היה קטין בעת ביצוע העבירות</w:t>
      </w:r>
      <w:r>
        <w:rPr>
          <w:rtl w:val="true"/>
        </w:rPr>
        <w:t xml:space="preserve">, </w:t>
      </w:r>
      <w:r>
        <w:rPr>
          <w:rtl w:val="true"/>
        </w:rPr>
        <w:t>אין מקום להביא בחשבון שיקולי שיקום בעניינו ואין מקום להפחית בעונשו משיקולים כאלה</w:t>
      </w:r>
      <w:r>
        <w:rPr>
          <w:rtl w:val="true"/>
        </w:rPr>
        <w:t xml:space="preserve">. </w:t>
      </w:r>
      <w:r>
        <w:rPr>
          <w:rtl w:val="true"/>
        </w:rPr>
        <w:t>זאת מאחר ששירות המבחן לנוער לא בא בהמלצה טיפולית לגביו</w:t>
      </w:r>
      <w:r>
        <w:rPr>
          <w:rtl w:val="true"/>
        </w:rPr>
        <w:t xml:space="preserve">; </w:t>
      </w:r>
      <w:r>
        <w:rPr>
          <w:rtl w:val="true"/>
        </w:rPr>
        <w:t>משום שהמשיב לא לקח אחריות על מעשיו</w:t>
      </w:r>
      <w:r>
        <w:rPr>
          <w:rtl w:val="true"/>
        </w:rPr>
        <w:t xml:space="preserve">; </w:t>
      </w:r>
      <w:r>
        <w:rPr>
          <w:rtl w:val="true"/>
        </w:rPr>
        <w:t xml:space="preserve">ומשום שהוא היה בן כמעט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שנים בעת ביצוע המעשים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נכללים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לתוקף</w:t>
      </w:r>
      <w:r>
        <w:rPr>
          <w:rtl w:val="true"/>
        </w:rPr>
        <w:t xml:space="preserve">, </w:t>
      </w:r>
      <w:r>
        <w:rPr>
          <w:rtl w:val="true"/>
        </w:rPr>
        <w:t>החילה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מוצדקת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ולהעמידו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חברי השופט </w:t>
      </w:r>
      <w:r>
        <w:rPr>
          <w:rFonts w:ascii="Miriam" w:hAnsi="Miriam" w:cs="Miriam"/>
          <w:szCs w:val="24"/>
          <w:rtl w:val="true"/>
        </w:rPr>
        <w:t>ח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כבוב</w:t>
      </w:r>
      <w:r>
        <w:rPr>
          <w:rtl w:val="true"/>
        </w:rPr>
        <w:t xml:space="preserve"> היה סבור כי יש לדחות את הערעור</w:t>
      </w:r>
      <w:r>
        <w:rPr>
          <w:rtl w:val="true"/>
        </w:rPr>
        <w:t xml:space="preserve">. </w:t>
      </w:r>
      <w:r>
        <w:rPr>
          <w:rtl w:val="true"/>
        </w:rPr>
        <w:t xml:space="preserve">בראשית דבריו הוא הבהיר כי בית משפט קמא ביצע את מלאכת הענישה נאמנה </w:t>
      </w:r>
      <w:r>
        <w:rPr>
          <w:rtl w:val="true"/>
        </w:rPr>
        <w:t>–</w:t>
      </w:r>
      <w:r>
        <w:rPr>
          <w:rtl w:val="true"/>
        </w:rPr>
        <w:t xml:space="preserve"> סקר את מדיניות הענישה הנוהגת ואת כלל הנסיבות</w:t>
      </w:r>
      <w:r>
        <w:rPr>
          <w:rtl w:val="true"/>
        </w:rPr>
        <w:t xml:space="preserve">, </w:t>
      </w:r>
      <w:r>
        <w:rPr>
          <w:rtl w:val="true"/>
        </w:rPr>
        <w:t xml:space="preserve">ולא סטה ממדיניות זו </w:t>
      </w:r>
      <w:r>
        <w:rPr>
          <w:rtl w:val="true"/>
        </w:rPr>
        <w:t>–</w:t>
      </w:r>
      <w:r>
        <w:rPr>
          <w:rtl w:val="true"/>
        </w:rPr>
        <w:t xml:space="preserve"> ודאי לא בסטייה ממשית המחייבת התערבות חריגה של ערכאת הערעור</w:t>
      </w:r>
      <w:r>
        <w:rPr>
          <w:rtl w:val="true"/>
        </w:rPr>
        <w:t xml:space="preserve">. </w:t>
      </w:r>
      <w:r>
        <w:rPr>
          <w:rtl w:val="true"/>
        </w:rPr>
        <w:t>חברי הדגיש כי מדיניות הענישה הנוהגת מעלה כי בית משפט קמא לא טעה בטעות מהותית המחייבת התערבות של ערכאת הערעור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פחותה</w:t>
      </w:r>
      <w:r>
        <w:rPr>
          <w:rtl w:val="true"/>
        </w:rPr>
        <w:t xml:space="preserve">; </w:t>
      </w:r>
      <w:r>
        <w:rPr>
          <w:rtl w:val="true"/>
        </w:rPr>
        <w:t>ומאחר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והמוטיבציה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;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ab/>
      </w:r>
      <w:r>
        <w:rPr>
          <w:rtl w:val="true"/>
        </w:rPr>
        <w:t>התלבטתי בין שתי חוות הדעת של חבריי</w:t>
      </w:r>
      <w:r>
        <w:rPr>
          <w:rtl w:val="true"/>
        </w:rPr>
        <w:t xml:space="preserve">, </w:t>
      </w:r>
      <w:r>
        <w:rPr>
          <w:rtl w:val="true"/>
        </w:rPr>
        <w:t>כל אחת מדגישה היבטים משמעותיים אחרים הנוגעים לעניינו של הערעור</w:t>
      </w:r>
      <w:r>
        <w:rPr>
          <w:rtl w:val="true"/>
        </w:rPr>
        <w:t xml:space="preserve">.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 xml:space="preserve"> שם את הדגש על חומרת המעשה</w:t>
      </w:r>
      <w:r>
        <w:rPr>
          <w:rtl w:val="true"/>
        </w:rPr>
        <w:t xml:space="preserve">, </w:t>
      </w:r>
      <w:r>
        <w:rPr>
          <w:rtl w:val="true"/>
        </w:rPr>
        <w:t>על האקראיות שבביצוע העבירה</w:t>
      </w:r>
      <w:r>
        <w:rPr>
          <w:rtl w:val="true"/>
        </w:rPr>
        <w:t xml:space="preserve">, </w:t>
      </w:r>
      <w:r>
        <w:rPr>
          <w:rtl w:val="true"/>
        </w:rPr>
        <w:t>על הנזק המזעזע שנגרם למשפחתו של הקורבן ועל הקשיים האיומים שכל בני משפחתו נדרשים להתמודד איתם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כבוב</w:t>
      </w:r>
      <w:r>
        <w:rPr>
          <w:rtl w:val="true"/>
        </w:rPr>
        <w:t xml:space="preserve"> שם את הדגש על כך שהמשיב היה קטין בעת ביצוע העבירות</w:t>
      </w:r>
      <w:r>
        <w:rPr>
          <w:rtl w:val="true"/>
        </w:rPr>
        <w:t xml:space="preserve">, </w:t>
      </w:r>
      <w:r>
        <w:rPr>
          <w:rtl w:val="true"/>
        </w:rPr>
        <w:t>על מדיניות הענישה ביחס לקטינים ועל כך שבית משפט קמא לא סטה באופן משמעותי ממדיניות זו באופן המחייב התערבות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ab/>
      </w:r>
      <w:r>
        <w:rPr>
          <w:rtl w:val="true"/>
        </w:rPr>
        <w:t>בבחינת שאלת העונש הראוי</w:t>
      </w:r>
      <w:r>
        <w:rPr>
          <w:rtl w:val="true"/>
        </w:rPr>
        <w:t xml:space="preserve">, </w:t>
      </w:r>
      <w:r>
        <w:rPr>
          <w:rtl w:val="true"/>
        </w:rPr>
        <w:t>הבאתי בחשבון כי העבירה שבוצעה על ידי המשיב היא חמורה ביותר</w:t>
      </w:r>
      <w:r>
        <w:rPr>
          <w:rtl w:val="true"/>
        </w:rPr>
        <w:t xml:space="preserve">. </w:t>
      </w:r>
      <w:r>
        <w:rPr>
          <w:rtl w:val="true"/>
        </w:rPr>
        <w:t>נטילת חיי אדם היא ודאי אחת העבירות החמורות ביותר בספר החוקים</w:t>
      </w:r>
      <w:r>
        <w:rPr>
          <w:rtl w:val="true"/>
        </w:rPr>
        <w:t xml:space="preserve">, </w:t>
      </w:r>
      <w:r>
        <w:rPr>
          <w:rtl w:val="true"/>
        </w:rPr>
        <w:t>אולי החמורה שבהן</w:t>
      </w:r>
      <w:r>
        <w:rPr>
          <w:rtl w:val="true"/>
        </w:rPr>
        <w:t xml:space="preserve">. </w:t>
      </w:r>
      <w:r>
        <w:rPr>
          <w:rtl w:val="true"/>
        </w:rPr>
        <w:t>מדובר במעשה שאיננו הפיך</w:t>
      </w:r>
      <w:r>
        <w:rPr>
          <w:rtl w:val="true"/>
        </w:rPr>
        <w:t xml:space="preserve">, </w:t>
      </w:r>
      <w:r>
        <w:rPr>
          <w:rtl w:val="true"/>
        </w:rPr>
        <w:t>המשנה ללא דרך חזרה הן את גורלו של הקורבן והן את זה של כל סביבתו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וכך גם עולה מחוות דעתם של שני חבריי</w:t>
      </w:r>
      <w:r>
        <w:rPr>
          <w:rtl w:val="true"/>
        </w:rPr>
        <w:t xml:space="preserve">, </w:t>
      </w:r>
      <w:r>
        <w:rPr>
          <w:rtl w:val="true"/>
        </w:rPr>
        <w:t>יש להביא בחשבון את העובדה שהמשיב היה קטין בעת ביצוע העבירה כאשר נשקלת השאלה מהו העונש שיש להטיל עליו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אין בעניינו של המשיב שיקולי שיקום משמעותיים המחייבים סטייה ניכרת ממתחם הענישה הראוי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כאשר מדובר בקטין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צריך להביא בחשבון את היותו קטין גם כאשר הוא בוחן מהו מתחם הענישה ההולם למעשיו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8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1589/23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7.8.2023</w:t>
      </w:r>
      <w:r>
        <w:rPr>
          <w:rtl w:val="true"/>
        </w:rPr>
        <w:t xml:space="preserve">); </w:t>
      </w:r>
      <w:hyperlink r:id="rId8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5048/09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סד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/>
        <w:t>2010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 xml:space="preserve">עוד יש להביא בחשבון כי משעה שהרפורמה בעבירות ההמתה נכנסה לתוקף מכוח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137</w:t>
      </w:r>
      <w:r>
        <w:rPr>
          <w:rtl w:val="true"/>
        </w:rPr>
        <w:t xml:space="preserve">"), </w:t>
      </w:r>
      <w:r>
        <w:rPr>
          <w:rtl w:val="true"/>
        </w:rPr>
        <w:t>חלה החמרה בפסיקה ביחס לענישתו של מי שהורשע בעבירה של המתה באדישות</w:t>
      </w:r>
      <w:r>
        <w:rPr>
          <w:rtl w:val="true"/>
        </w:rPr>
        <w:t xml:space="preserve">. </w:t>
      </w:r>
      <w:r>
        <w:rPr>
          <w:rtl w:val="true"/>
        </w:rPr>
        <w:t>עבירה כזו נחשבת היום לעבירת רצח</w:t>
      </w:r>
      <w:r>
        <w:rPr>
          <w:rtl w:val="true"/>
        </w:rPr>
        <w:t xml:space="preserve">. </w:t>
      </w:r>
      <w:r>
        <w:rPr>
          <w:rtl w:val="true"/>
        </w:rPr>
        <w:t xml:space="preserve">ההחמרה האמורה צריכה לחול הן ביחס לעבריינים בגירים והן ביחס לקטינים </w:t>
      </w:r>
      <w:r>
        <w:rPr>
          <w:rtl w:val="true"/>
        </w:rPr>
        <w:t>–</w:t>
      </w:r>
      <w:r>
        <w:rPr>
          <w:rtl w:val="true"/>
        </w:rPr>
        <w:t xml:space="preserve"> כאשר עונשיהם של האחרונים הם פחות חמורים מאלה של הבגירים אולם חמורים יותר מהעונשים שהיו מוטלים על מי שהמית באדישות לפני תיקון </w:t>
      </w:r>
      <w:r>
        <w:rPr/>
        <w:t>137</w:t>
      </w:r>
      <w:r>
        <w:rPr>
          <w:rtl w:val="true"/>
        </w:rPr>
        <w:t xml:space="preserve">. </w:t>
      </w:r>
      <w:r>
        <w:rPr>
          <w:rtl w:val="true"/>
        </w:rPr>
        <w:t xml:space="preserve">אמת המידה לגזירת </w:t>
      </w:r>
      <w:r>
        <w:rPr>
          <w:rtl w:val="true"/>
        </w:rPr>
        <w:t>עונשו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בהינתן מדיניות הענישה הנוהגת צריכה להיגזר משתי נקודות ייחוס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העונש הראוי צריך אפוא להיות עונש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tl w:val="true"/>
        </w:rPr>
        <w:t xml:space="preserve"> </w:t>
      </w:r>
      <w:r>
        <w:rPr>
          <w:rtl w:val="true"/>
        </w:rPr>
        <w:t>מהעונשים</w:t>
      </w:r>
      <w:r>
        <w:rPr>
          <w:rtl w:val="true"/>
        </w:rPr>
        <w:t xml:space="preserve"> </w:t>
      </w:r>
      <w:r>
        <w:rPr>
          <w:rtl w:val="true"/>
        </w:rPr>
        <w:t>שהיו</w:t>
      </w:r>
      <w:r>
        <w:rPr>
          <w:rtl w:val="true"/>
        </w:rPr>
        <w:t xml:space="preserve"> </w:t>
      </w:r>
      <w:r>
        <w:rPr>
          <w:rtl w:val="true"/>
        </w:rPr>
        <w:t>מוטלים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; </w:t>
      </w:r>
      <w:r>
        <w:rPr>
          <w:rtl w:val="true"/>
        </w:rPr>
        <w:t>אולם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צריך</w:t>
      </w:r>
      <w:r>
        <w:rPr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פחות</w:t>
      </w:r>
      <w:r>
        <w:rPr>
          <w:rtl w:val="true"/>
        </w:rPr>
        <w:t xml:space="preserve"> </w:t>
      </w:r>
      <w:r>
        <w:rPr>
          <w:rtl w:val="true"/>
        </w:rPr>
        <w:t>מאשר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 xml:space="preserve"> </w:t>
      </w:r>
      <w:r>
        <w:rPr>
          <w:rtl w:val="true"/>
        </w:rPr>
        <w:t>מוטל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 xml:space="preserve">כפי שציין בית המשפט המחוזי וחברי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כבוב</w:t>
      </w:r>
      <w:r>
        <w:rPr>
          <w:rtl w:val="true"/>
        </w:rPr>
        <w:t xml:space="preserve">, </w:t>
      </w:r>
      <w:r>
        <w:rPr>
          <w:rtl w:val="true"/>
        </w:rPr>
        <w:t xml:space="preserve">בית משפט זה טרם אמר דברו בעניין ענישת קטינים שהורשעו ברצח באדישות לאחר </w:t>
      </w:r>
      <w:r>
        <w:rPr>
          <w:rtl w:val="true"/>
        </w:rPr>
        <w:t>הרפורמה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. </w:t>
      </w:r>
      <w:r>
        <w:rPr>
          <w:rtl w:val="true"/>
        </w:rPr>
        <w:t>ביחס לעונשיהם של בגירים</w:t>
      </w:r>
      <w:r>
        <w:rPr>
          <w:rtl w:val="true"/>
        </w:rPr>
        <w:t xml:space="preserve">, </w:t>
      </w:r>
      <w:r>
        <w:rPr>
          <w:rtl w:val="true"/>
        </w:rPr>
        <w:t>יש מספר לא רב של פסקי דין המתווים את הכיוון ויש להביאם בחשבון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 xml:space="preserve">עיון בפסיקה מלמד כי לאחר תיקון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במקרים בהם ביצעו בגירים רצח באדישות בנסיבות הדומות לענייננו</w:t>
      </w:r>
      <w:r>
        <w:rPr>
          <w:rtl w:val="true"/>
        </w:rPr>
        <w:t xml:space="preserve">, </w:t>
      </w:r>
      <w:r>
        <w:rPr>
          <w:rtl w:val="true"/>
        </w:rPr>
        <w:t>הוטלו עליהם לאחר הרפורמה עונשים של כ</w:t>
      </w:r>
      <w:r>
        <w:rPr>
          <w:rtl w:val="true"/>
        </w:rPr>
        <w:t>-</w:t>
      </w:r>
      <w:r>
        <w:rPr/>
        <w:t>18.5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בממוצע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8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אנאנטאפאק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2.7.2023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8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1938/23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13.12.2023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8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5806/22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גריפאת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20.11.2022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גריפאת</w:t>
      </w:r>
      <w:r>
        <w:rPr>
          <w:rtl w:val="true"/>
        </w:rPr>
        <w:t xml:space="preserve">); </w:t>
      </w:r>
      <w:hyperlink r:id="rId9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1464/21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קפוסטין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11.9.2022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9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2654/22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דישלבסקי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6.12.2022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מניתוח הפסיקה עולה כי לפני תיקון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במקרים בעלי נסיבות דומות הנטייה בפסיקה הייתה להעמיד את עונשם של בגירים שהורשעו ברצח באדישות על רף ממוצע של כ</w:t>
      </w:r>
      <w:r>
        <w:rPr>
          <w:rtl w:val="true"/>
        </w:rPr>
        <w:t>-</w:t>
      </w:r>
      <w:r>
        <w:rPr/>
        <w:t>14.5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מני רבים</w:t>
      </w:r>
      <w:r>
        <w:rPr>
          <w:rtl w:val="true"/>
        </w:rPr>
        <w:t xml:space="preserve">: </w:t>
      </w:r>
      <w:hyperlink r:id="rId9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4209/14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15.11.2015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9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9232/18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טוטיקוב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5.11.2020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מכך ניתן ללמוד כי החומרה הנורמטיבית הגבוהה שייחס המחוקק להמתה ביסוד נפשי של אדישות</w:t>
      </w:r>
      <w:r>
        <w:rPr>
          <w:rtl w:val="true"/>
        </w:rPr>
        <w:t xml:space="preserve">, </w:t>
      </w:r>
      <w:r>
        <w:rPr>
          <w:rtl w:val="true"/>
        </w:rPr>
        <w:t xml:space="preserve">השתקפה הלכה למעשה בהחמרה ניכרת גם במישור מדיניות הענישה שהנהיג בית משפט זה </w:t>
      </w:r>
      <w:r>
        <w:rPr>
          <w:rtl w:val="true"/>
        </w:rPr>
        <w:t>–</w:t>
      </w:r>
      <w:r>
        <w:rPr>
          <w:rtl w:val="true"/>
        </w:rPr>
        <w:t xml:space="preserve"> שהוחמרה כמפורט מכ</w:t>
      </w:r>
      <w:r>
        <w:rPr>
          <w:rtl w:val="true"/>
        </w:rPr>
        <w:t>-</w:t>
      </w:r>
      <w:r>
        <w:rPr/>
        <w:t>14.5</w:t>
      </w:r>
      <w:r>
        <w:rPr>
          <w:rtl w:val="true"/>
        </w:rPr>
        <w:t xml:space="preserve"> </w:t>
      </w:r>
      <w:r>
        <w:rPr>
          <w:rtl w:val="true"/>
        </w:rPr>
        <w:t>שנים לכ</w:t>
      </w:r>
      <w:r>
        <w:rPr>
          <w:rtl w:val="true"/>
        </w:rPr>
        <w:t>-</w:t>
      </w:r>
      <w:r>
        <w:rPr/>
        <w:t>18.5</w:t>
      </w:r>
      <w:r>
        <w:rPr>
          <w:rtl w:val="true"/>
        </w:rPr>
        <w:t xml:space="preserve"> </w:t>
      </w:r>
      <w:r>
        <w:rPr>
          <w:rtl w:val="true"/>
        </w:rPr>
        <w:t>שנות מאסר בממוצע</w:t>
      </w:r>
      <w:r>
        <w:rPr>
          <w:rtl w:val="true"/>
        </w:rPr>
        <w:t xml:space="preserve">. </w:t>
      </w:r>
      <w:r>
        <w:rPr>
          <w:rtl w:val="true"/>
        </w:rPr>
        <w:t>מדובר ב</w:t>
      </w:r>
      <w:r>
        <w:rPr>
          <w:rtl w:val="true"/>
        </w:rPr>
        <w:t>"</w:t>
      </w:r>
      <w:r>
        <w:rPr>
          <w:rtl w:val="true"/>
        </w:rPr>
        <w:t>קריאת כיוון</w:t>
      </w:r>
      <w:r>
        <w:rPr>
          <w:rtl w:val="true"/>
        </w:rPr>
        <w:t xml:space="preserve">" </w:t>
      </w:r>
      <w:r>
        <w:rPr>
          <w:rtl w:val="true"/>
        </w:rPr>
        <w:t>בלבד ביחס למידת ההחמרה בענישה</w:t>
      </w:r>
      <w:r>
        <w:rPr>
          <w:rtl w:val="true"/>
        </w:rPr>
        <w:t xml:space="preserve">. </w:t>
      </w:r>
      <w:r>
        <w:rPr>
          <w:rtl w:val="true"/>
        </w:rPr>
        <w:t>זאת מאחר שכפי שהבהרתי</w:t>
      </w:r>
      <w:r>
        <w:rPr>
          <w:rtl w:val="true"/>
        </w:rPr>
        <w:t xml:space="preserve">, </w:t>
      </w:r>
      <w:r>
        <w:rPr>
          <w:rtl w:val="true"/>
        </w:rPr>
        <w:t>לא ניתנו עדיין פסקי דין רבים בעבירה של רצח באדישות מאז הרפורמה</w:t>
      </w:r>
      <w:r>
        <w:rPr>
          <w:rtl w:val="true"/>
        </w:rPr>
        <w:t xml:space="preserve">, </w:t>
      </w:r>
      <w:r>
        <w:rPr>
          <w:rtl w:val="true"/>
        </w:rPr>
        <w:t>ומובן גם כי כל מקרה הוכרע בהתאם למכלול נסיבותיו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 xml:space="preserve">ניתוח הפסיקה המפורט שהביא חברי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כבוב</w:t>
      </w:r>
      <w:r>
        <w:rPr>
          <w:rtl w:val="true"/>
        </w:rPr>
        <w:t xml:space="preserve"> מעלה כי במקרים דומים בהם קטין ביצע רצח באדישות בטרם נכנס לתוקפו תיקון </w:t>
      </w:r>
      <w:r>
        <w:rPr/>
        <w:t>137</w:t>
      </w:r>
      <w:r>
        <w:rPr>
          <w:rtl w:val="true"/>
        </w:rPr>
        <w:t xml:space="preserve"> (</w:t>
      </w:r>
      <w:r>
        <w:rPr>
          <w:rtl w:val="true"/>
        </w:rPr>
        <w:t>שכן כאמור אין פסיקה ביחס לענישת קטינים לאחר הרפורמה</w:t>
      </w:r>
      <w:r>
        <w:rPr>
          <w:rtl w:val="true"/>
        </w:rPr>
        <w:t xml:space="preserve">), </w:t>
      </w:r>
      <w:r>
        <w:rPr>
          <w:rtl w:val="true"/>
        </w:rPr>
        <w:t>העונש הנהוג באופן טיפוסי בפסיקה עמד על כ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, </w:t>
      </w:r>
      <w:r>
        <w:rPr>
          <w:rtl w:val="true"/>
        </w:rPr>
        <w:t>מני רבים</w:t>
      </w:r>
      <w:r>
        <w:rPr>
          <w:rtl w:val="true"/>
        </w:rPr>
        <w:t xml:space="preserve">: </w:t>
      </w:r>
      <w:hyperlink r:id="rId9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955/20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30.9.2021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9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6508/05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13.9.2006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9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8242/15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11.12.2016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מאחר שכאמור בתי המשפט החמירו בעונשיהם של בגירים שהורשעו בעבירה של רצח באדישות</w:t>
      </w:r>
      <w:r>
        <w:rPr>
          <w:rtl w:val="true"/>
        </w:rPr>
        <w:t xml:space="preserve">, </w:t>
      </w:r>
      <w:r>
        <w:rPr>
          <w:rtl w:val="true"/>
        </w:rPr>
        <w:t>יש להחמיר כאמור גם עם קטינים המורשעים בעבירות אלה</w:t>
      </w:r>
      <w:r>
        <w:rPr>
          <w:rtl w:val="true"/>
        </w:rPr>
        <w:t xml:space="preserve">. </w:t>
      </w:r>
      <w:r>
        <w:rPr>
          <w:rtl w:val="true"/>
        </w:rPr>
        <w:t>התמונה המצטיירת מעיון בפסק דינו של בית המשפט המחוזי נושא הערעור</w:t>
      </w:r>
      <w:r>
        <w:rPr>
          <w:rtl w:val="true"/>
        </w:rPr>
        <w:t xml:space="preserve">, </w:t>
      </w:r>
      <w:r>
        <w:rPr>
          <w:rtl w:val="true"/>
        </w:rPr>
        <w:t>היא כי הוא ער לשינוי המהותי שחל בעקבות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 xml:space="preserve">והטיל לכן על המשיב עונש של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שהוא עונש חמור יותר מאלה שהיו מוטלים על קטינים בנסיבות דומות לפני הרפורמה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העונש הזה הוא אף נמוך יותר מזה שהיה מוטל על בגיר שהורשע בנסיבות דומות</w:t>
      </w:r>
      <w:r>
        <w:rPr>
          <w:rtl w:val="true"/>
        </w:rPr>
        <w:t xml:space="preserve">. </w:t>
      </w:r>
      <w:r>
        <w:rPr>
          <w:rtl w:val="true"/>
        </w:rPr>
        <w:t>בכך יש להעיד כי בית משפט קמא הביא בחשבון אף את קטינות המשיב במכלול השיקולים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ab/>
      </w:r>
      <w:r>
        <w:rPr>
          <w:rtl w:val="true"/>
        </w:rPr>
        <w:t xml:space="preserve">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Arial TUR;Arial" w:hAnsi="Arial TUR;Arial" w:cs="Arial TUR;Arial"/>
          <w:rtl w:val="true"/>
        </w:rPr>
        <w:t>סבור</w:t>
      </w:r>
      <w:r>
        <w:rPr>
          <w:rtl w:val="true"/>
        </w:rPr>
        <w:t xml:space="preserve"> כי בהינתן נסיבות המקרה</w:t>
      </w:r>
      <w:r>
        <w:rPr>
          <w:rtl w:val="true"/>
        </w:rPr>
        <w:t xml:space="preserve">, </w:t>
      </w:r>
      <w:r>
        <w:rPr>
          <w:rtl w:val="true"/>
        </w:rPr>
        <w:t>ההחמרה ברף הענישה של מי שביצע רצח באדישות נדרשת להתבטא באופן ברור ונחרץ גם במקרים של ענישת קטינים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בית המשפט המחוזי לא הביא חומרה יתרה זו לידי ביטוי במידה מספקת במקרה דנא</w:t>
      </w:r>
      <w:r>
        <w:rPr>
          <w:rtl w:val="true"/>
        </w:rPr>
        <w:t xml:space="preserve">, </w:t>
      </w:r>
      <w:r>
        <w:rPr>
          <w:rtl w:val="true"/>
        </w:rPr>
        <w:t>ומכאן ההצדקה להתערבותנו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בהעדר פסיקה מנחה של בית משפט זה בדבר רף הענישה של קטין שביצע רצח באדישות</w:t>
      </w:r>
      <w:r>
        <w:rPr>
          <w:rtl w:val="true"/>
        </w:rPr>
        <w:t xml:space="preserve">, </w:t>
      </w:r>
      <w:r>
        <w:rPr>
          <w:rtl w:val="true"/>
        </w:rPr>
        <w:t xml:space="preserve">מגמת ההחמרה שהנהיגה הפסיקה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בגירים</w:t>
      </w:r>
      <w:r>
        <w:rPr>
          <w:rtl w:val="true"/>
        </w:rPr>
        <w:t xml:space="preserve"> בנסיבות דומות בעקבות הרפורמה עשויה להוות אמת מידה מנחה לשיעור ההחמרה הראוי אף ביחס לענישת קטינים בגין ביצוע רצח באדישות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, </w:t>
      </w:r>
      <w:r>
        <w:rPr>
          <w:rtl w:val="true"/>
        </w:rPr>
        <w:t>ובכללם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ומשמעויותיה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והראויה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ab/>
      </w:r>
      <w:r>
        <w:rPr>
          <w:rtl w:val="true"/>
        </w:rPr>
        <w:t xml:space="preserve">בשולי הדברים אחזור ואדגיש כי מדיניות הענישה בעבירות ההמתה לאחר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עוד מצויה בצעדיה הראשונים</w:t>
      </w:r>
      <w:r>
        <w:rPr>
          <w:rtl w:val="true"/>
        </w:rPr>
        <w:t xml:space="preserve">, </w:t>
      </w:r>
      <w:r>
        <w:rPr>
          <w:rtl w:val="true"/>
        </w:rPr>
        <w:t>והיא מתעצבת ממקרה למקרה על יסוד פסיקה מצטברת שהיא כאמור עדיין מוגבלת בהיקפה</w:t>
      </w:r>
      <w:r>
        <w:rPr>
          <w:rtl w:val="true"/>
        </w:rPr>
        <w:t xml:space="preserve">. </w:t>
      </w:r>
      <w:r>
        <w:rPr>
          <w:rtl w:val="true"/>
        </w:rPr>
        <w:t>התפתחות הדרגתית זו מחייבת לשמר גמישות ומרחב שיקול דעת</w:t>
      </w:r>
      <w:r>
        <w:rPr>
          <w:rtl w:val="true"/>
        </w:rPr>
        <w:t xml:space="preserve">, </w:t>
      </w:r>
      <w:r>
        <w:rPr>
          <w:rtl w:val="true"/>
        </w:rPr>
        <w:t xml:space="preserve">שיאפשרו לבית המשפט להתאים את העונש לנסיבותיו של המקרה הנדון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גריפאת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20</w:t>
      </w:r>
      <w:r>
        <w:rPr>
          <w:rtl w:val="true"/>
        </w:rPr>
        <w:t xml:space="preserve">). </w:t>
      </w:r>
      <w:r>
        <w:rPr>
          <w:rtl w:val="true"/>
        </w:rPr>
        <w:t>ו</w:t>
      </w:r>
      <w:r>
        <w:rPr>
          <w:rtl w:val="true"/>
        </w:rPr>
        <w:t>ָ</w:t>
      </w:r>
      <w:r>
        <w:rPr>
          <w:rtl w:val="true"/>
        </w:rPr>
        <w:t xml:space="preserve">לא </w:t>
      </w:r>
      <w:r>
        <w:rPr>
          <w:rtl w:val="true"/>
        </w:rPr>
        <w:t>–</w:t>
      </w:r>
      <w:r>
        <w:rPr>
          <w:rtl w:val="true"/>
        </w:rPr>
        <w:t xml:space="preserve"> אנו עשויים לרקום את מדיניות הענישה כולה על בסיס אותן נסיבות קונקרטיות שאפיינו את המקרים הראשונים שהגיעו לפתחו של בית המשפט לאחר התיקון לחוק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ולאור הכלל לפיו ערכאת הערעור איננה נוהגת להתערב כאשר לא נפלה בפסק דינו של בית משפט קמא טעות מהותית</w:t>
      </w:r>
      <w:r>
        <w:rPr>
          <w:rtl w:val="true"/>
        </w:rPr>
        <w:t xml:space="preserve">, </w:t>
      </w:r>
      <w:r>
        <w:rPr>
          <w:rtl w:val="true"/>
        </w:rPr>
        <w:t xml:space="preserve">אני מצטרפת לחוות דעתו של חברי השופט </w:t>
      </w:r>
      <w:r>
        <w:rPr>
          <w:rFonts w:ascii="Miriam" w:hAnsi="Miriam" w:cs="Miriam"/>
          <w:szCs w:val="24"/>
          <w:rtl w:val="true"/>
        </w:rPr>
        <w:t>כבוב</w:t>
      </w:r>
      <w:r>
        <w:rPr>
          <w:rtl w:val="true"/>
        </w:rPr>
        <w:t xml:space="preserve"> לפיה יש לדחות את הערעור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end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הצטרפה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bookmarkStart w:id="20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21.2.2024</w:t>
      </w:r>
      <w:r>
        <w:rPr>
          <w:rtl w:val="true"/>
        </w:rPr>
        <w:t xml:space="preserve">). </w:t>
      </w:r>
      <w:bookmarkEnd w:id="20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color w:val="FFFFFF"/>
          <w:spacing w:val="0"/>
          <w:sz w:val="2"/>
          <w:szCs w:val="2"/>
        </w:rPr>
      </w:pPr>
      <w:r>
        <w:rPr>
          <w:rFonts w:cs="Miriam" w:ascii="Century" w:hAnsi="Century"/>
          <w:b/>
          <w:color w:val="FFFFFF"/>
          <w:spacing w:val="0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"/>
                <w:szCs w:val="2"/>
              </w:rPr>
              <w:t>54678313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 xml:space="preserve">ש ו פ ט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end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23028830</w:t>
      </w:r>
      <w:r>
        <w:rPr>
          <w:sz w:val="16"/>
          <w:rtl w:val="true"/>
        </w:rPr>
        <w:t>_</w:t>
      </w:r>
      <w:r>
        <w:rPr>
          <w:sz w:val="16"/>
        </w:rPr>
        <w:t>J01.docx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97">
        <w:r>
          <w:rPr>
            <w:rStyle w:val="Hyperlink"/>
            <w:sz w:val="16"/>
          </w:rPr>
          <w:t>https://supreme.court.gov.il</w:t>
        </w:r>
      </w:hyperlink>
    </w:p>
    <w:p>
      <w:pPr>
        <w:pStyle w:val="Normal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 w:val="22"/>
          <w:szCs w:val="22"/>
        </w:rPr>
        <w:t>54678313-2883/23</w:t>
      </w:r>
    </w:p>
    <w:p>
      <w:pPr>
        <w:pStyle w:val="Normal"/>
        <w:ind w:end="0"/>
        <w:jc w:val="start"/>
        <w:rPr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p>
      <w:pPr>
        <w:pStyle w:val="Normal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99"/>
      <w:footerReference w:type="default" r:id="rId10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2883/23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4">
    <w:name w:val=" Char Char4"/>
    <w:qFormat/>
    <w:rPr>
      <w:rFonts w:cs="David"/>
      <w:szCs w:val="24"/>
    </w:rPr>
  </w:style>
  <w:style w:type="character" w:styleId="CharChar3">
    <w:name w:val=" Char Char3"/>
    <w:qFormat/>
    <w:rPr>
      <w:rFonts w:cs="David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3"/>
      </w:numPr>
      <w:textAlignment w:val="auto"/>
    </w:pPr>
    <w:rPr>
      <w:rFonts w:ascii="Garamond" w:hAnsi="Garamond" w:cs="Garamond"/>
      <w:sz w:val="24"/>
    </w:rPr>
  </w:style>
  <w:style w:type="paragraph" w:styleId="ruller40">
    <w:name w:val="ruller40"/>
    <w:basedOn w:val="Normal"/>
    <w:qFormat/>
    <w:pPr>
      <w:spacing w:lineRule="auto" w:line="360"/>
      <w:jc w:val="both"/>
      <w:textAlignment w:val="auto"/>
    </w:pPr>
    <w:rPr>
      <w:rFonts w:ascii="Arial TUR;Arial" w:hAnsi="Arial TUR;Arial" w:cs="Arial TUR;Arial"/>
      <w:spacing w:val="10"/>
      <w:sz w:val="22"/>
      <w:szCs w:val="22"/>
      <w:lang w:bidi="ar-SA"/>
    </w:rPr>
  </w:style>
  <w:style w:type="paragraph" w:styleId="ruller51">
    <w:name w:val="ruller5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2063" TargetMode="External"/><Relationship Id="rId3" Type="http://schemas.openxmlformats.org/officeDocument/2006/relationships/hyperlink" Target="http://www.nevo.co.il/safrut/bookgroup/2063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98" TargetMode="External"/><Relationship Id="rId6" Type="http://schemas.openxmlformats.org/officeDocument/2006/relationships/hyperlink" Target="http://www.nevo.co.il/law/70301/300.a" TargetMode="External"/><Relationship Id="rId7" Type="http://schemas.openxmlformats.org/officeDocument/2006/relationships/hyperlink" Target="http://www.nevo.co.il/law/70301/301a.a" TargetMode="External"/><Relationship Id="rId8" Type="http://schemas.openxmlformats.org/officeDocument/2006/relationships/hyperlink" Target="http://www.nevo.co.il/law/70301/40if" TargetMode="External"/><Relationship Id="rId9" Type="http://schemas.openxmlformats.org/officeDocument/2006/relationships/hyperlink" Target="http://www.nevo.co.il/law/70301/413e" TargetMode="External"/><Relationship Id="rId10" Type="http://schemas.openxmlformats.org/officeDocument/2006/relationships/hyperlink" Target="http://www.nevo.co.il/law/70301/452" TargetMode="External"/><Relationship Id="rId11" Type="http://schemas.openxmlformats.org/officeDocument/2006/relationships/hyperlink" Target="http://www.nevo.co.il/law/70348" TargetMode="External"/><Relationship Id="rId12" Type="http://schemas.openxmlformats.org/officeDocument/2006/relationships/hyperlink" Target="http://www.nevo.co.il/law/70348/2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00.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00.a" TargetMode="External"/><Relationship Id="rId17" Type="http://schemas.openxmlformats.org/officeDocument/2006/relationships/hyperlink" Target="http://www.nevo.co.il/law/70301/413e" TargetMode="External"/><Relationship Id="rId18" Type="http://schemas.openxmlformats.org/officeDocument/2006/relationships/hyperlink" Target="http://www.nevo.co.il/law/70301/452" TargetMode="External"/><Relationship Id="rId19" Type="http://schemas.openxmlformats.org/officeDocument/2006/relationships/hyperlink" Target="http://www.nevo.co.il/law/70348/21" TargetMode="External"/><Relationship Id="rId20" Type="http://schemas.openxmlformats.org/officeDocument/2006/relationships/hyperlink" Target="http://www.nevo.co.il/law/70348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9469766" TargetMode="External"/><Relationship Id="rId23" Type="http://schemas.openxmlformats.org/officeDocument/2006/relationships/hyperlink" Target="http://www.nevo.co.il/case/29433126" TargetMode="External"/><Relationship Id="rId24" Type="http://schemas.openxmlformats.org/officeDocument/2006/relationships/hyperlink" Target="http://www.nevo.co.il/case/23506710" TargetMode="External"/><Relationship Id="rId25" Type="http://schemas.openxmlformats.org/officeDocument/2006/relationships/hyperlink" Target="http://www.nevo.co.il/case/27355022" TargetMode="External"/><Relationship Id="rId26" Type="http://schemas.openxmlformats.org/officeDocument/2006/relationships/hyperlink" Target="http://www.nevo.co.il/case/28313659" TargetMode="External"/><Relationship Id="rId27" Type="http://schemas.openxmlformats.org/officeDocument/2006/relationships/hyperlink" Target="http://www.nevo.co.il/case/26995434" TargetMode="External"/><Relationship Id="rId28" Type="http://schemas.openxmlformats.org/officeDocument/2006/relationships/hyperlink" Target="http://www.nevo.co.il/case/27608313" TargetMode="External"/><Relationship Id="rId29" Type="http://schemas.openxmlformats.org/officeDocument/2006/relationships/hyperlink" Target="http://www.nevo.co.il/law/70301/298" TargetMode="External"/><Relationship Id="rId30" Type="http://schemas.openxmlformats.org/officeDocument/2006/relationships/hyperlink" Target="http://www.nevo.co.il/law/70301/300.a" TargetMode="External"/><Relationship Id="rId31" Type="http://schemas.openxmlformats.org/officeDocument/2006/relationships/hyperlink" Target="http://www.nevo.co.il/law/70301/301a.a" TargetMode="External"/><Relationship Id="rId32" Type="http://schemas.openxmlformats.org/officeDocument/2006/relationships/hyperlink" Target="http://www.nevo.co.il/case/28538252" TargetMode="External"/><Relationship Id="rId33" Type="http://schemas.openxmlformats.org/officeDocument/2006/relationships/hyperlink" Target="http://www.nevo.co.il/safrut/bookgroup/2063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27443208" TargetMode="External"/><Relationship Id="rId36" Type="http://schemas.openxmlformats.org/officeDocument/2006/relationships/hyperlink" Target="http://www.nevo.co.il/case/28912788" TargetMode="External"/><Relationship Id="rId37" Type="http://schemas.openxmlformats.org/officeDocument/2006/relationships/hyperlink" Target="http://www.nevo.co.il/case/28701794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28429413" TargetMode="External"/><Relationship Id="rId40" Type="http://schemas.openxmlformats.org/officeDocument/2006/relationships/hyperlink" Target="http://www.nevo.co.il/case/28280815" TargetMode="External"/><Relationship Id="rId41" Type="http://schemas.openxmlformats.org/officeDocument/2006/relationships/hyperlink" Target="http://www.nevo.co.il/case/29433126" TargetMode="External"/><Relationship Id="rId42" Type="http://schemas.openxmlformats.org/officeDocument/2006/relationships/hyperlink" Target="http://www.nevo.co.il/case/29433126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40if" TargetMode="External"/><Relationship Id="rId48" Type="http://schemas.openxmlformats.org/officeDocument/2006/relationships/hyperlink" Target="http://www.nevo.co.il/case/29433126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case/27443208" TargetMode="External"/><Relationship Id="rId51" Type="http://schemas.openxmlformats.org/officeDocument/2006/relationships/hyperlink" Target="http://www.nevo.co.il/case/28912788" TargetMode="External"/><Relationship Id="rId52" Type="http://schemas.openxmlformats.org/officeDocument/2006/relationships/hyperlink" Target="http://www.nevo.co.il/case/28538252" TargetMode="External"/><Relationship Id="rId53" Type="http://schemas.openxmlformats.org/officeDocument/2006/relationships/hyperlink" Target="http://www.nevo.co.il/case/26216901" TargetMode="External"/><Relationship Id="rId54" Type="http://schemas.openxmlformats.org/officeDocument/2006/relationships/hyperlink" Target="http://www.nevo.co.il/case/23520565" TargetMode="External"/><Relationship Id="rId55" Type="http://schemas.openxmlformats.org/officeDocument/2006/relationships/hyperlink" Target="http://www.nevo.co.il/case/21477292" TargetMode="External"/><Relationship Id="rId56" Type="http://schemas.openxmlformats.org/officeDocument/2006/relationships/hyperlink" Target="http://www.nevo.co.il/case/21477292" TargetMode="External"/><Relationship Id="rId57" Type="http://schemas.openxmlformats.org/officeDocument/2006/relationships/hyperlink" Target="http://www.nevo.co.il/case/20649638" TargetMode="External"/><Relationship Id="rId58" Type="http://schemas.openxmlformats.org/officeDocument/2006/relationships/hyperlink" Target="http://www.nevo.co.il/case/20649638" TargetMode="External"/><Relationship Id="rId59" Type="http://schemas.openxmlformats.org/officeDocument/2006/relationships/hyperlink" Target="http://www.nevo.co.il/case/21477292" TargetMode="External"/><Relationship Id="rId60" Type="http://schemas.openxmlformats.org/officeDocument/2006/relationships/hyperlink" Target="http://www.nevo.co.il/case/20649638" TargetMode="External"/><Relationship Id="rId61" Type="http://schemas.openxmlformats.org/officeDocument/2006/relationships/hyperlink" Target="http://www.nevo.co.il/case/27327175" TargetMode="External"/><Relationship Id="rId62" Type="http://schemas.openxmlformats.org/officeDocument/2006/relationships/hyperlink" Target="http://www.nevo.co.il/case/27055835" TargetMode="External"/><Relationship Id="rId63" Type="http://schemas.openxmlformats.org/officeDocument/2006/relationships/hyperlink" Target="http://www.nevo.co.il/case/26776067" TargetMode="External"/><Relationship Id="rId64" Type="http://schemas.openxmlformats.org/officeDocument/2006/relationships/hyperlink" Target="http://www.nevo.co.il/case/4888377" TargetMode="External"/><Relationship Id="rId65" Type="http://schemas.openxmlformats.org/officeDocument/2006/relationships/hyperlink" Target="http://www.nevo.co.il/case/6987959" TargetMode="External"/><Relationship Id="rId66" Type="http://schemas.openxmlformats.org/officeDocument/2006/relationships/hyperlink" Target="http://www.nevo.co.il/case/30294419" TargetMode="External"/><Relationship Id="rId67" Type="http://schemas.openxmlformats.org/officeDocument/2006/relationships/hyperlink" Target="http://www.nevo.co.il/case/6233670" TargetMode="External"/><Relationship Id="rId68" Type="http://schemas.openxmlformats.org/officeDocument/2006/relationships/hyperlink" Target="http://www.nevo.co.il/law/70301/300.a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case/6244964" TargetMode="External"/><Relationship Id="rId71" Type="http://schemas.openxmlformats.org/officeDocument/2006/relationships/hyperlink" Target="http://www.nevo.co.il/case/6244964" TargetMode="External"/><Relationship Id="rId72" Type="http://schemas.openxmlformats.org/officeDocument/2006/relationships/hyperlink" Target="http://www.nevo.co.il/case/23665778" TargetMode="External"/><Relationship Id="rId73" Type="http://schemas.openxmlformats.org/officeDocument/2006/relationships/hyperlink" Target="http://www.nevo.co.il/case/26426312" TargetMode="External"/><Relationship Id="rId74" Type="http://schemas.openxmlformats.org/officeDocument/2006/relationships/hyperlink" Target="http://www.nevo.co.il/case/26426312" TargetMode="External"/><Relationship Id="rId75" Type="http://schemas.openxmlformats.org/officeDocument/2006/relationships/hyperlink" Target="http://www.nevo.co.il/case/6186872" TargetMode="External"/><Relationship Id="rId76" Type="http://schemas.openxmlformats.org/officeDocument/2006/relationships/hyperlink" Target="http://www.nevo.co.il/case/21700603" TargetMode="External"/><Relationship Id="rId77" Type="http://schemas.openxmlformats.org/officeDocument/2006/relationships/hyperlink" Target="http://www.nevo.co.il/case/21477293" TargetMode="External"/><Relationship Id="rId78" Type="http://schemas.openxmlformats.org/officeDocument/2006/relationships/hyperlink" Target="http://www.nevo.co.il/case/6247303" TargetMode="External"/><Relationship Id="rId79" Type="http://schemas.openxmlformats.org/officeDocument/2006/relationships/hyperlink" Target="http://www.nevo.co.il/case/26426312" TargetMode="External"/><Relationship Id="rId80" Type="http://schemas.openxmlformats.org/officeDocument/2006/relationships/hyperlink" Target="http://www.nevo.co.il/case/6244964" TargetMode="External"/><Relationship Id="rId81" Type="http://schemas.openxmlformats.org/officeDocument/2006/relationships/hyperlink" Target="http://www.nevo.co.il/case/29223917" TargetMode="External"/><Relationship Id="rId82" Type="http://schemas.openxmlformats.org/officeDocument/2006/relationships/hyperlink" Target="http://www.nevo.co.il/case/29433126" TargetMode="External"/><Relationship Id="rId83" Type="http://schemas.openxmlformats.org/officeDocument/2006/relationships/hyperlink" Target="http://www.nevo.co.il/case/29433126" TargetMode="External"/><Relationship Id="rId84" Type="http://schemas.openxmlformats.org/officeDocument/2006/relationships/hyperlink" Target="http://www.nevo.co.il/case/29433126" TargetMode="External"/><Relationship Id="rId85" Type="http://schemas.openxmlformats.org/officeDocument/2006/relationships/hyperlink" Target="http://www.nevo.co.il/case/6246087" TargetMode="External"/><Relationship Id="rId86" Type="http://schemas.openxmlformats.org/officeDocument/2006/relationships/hyperlink" Target="http://www.nevo.co.il/law/70301" TargetMode="External"/><Relationship Id="rId87" Type="http://schemas.openxmlformats.org/officeDocument/2006/relationships/hyperlink" Target="http://www.nevo.co.il/case/28701794" TargetMode="External"/><Relationship Id="rId88" Type="http://schemas.openxmlformats.org/officeDocument/2006/relationships/hyperlink" Target="http://www.nevo.co.il/case/29469766" TargetMode="External"/><Relationship Id="rId89" Type="http://schemas.openxmlformats.org/officeDocument/2006/relationships/hyperlink" Target="http://www.nevo.co.il/case/28912788" TargetMode="External"/><Relationship Id="rId90" Type="http://schemas.openxmlformats.org/officeDocument/2006/relationships/hyperlink" Target="http://www.nevo.co.il/case/27443208" TargetMode="External"/><Relationship Id="rId91" Type="http://schemas.openxmlformats.org/officeDocument/2006/relationships/hyperlink" Target="http://www.nevo.co.il/case/28538252" TargetMode="External"/><Relationship Id="rId92" Type="http://schemas.openxmlformats.org/officeDocument/2006/relationships/hyperlink" Target="http://www.nevo.co.il/case/17014787" TargetMode="External"/><Relationship Id="rId93" Type="http://schemas.openxmlformats.org/officeDocument/2006/relationships/hyperlink" Target="http://www.nevo.co.il/case/25274404" TargetMode="External"/><Relationship Id="rId94" Type="http://schemas.openxmlformats.org/officeDocument/2006/relationships/hyperlink" Target="http://www.nevo.co.il/case/26426312" TargetMode="External"/><Relationship Id="rId95" Type="http://schemas.openxmlformats.org/officeDocument/2006/relationships/hyperlink" Target="http://www.nevo.co.il/case/6233670" TargetMode="External"/><Relationship Id="rId96" Type="http://schemas.openxmlformats.org/officeDocument/2006/relationships/hyperlink" Target="http://www.nevo.co.il/case/21477293" TargetMode="External"/><Relationship Id="rId97" Type="http://schemas.openxmlformats.org/officeDocument/2006/relationships/hyperlink" Target="https://supreme.court.gov.il/" TargetMode="External"/><Relationship Id="rId98" Type="http://schemas.openxmlformats.org/officeDocument/2006/relationships/hyperlink" Target="http://www.nevo.co.il/advertisements/nevo-100.doc" TargetMode="External"/><Relationship Id="rId99" Type="http://schemas.openxmlformats.org/officeDocument/2006/relationships/header" Target="header1.xml"/><Relationship Id="rId100" Type="http://schemas.openxmlformats.org/officeDocument/2006/relationships/footer" Target="footer1.xml"/><Relationship Id="rId101" Type="http://schemas.openxmlformats.org/officeDocument/2006/relationships/numbering" Target="numbering.xml"/><Relationship Id="rId102" Type="http://schemas.openxmlformats.org/officeDocument/2006/relationships/fontTable" Target="fontTable.xml"/><Relationship Id="rId103" Type="http://schemas.openxmlformats.org/officeDocument/2006/relationships/settings" Target="settings.xml"/><Relationship Id="rId10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2024-02-22T11:03:00Z</dcterms:created>
  <dc:creator>h4</dc:creator>
  <dc:description/>
  <cp:keywords/>
  <dc:language>en-IL</dc:language>
  <cp:lastModifiedBy>orly</cp:lastModifiedBy>
  <cp:lastPrinted>2024-02-21T08:03:00Z</cp:lastPrinted>
  <dcterms:modified xsi:type="dcterms:W3CDTF">2024-02-22T11:03:00Z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2063</vt:lpwstr>
  </property>
  <property fmtid="{D5CDD505-2E9C-101B-9397-08002B2CF9AE}" pid="9" name="CASESLISTTMP1">
    <vt:lpwstr>29469766:2;29433126:7;23506710;27355022;28313659;26995434;27608313;28538252:3;27443208:3;28912788:3;28701794:2;28429413;28280815;26216901;23520565;21477292:3;20649638:3;27327175;27055835;26776067;4888377;6987959;30294419;6233670:2;6244964:3;23665778</vt:lpwstr>
  </property>
  <property fmtid="{D5CDD505-2E9C-101B-9397-08002B2CF9AE}" pid="10" name="CASESLISTTMP2">
    <vt:lpwstr>26426312:4;6186872;21700603;21477293:2;6247303;29223917;6246087;17014787;25274404</vt:lpwstr>
  </property>
  <property fmtid="{D5CDD505-2E9C-101B-9397-08002B2CF9AE}" pid="11" name="CITY">
    <vt:lpwstr/>
  </property>
  <property fmtid="{D5CDD505-2E9C-101B-9397-08002B2CF9AE}" pid="12" name="DATE">
    <vt:lpwstr>20240221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י' אלרון;ח' כבוב;ר' רונן</vt:lpwstr>
  </property>
  <property fmtid="{D5CDD505-2E9C-101B-9397-08002B2CF9AE}" pid="16" name="LAWLISTTMP1">
    <vt:lpwstr>70301/300.a:4;413e;452;298;301a.a;40if</vt:lpwstr>
  </property>
  <property fmtid="{D5CDD505-2E9C-101B-9397-08002B2CF9AE}" pid="17" name="LAWLISTTMP2">
    <vt:lpwstr>70348/021</vt:lpwstr>
  </property>
  <property fmtid="{D5CDD505-2E9C-101B-9397-08002B2CF9AE}" pid="18" name="LAWYER">
    <vt:lpwstr>מוחמד מואסי;רחלי זוארץ לוי;טלי סמואל;יוניס מונה חטיב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הרץ קרן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נוער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עונשין</vt:lpwstr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65;77;77</vt:lpwstr>
  </property>
  <property fmtid="{D5CDD505-2E9C-101B-9397-08002B2CF9AE}" pid="40" name="NOSE21">
    <vt:lpwstr>ענישה</vt:lpwstr>
  </property>
  <property fmtid="{D5CDD505-2E9C-101B-9397-08002B2CF9AE}" pid="41" name="NOSE210">
    <vt:lpwstr/>
  </property>
  <property fmtid="{D5CDD505-2E9C-101B-9397-08002B2CF9AE}" pid="42" name="NOSE22">
    <vt:lpwstr>ענישה</vt:lpwstr>
  </property>
  <property fmtid="{D5CDD505-2E9C-101B-9397-08002B2CF9AE}" pid="43" name="NOSE23">
    <vt:lpwstr>ענישה</vt:lpwstr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1296;1446;1446</vt:lpwstr>
  </property>
  <property fmtid="{D5CDD505-2E9C-101B-9397-08002B2CF9AE}" pid="51" name="NOSE31">
    <vt:lpwstr>שיקול בית-המשפט</vt:lpwstr>
  </property>
  <property fmtid="{D5CDD505-2E9C-101B-9397-08002B2CF9AE}" pid="52" name="NOSE310">
    <vt:lpwstr/>
  </property>
  <property fmtid="{D5CDD505-2E9C-101B-9397-08002B2CF9AE}" pid="53" name="NOSE32">
    <vt:lpwstr>מדיניות ענישה: נוער</vt:lpwstr>
  </property>
  <property fmtid="{D5CDD505-2E9C-101B-9397-08002B2CF9AE}" pid="54" name="NOSE33">
    <vt:lpwstr>מדיניות ענישה: עבירת רצח</vt:lpwstr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7907;8983;14615</vt:lpwstr>
  </property>
  <property fmtid="{D5CDD505-2E9C-101B-9397-08002B2CF9AE}" pid="62" name="PADIDATE">
    <vt:lpwstr>20240222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2883</vt:lpwstr>
  </property>
  <property fmtid="{D5CDD505-2E9C-101B-9397-08002B2CF9AE}" pid="68" name="PROCYEAR">
    <vt:lpwstr>23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410120240221</vt:lpwstr>
  </property>
  <property fmtid="{D5CDD505-2E9C-101B-9397-08002B2CF9AE}" pid="72" name="TYPE_N_DATE">
    <vt:lpwstr>41020240221</vt:lpwstr>
  </property>
  <property fmtid="{D5CDD505-2E9C-101B-9397-08002B2CF9AE}" pid="73" name="VOLUME">
    <vt:lpwstr/>
  </property>
  <property fmtid="{D5CDD505-2E9C-101B-9397-08002B2CF9AE}" pid="74" name="WORDNUMPAGES">
    <vt:lpwstr>30</vt:lpwstr>
  </property>
</Properties>
</file>