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2888/19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זנאתי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05.03.2019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41633-05-18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27.06.2019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סרוגוביץ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בתדפיס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ומדויק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והתייחסות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אמותיו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לפרקליט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שהתרחשה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הרישום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בגדרו הוטלו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מיום 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על תנאי ופיצוי בסך </w:t>
      </w:r>
      <w:r>
        <w:rPr>
          <w:rFonts w:cs="Times New Roman" w:ascii="Times New Roman" w:hAnsi="Times New Roman"/>
          <w:spacing w:val="0"/>
          <w:sz w:val="24"/>
          <w:szCs w:val="26"/>
        </w:rPr>
        <w:t>80,000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בעקבות הרשעתו על פי הודאתו בעבירה של חבלה חמורה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ידיעות כוזבות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והחזקת סכין שלא כדין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באלימות 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שימוש בסכין על רקע העובדה שהמתלונן הוציא אצבע משולשת לעבר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במהלך הדיון התגלע כשל בהצגת החומר מטעם התביעה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פי תדפיס הרישום הפלילי של המערער שהוגש מטעם משטרת ישראל באמצעות הפרקליטות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בעבירת רצח ונדון לפני כחמש שנים למאסר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חולק כי מדובר בטעות 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 זה מחייב בדיקה והתייחסות מעבר לד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אמותיו של תיק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 בהסכמת השופטים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מטעמים הבאים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השופט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דורש לבחון את סיפור המעשה כפי שהוא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ואת מקומו בשורה של 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חמורים פחות או חמורים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המתלונן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התחיל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בוויכוח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 יש לבחון את כל רצף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בחינה שכזו מובילה למסקנה כי מידת האשם של המערער רבה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שום פרופורציה בין התנהגות המתלונן ותגובתו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היה יכול להמשיך בנסיעה בכל שלב של האירוע מבלי שדבר עוצר בעדו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במקום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בחר להמשיך ולנהל אירוע דינמי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שימוש בנשק 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 עלול להסתיים בתוצאה קשה אפילו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הנזק הקשה שנגרם 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והשימוש החופשי בסכין כאילו מדובר במעין צעצוע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תוך שקלול הנימוקים לקולא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לרבות הודאת 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מובילים למסקנה כי העונש 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יש צורך בהרתעת הרבים מביצוע מעשים כאלה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שהפכו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לצערנו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למצב של לית דין ולית דיין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 השעה הוא להטיל עונש ראוי ומרתיע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כולל מאסר בפועל במקרה המתאים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הערעור להידחות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David"/>
          <w:color w:val="FFFFFF"/>
          <w:sz w:val="24"/>
          <w:szCs w:val="24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 הכשל שהתגלה בדיון – שגיאה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תדפיס מידע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לפיו המערער הורשע בעבירת רצח ונדון לפני כחמש שנים למאסר עולם – מחייב בדיקה והתייחסות מעבר לד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אמותיו של תיק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מקור הטעות לא הובהר אך בכל מקרה הוא אינו רלוונטי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עומד על החשיבות הנודעת לרישום הפלילי ולהיותו אמין ומדויק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בהיותו מהווה שיקול לכאן או לכאן בגזירת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שלנו הטעות כה בולטת שקל היה לגלותה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חשיבות העניין היא אמינות המרשם הפלילי בתיקים 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מורה על העברת התיק לפרקליט המדינה או לפרקליט אחר שימונה על 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לבדיקת התקלה שהתרחשה והעברת פסק הדין לידי הסנגור הציבורי הראשי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David"/>
          <w:color w:val="FFFFFF"/>
          <w:sz w:val="24"/>
          <w:szCs w:val="24"/>
        </w:rPr>
      </w:pPr>
      <w:r>
        <w:rPr>
          <w:rFonts w:cs="David"/>
          <w:color w:val="FFFFFF"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התגלע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שמחייב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 xml:space="preserve">' </w:t>
      </w:r>
      <w:r>
        <w:rPr>
          <w:rtl w:val="true"/>
        </w:rPr>
        <w:t>אמותיו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לכשל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ידיעות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כוזבות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41633-05-18</w:t>
        </w:r>
      </w:hyperlink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משולשת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קולני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משולשת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ולבעוט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צועק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בוא</w:t>
      </w:r>
      <w:r>
        <w:rPr>
          <w:rtl w:val="true"/>
        </w:rPr>
        <w:t xml:space="preserve">, </w:t>
      </w:r>
      <w:r>
        <w:rPr>
          <w:rtl w:val="true"/>
        </w:rPr>
        <w:t>בוא</w:t>
      </w:r>
      <w:r>
        <w:rPr>
          <w:rtl w:val="true"/>
        </w:rPr>
        <w:t xml:space="preserve">, </w:t>
      </w:r>
      <w:r>
        <w:rPr>
          <w:rtl w:val="true"/>
        </w:rPr>
        <w:t>תעלה</w:t>
      </w:r>
      <w:r>
        <w:rPr>
          <w:rtl w:val="true"/>
        </w:rPr>
        <w:t xml:space="preserve">".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הצמיד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ורגליו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צווארו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כשהמתלונן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ולהדוף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מאסיבי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: </w:t>
      </w:r>
      <w:r>
        <w:rPr>
          <w:rtl w:val="true"/>
        </w:rPr>
        <w:t>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קרע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בשריר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דימום</w:t>
      </w:r>
      <w:r>
        <w:rPr>
          <w:rtl w:val="true"/>
        </w:rPr>
        <w:t xml:space="preserve">, </w:t>
      </w:r>
      <w:r>
        <w:rPr>
          <w:rtl w:val="true"/>
        </w:rPr>
        <w:t>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וחדירת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אוויר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לחזה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מאושפז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בעיון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המחייב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שבמעשה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התחיל</w:t>
      </w:r>
      <w:r>
        <w:rPr>
          <w:rtl w:val="true"/>
        </w:rPr>
        <w:t xml:space="preserve">" </w:t>
      </w:r>
      <w:r>
        <w:rPr>
          <w:rtl w:val="true"/>
        </w:rPr>
        <w:t>בוויכוח</w:t>
      </w:r>
      <w:r>
        <w:rPr>
          <w:rtl w:val="true"/>
        </w:rPr>
        <w:t xml:space="preserve">.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התחיל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הסתיים</w:t>
      </w:r>
      <w:r>
        <w:rPr>
          <w:rtl w:val="true"/>
        </w:rPr>
        <w:t xml:space="preserve">?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, </w:t>
      </w:r>
      <w:r>
        <w:rPr>
          <w:rtl w:val="true"/>
        </w:rPr>
        <w:t>הדקירה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אתגר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וכשזה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שלופה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והצוואר</w:t>
      </w:r>
      <w:r>
        <w:rPr>
          <w:rtl w:val="true"/>
        </w:rPr>
        <w:t xml:space="preserve">. </w:t>
      </w:r>
      <w:r>
        <w:rPr>
          <w:rtl w:val="true"/>
        </w:rPr>
        <w:t>לצערי</w:t>
      </w:r>
      <w:r>
        <w:rPr>
          <w:rtl w:val="true"/>
        </w:rPr>
        <w:t xml:space="preserve">,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: </w:t>
      </w:r>
      <w:r>
        <w:rPr>
          <w:rtl w:val="true"/>
        </w:rPr>
        <w:t>פצעים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קטלניים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ואשפוז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פרופורציה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ותגובתו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דינמי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הסכינאות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הצלקות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לניתוחים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ולאשפוז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צווארו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צעצוע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שהפכו</w:t>
      </w:r>
      <w:r>
        <w:rPr>
          <w:rtl w:val="true"/>
        </w:rPr>
        <w:t xml:space="preserve">,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דיין</w:t>
      </w:r>
      <w:r>
        <w:rPr>
          <w:rtl w:val="true"/>
        </w:rPr>
        <w:t xml:space="preserve">.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tl w:val="true"/>
        </w:rPr>
        <w:t xml:space="preserve">, </w:t>
      </w:r>
      <w:r>
        <w:rPr>
          <w:rtl w:val="true"/>
        </w:rPr>
        <w:t>כמקובל</w:t>
      </w:r>
      <w:r>
        <w:rPr>
          <w:rtl w:val="true"/>
        </w:rPr>
        <w:t>, "</w:t>
      </w:r>
      <w:r>
        <w:rPr>
          <w:rtl w:val="true"/>
        </w:rPr>
        <w:t>תדפיס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", </w:t>
      </w:r>
      <w:r>
        <w:rPr>
          <w:rtl w:val="true"/>
        </w:rPr>
        <w:t>דהיינו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בתדפיס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התדפיס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פרקליטות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הקצה</w:t>
      </w:r>
      <w:r>
        <w:rPr>
          <w:rtl w:val="true"/>
        </w:rPr>
        <w:t xml:space="preserve">".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".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וקיומן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תדפיס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מרשים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חותמת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ודייקנות</w:t>
      </w:r>
      <w:r>
        <w:rPr>
          <w:rtl w:val="true"/>
        </w:rPr>
        <w:t xml:space="preserve">. </w:t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טופח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להטעות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. </w:t>
      </w:r>
      <w:r>
        <w:rPr>
          <w:rtl w:val="true"/>
        </w:rPr>
        <w:t>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לגלותה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הפרקליטות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ומדויק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המידע</w:t>
      </w:r>
      <w:r>
        <w:rPr>
          <w:rtl w:val="true"/>
        </w:rPr>
        <w:t xml:space="preserve">. </w:t>
      </w:r>
      <w:r>
        <w:rPr>
          <w:rtl w:val="true"/>
        </w:rPr>
        <w:t>המחשב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ולתוצאה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אגב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לפרקליט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לפרקליט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ננקטו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יישנה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שננקטו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שיידרשו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נערכה</w:t>
      </w:r>
      <w:r>
        <w:rPr>
          <w:rtl w:val="true"/>
        </w:rPr>
        <w:t xml:space="preserve">. </w:t>
      </w:r>
      <w:r>
        <w:rPr>
          <w:rtl w:val="true"/>
        </w:rPr>
        <w:t>הואיל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התהליך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והמידע</w:t>
      </w:r>
      <w:r>
        <w:rPr>
          <w:rtl w:val="true"/>
        </w:rPr>
        <w:t xml:space="preserve">, </w:t>
      </w:r>
      <w:r>
        <w:rPr>
          <w:rtl w:val="true"/>
        </w:rPr>
        <w:t>עותק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ומצטרפת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ומדויק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3.7.2019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19028880</w:t>
      </w:r>
      <w:r>
        <w:rPr>
          <w:sz w:val="16"/>
          <w:rtl w:val="true"/>
        </w:rPr>
        <w:t>_</w:t>
      </w:r>
      <w:r>
        <w:rPr>
          <w:sz w:val="16"/>
        </w:rPr>
        <w:t>Z01.docx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54678313-2888/19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2888/19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חמד זנאתי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19430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4903" TargetMode="External"/><Relationship Id="rId5" Type="http://schemas.openxmlformats.org/officeDocument/2006/relationships/hyperlink" Target="http://www.nevo.co.il/law/74903/187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4194307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4903/187" TargetMode="External"/><Relationship Id="rId11" Type="http://schemas.openxmlformats.org/officeDocument/2006/relationships/hyperlink" Target="http://www.nevo.co.il/law/74903" TargetMode="External"/><Relationship Id="rId12" Type="http://schemas.openxmlformats.org/officeDocument/2006/relationships/hyperlink" Target="http://supreme.court.gov.il/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2019-07-04T09:49:00Z</dcterms:created>
  <dc:creator>h4</dc:creator>
  <dc:description/>
  <cp:keywords/>
  <dc:language>en-IL</dc:language>
  <cp:lastModifiedBy>hofit</cp:lastModifiedBy>
  <cp:lastPrinted>2019-07-03T11:03:00Z</cp:lastPrinted>
  <dcterms:modified xsi:type="dcterms:W3CDTF">2019-07-04T09:49:00Z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חמד זנאתי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24194307:2</vt:lpwstr>
  </property>
  <property fmtid="{D5CDD505-2E9C-101B-9397-08002B2CF9AE}" pid="9" name="CITY">
    <vt:lpwstr/>
  </property>
  <property fmtid="{D5CDD505-2E9C-101B-9397-08002B2CF9AE}" pid="10" name="DATE">
    <vt:lpwstr>20190703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ברון;ג' קרא</vt:lpwstr>
  </property>
  <property fmtid="{D5CDD505-2E9C-101B-9397-08002B2CF9AE}" pid="14" name="LAWLISTTMP1">
    <vt:lpwstr>70301:2</vt:lpwstr>
  </property>
  <property fmtid="{D5CDD505-2E9C-101B-9397-08002B2CF9AE}" pid="15" name="LAWLISTTMP2">
    <vt:lpwstr>74903/187</vt:lpwstr>
  </property>
  <property fmtid="{D5CDD505-2E9C-101B-9397-08002B2CF9AE}" pid="16" name="LAWYER">
    <vt:lpwstr>נגה בן סידי;משה סרוגוביץ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מרשם פלילי ותקנת השבים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1446;1446;1439</vt:lpwstr>
  </property>
  <property fmtid="{D5CDD505-2E9C-101B-9397-08002B2CF9AE}" pid="49" name="NOSE31">
    <vt:lpwstr>מדיניות ענישה: עבירות אלימות</vt:lpwstr>
  </property>
  <property fmtid="{D5CDD505-2E9C-101B-9397-08002B2CF9AE}" pid="50" name="NOSE310">
    <vt:lpwstr/>
  </property>
  <property fmtid="{D5CDD505-2E9C-101B-9397-08002B2CF9AE}" pid="51" name="NOSE32">
    <vt:lpwstr>תיקון 113</vt:lpwstr>
  </property>
  <property fmtid="{D5CDD505-2E9C-101B-9397-08002B2CF9AE}" pid="52" name="NOSE33">
    <vt:lpwstr>אמינות הרישום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8984;15240;</vt:lpwstr>
  </property>
  <property fmtid="{D5CDD505-2E9C-101B-9397-08002B2CF9AE}" pid="60" name="PADIDATE">
    <vt:lpwstr>20190704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2888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410120190703</vt:lpwstr>
  </property>
  <property fmtid="{D5CDD505-2E9C-101B-9397-08002B2CF9AE}" pid="70" name="TYPE_N_DATE">
    <vt:lpwstr>41020190703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