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292/22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398/22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292/22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hyperlink r:id="rId3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398/22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hyperlink r:id="rId4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292/22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hyperlink r:id="rId5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398/22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6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58199-06-21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12.5.2022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hyperlink r:id="rId7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292/22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hyperlink r:id="rId8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398/22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hyperlink r:id="rId9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292/22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hyperlink r:id="rId10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398/22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עפיף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התפרעו</w:t>
      </w:r>
      <w:r>
        <w:rPr>
          <w:rFonts w:cs="FrankRuehl"/>
          <w:sz w:val="24"/>
          <w:sz w:val="24"/>
          <w:szCs w:val="26"/>
          <w:rtl w:val="true"/>
        </w:rPr>
        <w:t>יו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</w:t>
      </w:r>
      <w:r>
        <w:rPr>
          <w:rFonts w:cs="FrankRuehl"/>
          <w:sz w:val="24"/>
          <w:sz w:val="24"/>
          <w:szCs w:val="26"/>
          <w:rtl w:val="true"/>
        </w:rPr>
        <w:t>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חומות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br/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מזה ומזה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נגזרו 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מוחמד חליל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 נלווים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בעקבות השתתפותו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שלוש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</w:t>
      </w:r>
      <w:r>
        <w:rPr>
          <w:rFonts w:ascii="Times New Roman" w:hAnsi="Times New Roman" w:cs="Times New Roman"/>
          <w:spacing w:val="0"/>
          <w:szCs w:val="26"/>
          <w:rtl w:val="true"/>
        </w:rPr>
        <w:t>יו</w:t>
      </w:r>
      <w:r>
        <w:rPr>
          <w:rFonts w:ascii="Times New Roman" w:hAnsi="Times New Roman" w:cs="Times New Roman"/>
          <w:spacing w:val="0"/>
          <w:szCs w:val="26"/>
          <w:rtl w:val="true"/>
        </w:rPr>
        <w:t>ת אלימ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בתוך </w:t>
      </w:r>
      <w:r>
        <w:rPr>
          <w:rFonts w:cs="Times New Roman" w:ascii="Times New Roman" w:hAnsi="Times New Roman"/>
          <w:spacing w:val="0"/>
          <w:szCs w:val="26"/>
        </w:rPr>
        <w:t>48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אידאולוגי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במהלך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שומר 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כללו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דו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אבנים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ברזלים ובקבוקי תבערה לעבר כוחות משטרה שניסו להשליט סדר ציבורי במקום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של המשיב מחייבים החמרה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 המשיב כי האכיפה הבררנית בעניינו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רק אדם אחד הועמד לדין מבין מאות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מובהקת וגלויה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ולכן יש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לבטל את סעיפי האישום ככל שהם מתייחסים לייצור נשק ולעבירות שמיוחסות לנאשם בהתפרעויות ביישוב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דיידה מכר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לא להטיל עליו כל עונש בעבירות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 המשיב שלנוכח מצבה הכלכלי של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ומכיוון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צפה שיוטל 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לא העלה כל טענה במישור זה בשלב הטיעונים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לבטל את החיוב בתשלום הקנס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נעם סולברג בהסכמת השופטים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ערעור המדינה ודחה את ערעור המשיב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בגזר דין תתבצע במקרים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נפלה טעות מהותית בהחלטת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שנקבע עונש החורג באופן קיצוני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כזו המצדיקה החמרה בעונשו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המשיב אינו משקף את חומרת 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ואינו משקף כראוי את שיקולי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החומרה היתרה הנודעת לפעולות של יידוי אבנים והשלכת בקבוקי תבערה לעבר כוחות הביטחון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כך שמדיניות הענישה הנוהגת בעבירות אלה היא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וניתן בה משקל ממשי לשיקולי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על חומרתן הרבה של עבירות התפרעות המונים עמד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פעם ולא פעמיים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בציינו כי הן מציבות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סכנה ישירה וממשית לחיי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עלולות להביא לפגיעות רציניות בגוף וברכוש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יש לנקוט במדיניות ענישה אשר תרתיע ותרסן התפרעויות העלולות לסחוף המון רב ולצאת מגדר שליטה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נכונים ביתר שאת במקרה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מעשיו של המשיב – אשר פוטנציאל הנזק הטמון בהם עצום ורב – בוצעו לאחר תכנון מוקדם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 אידאולוגי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ג</w:t>
      </w:r>
      <w:r>
        <w:rPr>
          <w:rFonts w:ascii="Times New Roman" w:hAnsi="Times New Roman" w:cs="Times New Roman"/>
          <w:spacing w:val="0"/>
          <w:szCs w:val="26"/>
          <w:rtl w:val="true"/>
        </w:rPr>
        <w:t>ל הפרות סדר והתפרעויות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העובדה שאין מדובר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בהרשעתו הראשונה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לנוכח התסקיר שהוגש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לתת משקל גם לשיקול הרתעת היחיד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צוין כי גם בשני ההליכים הקודמים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בהתנהגות אלימה שכוונה כלפי נציגי אכיפת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מהתסקיר עולה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המשיב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התקשה לקחת אחריות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"; "</w:t>
      </w:r>
      <w:r>
        <w:rPr>
          <w:rFonts w:ascii="Times New Roman" w:hAnsi="Times New Roman" w:cs="Times New Roman"/>
          <w:spacing w:val="0"/>
          <w:szCs w:val="26"/>
          <w:rtl w:val="true"/>
        </w:rPr>
        <w:t>התקשה לבחון את התנהלותו במהלך ביצוע העבירות בצורה מעמיקה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התקשה להתייחס לנזקים שגרם במעשיו ונראה כי אינו מודע לחומרת העבירות שב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רמת הסיכון להישנות עבירות אלימות הינה גבוהה ורמת המסוכנות לגבי החומרה הצפויה גבוהה אף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נתונים אלה תומכים בהחמרת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שירתיע את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מדיניות הענישה הנוהגת מעלה כי העונש אשר נגזר על המשיב – קל באופן משמעותי מהעונש שנגזר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 היה מוסמך לסטות לקולא ממתחם העונש שקבע בהתבסס על מצבו הרפואי של המשיב ומשפחתו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על העובדה שהמשיב הוא היחיד שהועמד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מבין קהל המתפרעים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הנוהג מתיר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סטייה כזו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רק משיקולי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במקרים חריגים שבחריגים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מטעמי צדק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איזון בינם לבין חומרת המעשים בהם הורשע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טעמי הצדק המיוחדים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בוססו די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איזון כנדרש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התבצע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לגופם של 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יש בנסיבות האמורות כדי להצדיק הקלה בעונשו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שכוחו של המשיב עמד לו להשתתף בהתפרעויות האמורות במשך שלושה ערבים ברציפות – ברי כי מצבו הבריאותי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מהווה שיקול המצדיק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משעה שנקבע כי אין מדובר במקרה של אכיפה בררנית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צוין כי לא נפל פסול בהחלטת המערערת להעמיד את המשיב לדין – לא ניתן היה להתבסס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רשויות אכיפת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יא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כשיקול להקלה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יתכנו מקרים בהם טענת אכיפה בררנית לא תשמש לביטול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והסעד שיינתן בגינה יהיה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במקרים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לוותר על דרישת הבסיס והיא הוכחת הפליה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 יחס שונה לנאשמים שאין ביניהם הבחנה רלוונטית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דע עקא – כזאת לא הוכח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ביתר טענות המשיב לא נמצא ממש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5"/>
        </w:numPr>
        <w:ind w:hanging="0" w:start="0" w:end="0"/>
        <w:jc w:val="both"/>
        <w:textAlignment w:val="auto"/>
        <w:rPr/>
      </w:pPr>
      <w:r>
        <w:rPr>
          <w:rtl w:val="true"/>
        </w:rPr>
        <w:t>ערעורים מזה ומזה על גזר הדין של 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2.12.2021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58199-06-21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בגדרו נגזרו על המשיב ב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292/22</w:t>
        </w:r>
      </w:hyperlink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המערער ב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398/22</w:t>
        </w:r>
      </w:hyperlink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ועונשים נלווים</w:t>
      </w:r>
      <w:r>
        <w:rPr>
          <w:rFonts w:cs="Century" w:ascii="Century" w:hAnsi="Century"/>
          <w:sz w:val="22"/>
          <w:rtl w:val="true"/>
        </w:rPr>
        <w:t>.</w:t>
      </w:r>
      <w:r>
        <w:br w:type="page"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האירועים המתוארים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התרחשו בימי מבצע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חומות</w:t>
      </w:r>
      <w:r>
        <w:rPr>
          <w:rtl w:val="true"/>
        </w:rPr>
        <w:t xml:space="preserve">", </w:t>
      </w:r>
      <w:r>
        <w:rPr>
          <w:rtl w:val="true"/>
        </w:rPr>
        <w:t>במהלכם התקיימו הפרות סדר והתפרעויות אלימות רבות ברחבי הארץ</w:t>
      </w:r>
      <w:r>
        <w:rPr>
          <w:rtl w:val="true"/>
        </w:rPr>
        <w:t xml:space="preserve">, </w:t>
      </w:r>
      <w:r>
        <w:rPr>
          <w:rtl w:val="true"/>
        </w:rPr>
        <w:t>אשר כללו תקיפות כלפי אזרחים תמימים</w:t>
      </w:r>
      <w:r>
        <w:rPr>
          <w:rtl w:val="true"/>
        </w:rPr>
        <w:t xml:space="preserve">, </w:t>
      </w:r>
      <w:r>
        <w:rPr>
          <w:rtl w:val="true"/>
        </w:rPr>
        <w:t>וכלפי כוחות המשטרה והביטחון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11.5.2021</w:t>
      </w:r>
      <w:r>
        <w:rPr>
          <w:rtl w:val="true"/>
        </w:rPr>
        <w:t xml:space="preserve">, </w:t>
      </w:r>
      <w:r>
        <w:rPr>
          <w:rtl w:val="true"/>
        </w:rPr>
        <w:t xml:space="preserve">החל מהשעה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השתתף המשיב</w:t>
      </w:r>
      <w:r>
        <w:rPr>
          <w:rtl w:val="true"/>
        </w:rPr>
        <w:t xml:space="preserve">, </w:t>
      </w:r>
      <w:r>
        <w:rPr>
          <w:rtl w:val="true"/>
        </w:rPr>
        <w:t>בעודו רעול פנים</w:t>
      </w:r>
      <w:r>
        <w:rPr>
          <w:rtl w:val="true"/>
        </w:rPr>
        <w:t xml:space="preserve">, </w:t>
      </w:r>
      <w:r>
        <w:rPr>
          <w:rtl w:val="true"/>
        </w:rPr>
        <w:t>בהתפרעות אלימה בעיר העתיקה בעכו</w:t>
      </w:r>
      <w:r>
        <w:rPr>
          <w:rtl w:val="true"/>
        </w:rPr>
        <w:t xml:space="preserve">, </w:t>
      </w:r>
      <w:r>
        <w:rPr>
          <w:rtl w:val="true"/>
        </w:rPr>
        <w:t>למשך כשעתיים וחצי</w:t>
      </w:r>
      <w:r>
        <w:rPr>
          <w:rtl w:val="true"/>
        </w:rPr>
        <w:t xml:space="preserve">. </w:t>
      </w:r>
      <w:r>
        <w:rPr>
          <w:rtl w:val="true"/>
        </w:rPr>
        <w:t>כחלק מההתפרעות</w:t>
      </w:r>
      <w:r>
        <w:rPr>
          <w:rtl w:val="true"/>
        </w:rPr>
        <w:t xml:space="preserve">, </w:t>
      </w:r>
      <w:r>
        <w:rPr>
          <w:rtl w:val="true"/>
        </w:rPr>
        <w:t>גרמו המתפרעים נזק רב לרכוש ציבורי</w:t>
      </w:r>
      <w:r>
        <w:rPr>
          <w:rtl w:val="true"/>
        </w:rPr>
        <w:t xml:space="preserve">, </w:t>
      </w:r>
      <w:r>
        <w:rPr>
          <w:rtl w:val="true"/>
        </w:rPr>
        <w:t>וידו אבנים</w:t>
      </w:r>
      <w:r>
        <w:rPr>
          <w:rtl w:val="true"/>
        </w:rPr>
        <w:t xml:space="preserve">, </w:t>
      </w:r>
      <w:r>
        <w:rPr>
          <w:rtl w:val="true"/>
        </w:rPr>
        <w:t>ברזלים ובקבוקי תבערה לעבר כוחות משטרה שניסו להשליט סדר ציבורי במקום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ידה המשיב אבנים לעבר מספר שוטרים</w:t>
      </w:r>
      <w:r>
        <w:rPr>
          <w:rtl w:val="true"/>
        </w:rPr>
        <w:t xml:space="preserve">, </w:t>
      </w:r>
      <w:r>
        <w:rPr>
          <w:rtl w:val="true"/>
        </w:rPr>
        <w:t>ממרחק של עשרות מטרים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קודם לכן</w:t>
      </w:r>
      <w:r>
        <w:rPr>
          <w:rtl w:val="true"/>
        </w:rPr>
        <w:t xml:space="preserve">, </w:t>
      </w:r>
      <w:r>
        <w:rPr>
          <w:rtl w:val="true"/>
        </w:rPr>
        <w:t>באותו יום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18:13</w:t>
      </w:r>
      <w:r>
        <w:rPr>
          <w:rtl w:val="true"/>
        </w:rPr>
        <w:t xml:space="preserve">, </w:t>
      </w:r>
      <w:r>
        <w:rPr>
          <w:rtl w:val="true"/>
        </w:rPr>
        <w:t>פנה המשיב למכּרו</w:t>
      </w:r>
      <w:r>
        <w:rPr>
          <w:rtl w:val="true"/>
        </w:rPr>
        <w:t xml:space="preserve">, </w:t>
      </w:r>
      <w:r>
        <w:rPr>
          <w:rtl w:val="true"/>
        </w:rPr>
        <w:t xml:space="preserve">קטין יליד שנת 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tl w:val="true"/>
        </w:rPr>
        <w:t xml:space="preserve">), </w:t>
      </w:r>
      <w:r>
        <w:rPr>
          <w:rtl w:val="true"/>
        </w:rPr>
        <w:t>וביקש ממנו שיכין עבורו מספר בקבוקי זכוכית ריקים</w:t>
      </w:r>
      <w:r>
        <w:rPr>
          <w:rtl w:val="true"/>
        </w:rPr>
        <w:t xml:space="preserve">, </w:t>
      </w:r>
      <w:r>
        <w:rPr>
          <w:rtl w:val="true"/>
        </w:rPr>
        <w:t>לצורך הכנת בקבוקי תבערה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שלח הקטין למשיב תמונה של שבעה בקבוקי זכוכית ריקים</w:t>
      </w:r>
      <w:r>
        <w:rPr>
          <w:rtl w:val="true"/>
        </w:rPr>
        <w:t xml:space="preserve">, </w:t>
      </w:r>
      <w:r>
        <w:rPr>
          <w:rtl w:val="true"/>
        </w:rPr>
        <w:t>שהכין לבקשת המשיב</w:t>
      </w:r>
      <w:r>
        <w:rPr>
          <w:rtl w:val="true"/>
        </w:rPr>
        <w:t xml:space="preserve">. </w:t>
      </w:r>
      <w:r>
        <w:rPr>
          <w:rtl w:val="true"/>
        </w:rPr>
        <w:t>בתגובה לתמונה זו</w:t>
      </w:r>
      <w:r>
        <w:rPr>
          <w:rtl w:val="true"/>
        </w:rPr>
        <w:t xml:space="preserve">, </w:t>
      </w:r>
      <w:r>
        <w:rPr>
          <w:rtl w:val="true"/>
        </w:rPr>
        <w:t>כתב המשיב לקטין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נשבע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באללה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רוצה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לשרוף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ניידת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היום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נסעו המשיב והקטין לתחנת דלק</w:t>
      </w:r>
      <w:r>
        <w:rPr>
          <w:rtl w:val="true"/>
        </w:rPr>
        <w:t xml:space="preserve">, </w:t>
      </w:r>
      <w:r>
        <w:rPr>
          <w:rtl w:val="true"/>
        </w:rPr>
        <w:t xml:space="preserve">שם מילא המשיב דלק בבקבוק פלסטיק בנפח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ליטר</w:t>
      </w:r>
      <w:r>
        <w:rPr>
          <w:rtl w:val="true"/>
        </w:rPr>
        <w:t xml:space="preserve">, </w:t>
      </w:r>
      <w:r>
        <w:rPr>
          <w:rtl w:val="true"/>
        </w:rPr>
        <w:t>לצורך הכנת בקבוקי התבערה</w:t>
      </w:r>
      <w:r>
        <w:rPr>
          <w:rtl w:val="true"/>
        </w:rPr>
        <w:t xml:space="preserve">. </w:t>
      </w:r>
      <w:r>
        <w:rPr>
          <w:rtl w:val="true"/>
        </w:rPr>
        <w:t>לאחר שהקטין השיבוֹ לביתו</w:t>
      </w:r>
      <w:r>
        <w:rPr>
          <w:rtl w:val="true"/>
        </w:rPr>
        <w:t xml:space="preserve">, </w:t>
      </w:r>
      <w:r>
        <w:rPr>
          <w:rtl w:val="true"/>
        </w:rPr>
        <w:t xml:space="preserve">הכין המשיב בעצמו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בקבוקי תבערה</w:t>
      </w:r>
      <w:r>
        <w:rPr>
          <w:rtl w:val="true"/>
        </w:rPr>
        <w:t xml:space="preserve">. </w:t>
      </w:r>
      <w:r>
        <w:rPr>
          <w:rtl w:val="true"/>
        </w:rPr>
        <w:t>מאוחר יותר באותו ערב</w:t>
      </w:r>
      <w:r>
        <w:rPr>
          <w:rtl w:val="true"/>
        </w:rPr>
        <w:t xml:space="preserve">, </w:t>
      </w:r>
      <w:r>
        <w:rPr>
          <w:rtl w:val="true"/>
        </w:rPr>
        <w:t xml:space="preserve">החל מהשעה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נטל המשיב חלק בהתפרעות סמוך לכניסה לכפר מכר</w:t>
      </w:r>
      <w:r>
        <w:rPr>
          <w:rtl w:val="true"/>
        </w:rPr>
        <w:t xml:space="preserve">, </w:t>
      </w:r>
      <w:r>
        <w:rPr>
          <w:rtl w:val="true"/>
        </w:rPr>
        <w:t>משך כשעה וחצי</w:t>
      </w:r>
      <w:r>
        <w:rPr>
          <w:rtl w:val="true"/>
        </w:rPr>
        <w:t xml:space="preserve">. </w:t>
      </w:r>
      <w:r>
        <w:rPr>
          <w:rtl w:val="true"/>
        </w:rPr>
        <w:t>בקבוקי התבערה שהכין הובאו למקום על</w:t>
      </w:r>
      <w:r>
        <w:rPr>
          <w:rtl w:val="true"/>
        </w:rPr>
        <w:t>-</w:t>
      </w:r>
      <w:r>
        <w:rPr>
          <w:rtl w:val="true"/>
        </w:rPr>
        <w:t>ידי אחר</w:t>
      </w:r>
      <w:r>
        <w:rPr>
          <w:rtl w:val="true"/>
        </w:rPr>
        <w:t xml:space="preserve">. </w:t>
      </w:r>
      <w:r>
        <w:rPr>
          <w:rtl w:val="true"/>
        </w:rPr>
        <w:t>במהלך ההתפרעות</w:t>
      </w:r>
      <w:r>
        <w:rPr>
          <w:rtl w:val="true"/>
        </w:rPr>
        <w:t xml:space="preserve">, </w:t>
      </w:r>
      <w:r>
        <w:rPr>
          <w:rtl w:val="true"/>
        </w:rPr>
        <w:t>חסמו המתפרעים את המקום</w:t>
      </w:r>
      <w:r>
        <w:rPr>
          <w:rtl w:val="true"/>
        </w:rPr>
        <w:t xml:space="preserve">, </w:t>
      </w:r>
      <w:r>
        <w:rPr>
          <w:rtl w:val="true"/>
        </w:rPr>
        <w:t>ידו אבנים אל עבר השוטרים שפעלו שם</w:t>
      </w:r>
      <w:r>
        <w:rPr>
          <w:rtl w:val="true"/>
        </w:rPr>
        <w:t xml:space="preserve">, </w:t>
      </w:r>
      <w:r>
        <w:rPr>
          <w:rtl w:val="true"/>
        </w:rPr>
        <w:t>ואף ירו לעברם זיקוקים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השליך המשיב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בקבוקי תבערה</w:t>
      </w:r>
      <w:r>
        <w:rPr>
          <w:rtl w:val="true"/>
        </w:rPr>
        <w:t xml:space="preserve">, </w:t>
      </w:r>
      <w:r>
        <w:rPr>
          <w:rtl w:val="true"/>
        </w:rPr>
        <w:t>שכאמור הכין מבעוד מועד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לעבר צמיג שהיה מונח על הכביש</w:t>
      </w:r>
      <w:r>
        <w:rPr>
          <w:rtl w:val="true"/>
        </w:rPr>
        <w:t xml:space="preserve">, </w:t>
      </w:r>
      <w:r>
        <w:rPr>
          <w:rtl w:val="true"/>
        </w:rPr>
        <w:t>וגרם בכך להדלקתו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לעבר פלטת עץ במקום</w:t>
      </w:r>
      <w:r>
        <w:rPr>
          <w:rtl w:val="true"/>
        </w:rPr>
        <w:t xml:space="preserve">, </w:t>
      </w:r>
      <w:r>
        <w:rPr>
          <w:rtl w:val="true"/>
        </w:rPr>
        <w:t>אשר נדלקה גם היא כתוצאה מכך</w:t>
      </w:r>
      <w:r>
        <w:rPr>
          <w:rtl w:val="true"/>
        </w:rPr>
        <w:t xml:space="preserve">;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לעבר צמחיה בצד הכביש</w:t>
      </w:r>
      <w:r>
        <w:rPr>
          <w:rtl w:val="true"/>
        </w:rPr>
        <w:t xml:space="preserve">, </w:t>
      </w:r>
      <w:r>
        <w:rPr>
          <w:rtl w:val="true"/>
        </w:rPr>
        <w:t>וכך נוצר מוקד ב</w:t>
      </w:r>
      <w:r>
        <w:rPr>
          <w:rtl w:val="true"/>
        </w:rPr>
        <w:t>ּ</w:t>
      </w:r>
      <w:r>
        <w:rPr>
          <w:rtl w:val="true"/>
        </w:rPr>
        <w:t>ע</w:t>
      </w:r>
      <w:r>
        <w:rPr>
          <w:rtl w:val="true"/>
        </w:rPr>
        <w:t>ֵ</w:t>
      </w:r>
      <w:r>
        <w:rPr>
          <w:rtl w:val="true"/>
        </w:rPr>
        <w:t>רה קטן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ידה מספר אבנים לעבר שוטרים</w:t>
      </w:r>
      <w:r>
        <w:rPr>
          <w:rtl w:val="true"/>
        </w:rPr>
        <w:t xml:space="preserve">, </w:t>
      </w:r>
      <w:r>
        <w:rPr>
          <w:rtl w:val="true"/>
        </w:rPr>
        <w:t>ממרחק עשרות מטרים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13.5.2021</w:t>
      </w:r>
      <w:r>
        <w:rPr>
          <w:rtl w:val="true"/>
        </w:rPr>
        <w:t xml:space="preserve">, </w:t>
      </w:r>
      <w:r>
        <w:rPr>
          <w:rtl w:val="true"/>
        </w:rPr>
        <w:t xml:space="preserve">החל מהשעה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ובעודו רעול פנים</w:t>
      </w:r>
      <w:r>
        <w:rPr>
          <w:rtl w:val="true"/>
        </w:rPr>
        <w:t xml:space="preserve">, </w:t>
      </w:r>
      <w:r>
        <w:rPr>
          <w:rtl w:val="true"/>
        </w:rPr>
        <w:t>השתתף המשיב בהתפרעות נוספת</w:t>
      </w:r>
      <w:r>
        <w:rPr>
          <w:rtl w:val="true"/>
        </w:rPr>
        <w:t xml:space="preserve">, </w:t>
      </w:r>
      <w:r>
        <w:rPr>
          <w:rtl w:val="true"/>
        </w:rPr>
        <w:t>שהתרחשה בסמוך לכניסה לכפר 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 xml:space="preserve">. </w:t>
      </w:r>
      <w:r>
        <w:rPr>
          <w:rtl w:val="true"/>
        </w:rPr>
        <w:t>במסגרת התפרעות זו</w:t>
      </w:r>
      <w:r>
        <w:rPr>
          <w:rtl w:val="true"/>
        </w:rPr>
        <w:t xml:space="preserve">, </w:t>
      </w:r>
      <w:r>
        <w:rPr>
          <w:rtl w:val="true"/>
        </w:rPr>
        <w:t>חסמו המתפרעים את הכביש</w:t>
      </w:r>
      <w:r>
        <w:rPr>
          <w:rtl w:val="true"/>
        </w:rPr>
        <w:t xml:space="preserve">, </w:t>
      </w:r>
      <w:r>
        <w:rPr>
          <w:rtl w:val="true"/>
        </w:rPr>
        <w:t>וידו אבנים ובקבוקי תבערה אל עבר השוטרים שפעלו במקום</w:t>
      </w:r>
      <w:r>
        <w:rPr>
          <w:rtl w:val="true"/>
        </w:rPr>
        <w:t xml:space="preserve">. </w:t>
      </w:r>
      <w:r>
        <w:rPr>
          <w:rtl w:val="true"/>
        </w:rPr>
        <w:t>חלק מהמשתתפים אף ירו לעבר השוטרים – הן זיקוקים</w:t>
      </w:r>
      <w:r>
        <w:rPr>
          <w:rtl w:val="true"/>
        </w:rPr>
        <w:t xml:space="preserve">, </w:t>
      </w:r>
      <w:r>
        <w:rPr>
          <w:rtl w:val="true"/>
        </w:rPr>
        <w:t>הן בנשק חם</w:t>
      </w:r>
      <w:r>
        <w:rPr>
          <w:rtl w:val="true"/>
        </w:rPr>
        <w:t xml:space="preserve">. </w:t>
      </w:r>
      <w:r>
        <w:rPr>
          <w:rtl w:val="true"/>
        </w:rPr>
        <w:t>במהלך ההתפרעות</w:t>
      </w:r>
      <w:r>
        <w:rPr>
          <w:rtl w:val="true"/>
        </w:rPr>
        <w:t xml:space="preserve">, </w:t>
      </w:r>
      <w:r>
        <w:rPr>
          <w:rtl w:val="true"/>
        </w:rPr>
        <w:t>ידה המשיב מספר אבנים אל עבר השוטרים</w:t>
      </w:r>
      <w:r>
        <w:rPr>
          <w:rtl w:val="true"/>
        </w:rPr>
        <w:t xml:space="preserve">, </w:t>
      </w:r>
      <w:r>
        <w:rPr>
          <w:rtl w:val="true"/>
        </w:rPr>
        <w:t>ממרחק של עשרות מטרים</w:t>
      </w:r>
      <w:r>
        <w:rPr>
          <w:rtl w:val="true"/>
        </w:rPr>
        <w:t xml:space="preserve">, </w:t>
      </w:r>
      <w:r>
        <w:rPr>
          <w:rtl w:val="true"/>
        </w:rPr>
        <w:t>וביצע ירי זיקוקים מעליהם</w:t>
      </w:r>
      <w:r>
        <w:rPr>
          <w:rtl w:val="true"/>
        </w:rPr>
        <w:t xml:space="preserve">. </w:t>
      </w:r>
      <w:r>
        <w:rPr>
          <w:rtl w:val="true"/>
        </w:rPr>
        <w:t>במטרה לפזר את ההתקהלות</w:t>
      </w:r>
      <w:r>
        <w:rPr>
          <w:rtl w:val="true"/>
        </w:rPr>
        <w:t xml:space="preserve">, </w:t>
      </w:r>
      <w:r>
        <w:rPr>
          <w:rtl w:val="true"/>
        </w:rPr>
        <w:t>עשו השוטרים שימוש באמצעים לפיזור הפגנות</w:t>
      </w:r>
      <w:r>
        <w:rPr>
          <w:rtl w:val="true"/>
        </w:rPr>
        <w:t xml:space="preserve">, </w:t>
      </w:r>
      <w:r>
        <w:rPr>
          <w:rtl w:val="true"/>
        </w:rPr>
        <w:t>וכתוצאה מכך</w:t>
      </w:r>
      <w:r>
        <w:rPr>
          <w:rtl w:val="true"/>
        </w:rPr>
        <w:t xml:space="preserve">, </w:t>
      </w:r>
      <w:r>
        <w:rPr>
          <w:rtl w:val="true"/>
        </w:rPr>
        <w:t>נפגע המשיב ברגלו מירי כדור ספוג</w:t>
      </w:r>
      <w:r>
        <w:rPr>
          <w:rtl w:val="true"/>
        </w:rPr>
        <w:t xml:space="preserve">, </w:t>
      </w:r>
      <w:r>
        <w:rPr>
          <w:rtl w:val="true"/>
        </w:rPr>
        <w:t>ופונה על</w:t>
      </w:r>
      <w:r>
        <w:rPr>
          <w:rtl w:val="true"/>
        </w:rPr>
        <w:t>-</w:t>
      </w:r>
      <w:r>
        <w:rPr>
          <w:rtl w:val="true"/>
        </w:rPr>
        <w:t>ידי אדם שנכח במקום</w:t>
      </w:r>
      <w:r>
        <w:rPr>
          <w:rtl w:val="true"/>
        </w:rPr>
        <w:t xml:space="preserve">. </w:t>
      </w:r>
      <w:r>
        <w:rPr>
          <w:rtl w:val="true"/>
        </w:rPr>
        <w:t>במהלך פינויו</w:t>
      </w:r>
      <w:r>
        <w:rPr>
          <w:rtl w:val="true"/>
        </w:rPr>
        <w:t xml:space="preserve">, </w:t>
      </w:r>
      <w:r>
        <w:rPr>
          <w:rtl w:val="true"/>
        </w:rPr>
        <w:t>ביקש מאותו אדם לצלמו</w:t>
      </w:r>
      <w:r>
        <w:rPr>
          <w:rtl w:val="true"/>
        </w:rPr>
        <w:t xml:space="preserve">, </w:t>
      </w:r>
      <w:r>
        <w:rPr>
          <w:rtl w:val="true"/>
        </w:rPr>
        <w:t xml:space="preserve">ובמהלך צילום הסרטון אמר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נפצעתי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ברגלי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אקצא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>בגין המעשים שתוארו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הואשם המשיב בשלוש עבירות של התפרעות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שלוש עבירות של הפרעה לשוטר בשעת מילוי תפקידו בנסיבות מחמירות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שתי עבירות של מעשה פזיזות ורשלנות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יצור נשק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והחזקת נשק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14.9.2021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 המשיב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הודאתו בעבירות שיוחסו לו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textAlignment w:val="auto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ב</w:t>
      </w:r>
      <w:r>
        <w:rPr>
          <w:rtl w:val="true"/>
        </w:rPr>
        <w:t xml:space="preserve">יום </w:t>
      </w:r>
      <w:r>
        <w:rPr/>
        <w:t>2.12.2021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דינו של המשיב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קבע בית המשפט מתחם ענישה אחד לעבירות כולן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דומה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לצורך קביעת המתחם</w:t>
      </w:r>
      <w:r>
        <w:rPr>
          <w:rtl w:val="true"/>
        </w:rPr>
        <w:t xml:space="preserve">, </w:t>
      </w:r>
      <w:r>
        <w:rPr>
          <w:rtl w:val="true"/>
        </w:rPr>
        <w:t>בחן בית המשפט המחוזי את הערכים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את מידת הפגיעה בהם</w:t>
      </w:r>
      <w:r>
        <w:rPr>
          <w:rtl w:val="true"/>
        </w:rPr>
        <w:t xml:space="preserve">, </w:t>
      </w:r>
      <w:r>
        <w:rPr>
          <w:rtl w:val="true"/>
        </w:rPr>
        <w:t>ואת הנסיבות הנוגעות לביצוע העבירות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ניתן משקל לכך שמידת הפגיעה באינטרס החברתי של שלום הציבור וביטחונו הינה</w:t>
      </w:r>
      <w:r>
        <w:rPr>
          <w:rtl w:val="true"/>
        </w:rPr>
        <w:t xml:space="preserve">, </w:t>
      </w:r>
      <w:r>
        <w:rPr>
          <w:rtl w:val="true"/>
        </w:rPr>
        <w:t>כך בית המשפט המחוזי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הבינוני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Fonts w:ascii="Century" w:hAnsi="Century" w:cs="Century"/>
          <w:sz w:val="22"/>
          <w:sz w:val="22"/>
          <w:rtl w:val="true"/>
        </w:rPr>
        <w:t>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והדגישה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מרתיעה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במקרי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נציגי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ומשנה תוקף לדבר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שהמהומות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במפירי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לא ייחס לחוות הדעת של שירות המבחן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וציין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מתיישבת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המיידית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לאחר ששקל את מכלול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ההולם על </w:t>
      </w:r>
      <w:r>
        <w:rPr/>
        <w:t>48-22</w:t>
      </w:r>
      <w:r>
        <w:rPr>
          <w:rtl w:val="true"/>
        </w:rPr>
        <w:t xml:space="preserve"> </w:t>
      </w:r>
      <w:r>
        <w:rPr>
          <w:rtl w:val="true"/>
        </w:rPr>
        <w:t>חודשי מאסר בפוע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משנקבע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אין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המבססת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מהמתחם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שפורטו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ופנה לגזור את עונשו של המשיב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ניתן משקל 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צינתור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2012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ניתן משקל לכך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ההתפרעויות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שהשתתפו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דחה אמנם את טענת המשיב לאכיפה בררנית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לאחר שקבע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לפקפק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בשיקוליה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העותרת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ופסולה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וההגינות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לצד זאת קבע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בררנית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יש לתת לו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במכלול השיקולים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החליט בית המשפט המחוזי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מסויימת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ולהעמידו על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וקנס בסך של </w:t>
      </w:r>
      <w:r>
        <w:rPr>
          <w:rFonts w:cs="Century" w:ascii="Century" w:hAnsi="Century"/>
          <w:sz w:val="22"/>
        </w:rPr>
        <w:t>15,000</w:t>
      </w:r>
      <w:r>
        <w:rPr>
          <w:rFonts w:cs="Century" w:ascii="Century" w:hAnsi="Century"/>
          <w:sz w:val="22"/>
          <w:rtl w:val="true"/>
        </w:rPr>
        <w:t xml:space="preserve"> ₪.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המערערת מבקשת להחמיר בעונשו של המשיב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לא נתן משקל מספק 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מדוקדקים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שנטועה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התפרעות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הפוטנציאלי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אידאולוגי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שלגביהם נקבע בפסיקה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נסוגים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מתאפיינים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טוענת המערערת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 שגה בית המשפט המחוזי בכך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שבקבוקי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הושלכו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ממרחק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למרות שלשיטתה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פוחתת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הפוטנציאלי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ההתפרעות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זאת על אף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והמשטרה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שבו כאמור נקבע כי המשיב אינו נוטל אחריות למעשיו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המערערת מוסיפה וטוענת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למרות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מלאכותית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נוסף על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המערערת טוענת כי בית המשפט המחוזי שגה גם בכך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למרות שמצב זה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להשתתף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ובכך שנתן במסגרת גזירת העונש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שננקטו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השתתף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חרף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בתפיסת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המתפרעים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והעמדתם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לדידה של המערערת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מעשיו של המשיב מחייבים דווקא החמרה בעונשו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לנוכח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להרתיע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פוטנציאליים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מהשתתפות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 </w:t>
      </w:r>
      <w:r>
        <w:rPr>
          <w:rtl w:val="true"/>
        </w:rPr>
        <w:t xml:space="preserve"> 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טוען המשיב כי האכיפה הבררנית בעניינו – בולטת וניכרת לעין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למרות שהאירועים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תועדו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והופצו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ותמונות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ותמונות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מודיעין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התוצאה היא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יתרה מזאת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טוען המשיב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בסרטונים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שהופצו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שוטרים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עוצרים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שוחררו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וכן כי למרות שהקטין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הבקבוקים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והתלוות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לתחנת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לא נעצר ולא הועמד לדין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לנוכח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לשיטת המשיב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העותרת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בררנית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וגלויה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ולכן יש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מתייחסים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שמיוחסות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ולחלופין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 המשיב שלנוכח מצבה הכלכלי של משפחתו</w:t>
      </w:r>
      <w:r>
        <w:rPr>
          <w:rtl w:val="true"/>
        </w:rPr>
        <w:t xml:space="preserve">, </w:t>
      </w:r>
      <w:r>
        <w:rPr>
          <w:rtl w:val="true"/>
        </w:rPr>
        <w:t>ומכיוון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ולכן לא העלה כל טענה במישור זה בשלב הטיעונים לעונש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מקום לבטל את החיוב בתשלום הקנס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לאחר שעיינתי בגזר הדין שניתן בבית המשפט המחוזי</w:t>
      </w:r>
      <w:r>
        <w:rPr>
          <w:rtl w:val="true"/>
        </w:rPr>
        <w:t xml:space="preserve">, </w:t>
      </w:r>
      <w:r>
        <w:rPr>
          <w:rtl w:val="true"/>
        </w:rPr>
        <w:t>בחנתי את נימוקי הערעורים</w:t>
      </w:r>
      <w:r>
        <w:rPr>
          <w:rtl w:val="true"/>
        </w:rPr>
        <w:t xml:space="preserve">, </w:t>
      </w:r>
      <w:r>
        <w:rPr>
          <w:rtl w:val="true"/>
        </w:rPr>
        <w:t>ושקלתי את טענות באי</w:t>
      </w:r>
      <w:r>
        <w:rPr>
          <w:rtl w:val="true"/>
        </w:rPr>
        <w:t>-</w:t>
      </w:r>
      <w:r>
        <w:rPr>
          <w:rtl w:val="true"/>
        </w:rPr>
        <w:t>כוח הצדדים בדיון לפנינו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ערעור המדינה – להתקבל</w:t>
      </w:r>
      <w:r>
        <w:rPr>
          <w:rtl w:val="true"/>
        </w:rPr>
        <w:t xml:space="preserve">, </w:t>
      </w:r>
      <w:r>
        <w:rPr>
          <w:rtl w:val="true"/>
        </w:rPr>
        <w:t>ודין ערעורו של המשיב – 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 ערכאת הערעור בגזר דין תתבצע במקרים חריגים בלבד</w:t>
      </w:r>
      <w:r>
        <w:rPr>
          <w:rtl w:val="true"/>
        </w:rPr>
        <w:t xml:space="preserve">, </w:t>
      </w:r>
      <w:r>
        <w:rPr>
          <w:rtl w:val="true"/>
        </w:rPr>
        <w:t>בהם נפלה טעות מהותית בהחלטת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או שנקבע עונש החורג באופן קיצוני ממדיניות הענישה הנוהגת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29.1.2009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6112/21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ליסיצין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2.5.2022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נפלה טעות מהותית</w:t>
      </w:r>
      <w:r>
        <w:rPr>
          <w:rtl w:val="true"/>
        </w:rPr>
        <w:t xml:space="preserve">, </w:t>
      </w:r>
      <w:r>
        <w:rPr>
          <w:rtl w:val="true"/>
        </w:rPr>
        <w:t>כזו המצדיקה החמרה בעונשו של המשיב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אין צורך להכביר במילים על כך שמעשיו של המשיב – חמורים ביותר</w:t>
      </w:r>
      <w:r>
        <w:rPr>
          <w:rtl w:val="true"/>
        </w:rPr>
        <w:t xml:space="preserve">.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 xml:space="preserve">עמד בית משפט זה 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יידוי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ועל 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13.7.2021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גם על חומרתן הרבה של עבירות התפרעות המונים עמד בית המשפט לא פעם ולא פעמיים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הן מציבות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וברכוש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ולכן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תרתיע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ותרסן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התפרעויות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לסחוף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24.2.2022</w:t>
      </w:r>
      <w:r>
        <w:rPr>
          <w:rtl w:val="true"/>
        </w:rPr>
        <w:t>)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);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5.12.2005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הדברים נכונים ביתר שאת במקרה כבענייננו</w:t>
      </w:r>
      <w:r>
        <w:rPr>
          <w:rtl w:val="true"/>
        </w:rPr>
        <w:t xml:space="preserve">, </w:t>
      </w:r>
      <w:r>
        <w:rPr>
          <w:rtl w:val="true"/>
        </w:rPr>
        <w:t>שכן מעשיו של המשיב – אשר פוטנציאל הנזק הטמון בהם עצום ורב – בוצעו לאחר תכנון מוקדם</w:t>
      </w:r>
      <w:r>
        <w:rPr>
          <w:rtl w:val="true"/>
        </w:rPr>
        <w:t xml:space="preserve">, </w:t>
      </w:r>
      <w:r>
        <w:rPr>
          <w:rtl w:val="true"/>
        </w:rPr>
        <w:t>ממניע אידאולוגי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tl w:val="true"/>
        </w:rPr>
        <w:t xml:space="preserve"> של ג</w:t>
      </w:r>
      <w:r>
        <w:rPr>
          <w:rtl w:val="true"/>
        </w:rPr>
        <w:t xml:space="preserve">ל הפרות סדר והתפרעויות אלימות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לנוכח העובדה שאין מדובר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בהרשעתו הראשונה של המשיב</w:t>
      </w:r>
      <w:r>
        <w:rPr>
          <w:rtl w:val="true"/>
        </w:rPr>
        <w:t xml:space="preserve">, </w:t>
      </w:r>
      <w:r>
        <w:rPr>
          <w:rtl w:val="true"/>
        </w:rPr>
        <w:t>וכן לנוכח התסקיר שהוגש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יש לתת משקל גם לשיקול הרתעת היחיד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 העונשין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7.3.2021</w:t>
      </w:r>
      <w:r>
        <w:rPr>
          <w:rtl w:val="true"/>
        </w:rPr>
        <w:t xml:space="preserve">, </w:t>
      </w:r>
      <w:r>
        <w:rPr>
          <w:rtl w:val="true"/>
        </w:rPr>
        <w:t>הרשיע בית משפט השלום בעכו את המשיב</w:t>
      </w:r>
      <w:r>
        <w:rPr>
          <w:rtl w:val="true"/>
        </w:rPr>
        <w:t xml:space="preserve">, </w:t>
      </w:r>
      <w:r>
        <w:rPr>
          <w:rtl w:val="true"/>
        </w:rPr>
        <w:t xml:space="preserve">בשני הליכים פליליים משנת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שצורפו יחדיו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33112-09-19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63233-11-19</w:t>
        </w:r>
      </w:hyperlink>
      <w:r>
        <w:rPr>
          <w:rtl w:val="true"/>
        </w:rPr>
        <w:t xml:space="preserve">), </w:t>
      </w:r>
      <w:r>
        <w:rPr>
          <w:rtl w:val="true"/>
        </w:rPr>
        <w:t>בעבירות של החזקת אגרופן או סכין שלא כדין</w:t>
      </w:r>
      <w:r>
        <w:rPr>
          <w:rtl w:val="true"/>
        </w:rPr>
        <w:t xml:space="preserve">; </w:t>
      </w:r>
      <w:r>
        <w:rPr>
          <w:rtl w:val="true"/>
        </w:rPr>
        <w:t>הפרעה לשוטר במילוי תפקידו</w:t>
      </w:r>
      <w:r>
        <w:rPr>
          <w:rtl w:val="true"/>
        </w:rPr>
        <w:t xml:space="preserve">; </w:t>
      </w:r>
      <w:r>
        <w:rPr>
          <w:rtl w:val="true"/>
        </w:rPr>
        <w:t>נהיגה ברכב שרישיונו פקע</w:t>
      </w:r>
      <w:r>
        <w:rPr>
          <w:rtl w:val="true"/>
        </w:rPr>
        <w:t xml:space="preserve">; </w:t>
      </w:r>
      <w:r>
        <w:rPr>
          <w:rtl w:val="true"/>
        </w:rPr>
        <w:t>נהיגה כשרישיון הנהיגה פקע</w:t>
      </w:r>
      <w:r>
        <w:rPr>
          <w:rtl w:val="true"/>
        </w:rPr>
        <w:t xml:space="preserve">; </w:t>
      </w:r>
      <w:r>
        <w:rPr>
          <w:rtl w:val="true"/>
        </w:rPr>
        <w:t>והיזק לרכוש במזיד</w:t>
      </w:r>
      <w:r>
        <w:rPr>
          <w:rtl w:val="true"/>
        </w:rPr>
        <w:t xml:space="preserve">. </w:t>
      </w:r>
      <w:r>
        <w:rPr>
          <w:rtl w:val="true"/>
        </w:rPr>
        <w:t>אדגי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כי בשני המקרים מדובר בהתנהגות אלימה שכוונה כלפי נציגי אכיפת החוק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גם אם אין לייחס לשיקול זה את מלוא החומרה – שכן במסגרת גזר הדין בתיקים המקבילים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24.4.2022</w:t>
      </w:r>
      <w:r>
        <w:rPr>
          <w:rtl w:val="true"/>
        </w:rPr>
        <w:t xml:space="preserve">, </w:t>
      </w:r>
      <w:r>
        <w:rPr>
          <w:rtl w:val="true"/>
        </w:rPr>
        <w:t>הביא בית משפט השלום בחשבון את הרשעתו של המשיב בתיק דנן – עדיין יש להביאו במכלול השיקולים</w:t>
      </w:r>
      <w:r>
        <w:rPr>
          <w:rtl w:val="true"/>
        </w:rPr>
        <w:t xml:space="preserve">. </w:t>
      </w:r>
      <w:r>
        <w:rPr>
          <w:rtl w:val="true"/>
        </w:rPr>
        <w:t>לזאת יש להוסיף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מהתסקיר אשר הוגש בעניינו של המשיב ביום </w:t>
      </w:r>
      <w:r>
        <w:rPr/>
        <w:t>1.11.2021</w:t>
      </w:r>
      <w:r>
        <w:rPr>
          <w:rtl w:val="true"/>
        </w:rPr>
        <w:t xml:space="preserve"> (</w:t>
      </w:r>
      <w:r>
        <w:rPr>
          <w:rtl w:val="true"/>
        </w:rPr>
        <w:t>תסקיר עדכני</w:t>
      </w:r>
      <w:r>
        <w:rPr>
          <w:rtl w:val="true"/>
        </w:rPr>
        <w:t xml:space="preserve">, </w:t>
      </w:r>
      <w:r>
        <w:rPr>
          <w:rtl w:val="true"/>
        </w:rPr>
        <w:t xml:space="preserve">שהוגש ביום </w:t>
      </w:r>
      <w:r>
        <w:rPr/>
        <w:t>10.5.2022</w:t>
      </w:r>
      <w:r>
        <w:rPr>
          <w:rtl w:val="true"/>
        </w:rPr>
        <w:t xml:space="preserve">, </w:t>
      </w:r>
      <w:r>
        <w:rPr>
          <w:rtl w:val="true"/>
        </w:rPr>
        <w:t>חזר על הדברים</w:t>
      </w:r>
      <w:r>
        <w:rPr>
          <w:rtl w:val="true"/>
        </w:rPr>
        <w:t xml:space="preserve">), </w:t>
      </w:r>
      <w:r>
        <w:rPr>
          <w:rtl w:val="true"/>
        </w:rPr>
        <w:t xml:space="preserve">עולה כי המשיב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מעמיקה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המסוכנות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נתונים אלה תומכים</w:t>
      </w:r>
      <w:r>
        <w:rPr>
          <w:rtl w:val="true"/>
        </w:rPr>
        <w:t xml:space="preserve"> בהחמרת הענישה</w:t>
      </w:r>
      <w:r>
        <w:rPr>
          <w:rtl w:val="true"/>
        </w:rPr>
        <w:t xml:space="preserve">, </w:t>
      </w:r>
      <w:r>
        <w:rPr>
          <w:rtl w:val="true"/>
        </w:rPr>
        <w:t>באופן שירתיע את המשיב</w:t>
      </w:r>
      <w:r>
        <w:rPr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מן המקובץ עד כה עולה</w:t>
      </w:r>
      <w:r>
        <w:rPr>
          <w:rtl w:val="true"/>
        </w:rPr>
        <w:t xml:space="preserve">, </w:t>
      </w:r>
      <w:r>
        <w:rPr>
          <w:rtl w:val="true"/>
        </w:rPr>
        <w:t>כי העונש שנגזר על המשיב אינו משקף את חומרת מעשיו</w:t>
      </w:r>
      <w:r>
        <w:rPr>
          <w:rtl w:val="true"/>
        </w:rPr>
        <w:t xml:space="preserve">, </w:t>
      </w:r>
      <w:r>
        <w:rPr>
          <w:rtl w:val="true"/>
        </w:rPr>
        <w:t xml:space="preserve">וכי יש לייחס משקל לשיקולי הרתעת הרבים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והרתעת היחיד</w:t>
      </w:r>
      <w:r>
        <w:rPr>
          <w:rtl w:val="true"/>
        </w:rPr>
        <w:t xml:space="preserve">, </w:t>
      </w:r>
      <w:r>
        <w:rPr>
          <w:rtl w:val="true"/>
        </w:rPr>
        <w:t>אשר לא הובאו בחשבון כל צרכם במסגרת גזר</w:t>
      </w:r>
      <w:r>
        <w:rPr>
          <w:rtl w:val="true"/>
        </w:rPr>
        <w:t>-</w:t>
      </w:r>
      <w:r>
        <w:rPr>
          <w:rtl w:val="true"/>
        </w:rPr>
        <w:t>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בחינת מדיניות הענישה הנוהגת מעלה כי העונש אשר נגזר על המשיב – קל באופן משמעותי מהעונש שנגזר במקרים דומים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28.12.2017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 xml:space="preserve">]; 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1806/17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29.5.2017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];</w:t>
      </w:r>
      <w:r>
        <w:rPr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4324/16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31.7.2016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19.10.2017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דומה כי בית המשפט המחוזי לא היה מוסמך לסטות לקולא ממתחם העונש שקבע בהתבסס על מצבו הרפואי של המשיב ומשפחתו</w:t>
      </w:r>
      <w:r>
        <w:rPr>
          <w:rtl w:val="true"/>
        </w:rPr>
        <w:t xml:space="preserve">, </w:t>
      </w:r>
      <w:r>
        <w:rPr>
          <w:rtl w:val="true"/>
        </w:rPr>
        <w:t>כמו גם על העובדה שהמשיב הוא היחיד שהועמד לדין</w:t>
      </w:r>
      <w:r>
        <w:rPr>
          <w:rtl w:val="true"/>
        </w:rPr>
        <w:t xml:space="preserve">, </w:t>
      </w:r>
      <w:r>
        <w:rPr>
          <w:rtl w:val="true"/>
        </w:rPr>
        <w:t>מבין קהל המתפרעים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הדין הנוהג מתיר</w:t>
      </w:r>
      <w:r>
        <w:rPr>
          <w:rtl w:val="true"/>
        </w:rPr>
        <w:t xml:space="preserve"> סטייה כזו</w:t>
      </w:r>
      <w:r>
        <w:rPr>
          <w:rtl w:val="true"/>
        </w:rPr>
        <w:t xml:space="preserve"> רק משיקולי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או במקרים חריגים שבחריגים</w:t>
      </w:r>
      <w:r>
        <w:rPr>
          <w:rtl w:val="true"/>
        </w:rPr>
        <w:t xml:space="preserve">, </w:t>
      </w:r>
      <w:r>
        <w:rPr>
          <w:rtl w:val="true"/>
        </w:rPr>
        <w:t>מטעמי צדק מיוחדים</w:t>
      </w:r>
      <w:r>
        <w:rPr>
          <w:rtl w:val="true"/>
        </w:rPr>
        <w:t xml:space="preserve">, </w:t>
      </w:r>
      <w:r>
        <w:rPr>
          <w:rtl w:val="true"/>
        </w:rPr>
        <w:t xml:space="preserve">תוך איזון בינם </w:t>
      </w:r>
      <w:r>
        <w:rPr>
          <w:rFonts w:ascii="Century" w:hAnsi="Century" w:cs="Century"/>
          <w:sz w:val="22"/>
          <w:sz w:val="22"/>
          <w:rtl w:val="true"/>
        </w:rPr>
        <w:t xml:space="preserve">לבין חומרת המעשים בהם הורשע הנאשם </w:t>
      </w:r>
      <w:r>
        <w:rPr>
          <w:rFonts w:cs="Century" w:ascii="Century" w:hAnsi="Century"/>
          <w:sz w:val="22"/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5669/14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29.12.2015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טעמי הצדק המיוחדים </w:t>
      </w:r>
      <w:r>
        <w:rPr>
          <w:rtl w:val="true"/>
        </w:rPr>
        <w:t>–</w:t>
      </w:r>
      <w:r>
        <w:rPr>
          <w:rtl w:val="true"/>
        </w:rPr>
        <w:t xml:space="preserve"> לא בוססו די הצורך</w:t>
      </w:r>
      <w:r>
        <w:rPr>
          <w:rtl w:val="true"/>
        </w:rPr>
        <w:t xml:space="preserve">; </w:t>
      </w:r>
      <w:r>
        <w:rPr>
          <w:rtl w:val="true"/>
        </w:rPr>
        <w:t xml:space="preserve">איזון כנדרש </w:t>
      </w:r>
      <w:r>
        <w:rPr>
          <w:rtl w:val="true"/>
        </w:rPr>
        <w:t>–</w:t>
      </w:r>
      <w:r>
        <w:rPr>
          <w:rtl w:val="true"/>
        </w:rPr>
        <w:t xml:space="preserve"> לא התבצע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 לגופם של דברים</w:t>
      </w:r>
      <w:r>
        <w:rPr>
          <w:rtl w:val="true"/>
        </w:rPr>
        <w:t xml:space="preserve">, </w:t>
      </w:r>
      <w:r>
        <w:rPr>
          <w:rtl w:val="true"/>
        </w:rPr>
        <w:t>לא מצאתי כי יש בנסיבות האמורות כדי להצדיק הקלה בעונשו של המשיב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שציינה המערערת בהודעת הערעור</w:t>
      </w:r>
      <w:r>
        <w:rPr>
          <w:rtl w:val="true"/>
        </w:rPr>
        <w:t xml:space="preserve">, </w:t>
      </w:r>
      <w:r>
        <w:rPr>
          <w:rtl w:val="true"/>
        </w:rPr>
        <w:t>נוכח העובדה שכוחו של המשיב עמד לו להשתתף בהתפרעויות האמורות במשך שלושה ערבים ברציפות – ברי כי מצבו הבריאותי</w:t>
      </w:r>
      <w:r>
        <w:rPr>
          <w:rtl w:val="true"/>
        </w:rPr>
        <w:t xml:space="preserve">, </w:t>
      </w:r>
      <w:r>
        <w:rPr>
          <w:rtl w:val="true"/>
        </w:rPr>
        <w:t>שמקורו באירוע לב אשר התרחש לפני כ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אינו מהווה שיקול המצדיק הקלה בעונש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משעה שנקבע כי אין מדובר במקרה של אכיפה בררנית</w:t>
      </w:r>
      <w:r>
        <w:rPr>
          <w:rtl w:val="true"/>
        </w:rPr>
        <w:t xml:space="preserve">, </w:t>
      </w:r>
      <w:r>
        <w:rPr>
          <w:rtl w:val="true"/>
        </w:rPr>
        <w:t>ואף צוין כי לא נפל פסול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 xml:space="preserve">בהחלטת המערערת להעמיד את המשיב לדין – לא ניתן היה להתבסס 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3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9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כשיקול להקלה בע</w:t>
      </w:r>
      <w:r>
        <w:rPr>
          <w:rtl w:val="true"/>
        </w:rPr>
        <w:t>ונש</w:t>
      </w:r>
      <w:r>
        <w:rPr>
          <w:rtl w:val="true"/>
        </w:rPr>
        <w:t xml:space="preserve">, </w:t>
      </w:r>
      <w:r>
        <w:rPr>
          <w:rtl w:val="true"/>
        </w:rPr>
        <w:t>כפי שקבע בית משפט המחוזי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יתכנו מקרים בהם טענת אכיפה בררנית לא תשמש לביטול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והסעד שיינתן בגינה יהיה הקלה בעונש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4.7.2011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 xml:space="preserve">]);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במקרים מסוג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16.1.2019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דע עקא – כזאת לא הוכח בענייננו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בנוגע לטענת המשיב בדבר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בררנית</w:t>
      </w:r>
      <w:r>
        <w:rPr>
          <w:rtl w:val="true"/>
        </w:rPr>
        <w:t xml:space="preserve"> – כאמור</w:t>
      </w:r>
      <w:r>
        <w:rPr>
          <w:rtl w:val="true"/>
        </w:rPr>
        <w:t xml:space="preserve">, </w:t>
      </w:r>
      <w:r>
        <w:rPr>
          <w:rtl w:val="true"/>
        </w:rPr>
        <w:t>על מנת לבסס טענת אכיפה בררנית</w:t>
      </w:r>
      <w:r>
        <w:rPr>
          <w:rtl w:val="true"/>
        </w:rPr>
        <w:t xml:space="preserve">, </w:t>
      </w:r>
      <w:r>
        <w:rPr>
          <w:rtl w:val="true"/>
        </w:rPr>
        <w:t xml:space="preserve">יש להוכיח כי ניתן יחס שונה לנאשמים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בתגובת המערערת מיום </w:t>
      </w:r>
      <w:r>
        <w:rPr>
          <w:rFonts w:cs="Century" w:ascii="Century" w:hAnsi="Century"/>
          <w:sz w:val="22"/>
        </w:rPr>
        <w:t>14.11.2021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לבקשת המשיב לביטול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נטען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הגישה המערערת כתבי אישום נגד אחרים שהשתתפו בהתפרעות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 xml:space="preserve">כי פערים במסד הראייתי הריהם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רלוונטית</w:t>
      </w:r>
      <w:r>
        <w:rPr>
          <w:rFonts w:ascii="Century" w:hAnsi="Century" w:cs="Century"/>
          <w:sz w:val="22"/>
          <w:sz w:val="22"/>
          <w:rtl w:val="true"/>
        </w:rPr>
        <w:t xml:space="preserve"> לגבי הגשת כתבי אישום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המשיב מצדו יכול היה להביא ראיות על מנת לסתור את טענת המערערת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טענותיו בנוגע לקיומן של ראיות מספקות כנגד אחרים – נטענו בעלמא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ובוודאי שאינן עומדות בנטל הראייתי הנדרש להפרכת חזקת חוקיות המינהל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כנדרש במקרים מסוג זה </w:t>
      </w:r>
      <w:r>
        <w:rPr>
          <w:rFonts w:cs="Century" w:ascii="Century" w:hAnsi="Century"/>
          <w:sz w:val="22"/>
          <w:rtl w:val="true"/>
        </w:rPr>
        <w:t>(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8551/11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סלכגי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22-20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12.8.2012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 xml:space="preserve">]).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דינה של טענה זו – להידחות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גם את טענתו של המשיב 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ולכן לא הועלו טענות מצדו בעניין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בידי לקבל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המקור לטענה זו של המשיב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בכך שהמערערת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לי אלא להפנות לדברי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המערערת בפרוטוקול דיון הטיעונים לעונש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14.11.2021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עותרים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טענה זו נדחית אפוא</w:t>
      </w:r>
      <w:r>
        <w:rPr>
          <w:rFonts w:cs="Century" w:ascii="Century" w:hAnsi="Century"/>
          <w:sz w:val="22"/>
          <w:rtl w:val="true"/>
        </w:rPr>
        <w:t xml:space="preserve">. 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בשולי הדברים אציין</w:t>
      </w:r>
      <w:r>
        <w:rPr>
          <w:rtl w:val="true"/>
        </w:rPr>
        <w:t xml:space="preserve">, </w:t>
      </w:r>
      <w:r>
        <w:rPr>
          <w:rtl w:val="true"/>
        </w:rPr>
        <w:t>כי מהנימוקים שהוסיף המשיב לכתב הערעור</w:t>
      </w:r>
      <w:r>
        <w:rPr>
          <w:rtl w:val="true"/>
        </w:rPr>
        <w:t xml:space="preserve">, </w:t>
      </w:r>
      <w:r>
        <w:rPr>
          <w:rtl w:val="true"/>
        </w:rPr>
        <w:t>וכן מדברי בא</w:t>
      </w:r>
      <w:r>
        <w:rPr>
          <w:rtl w:val="true"/>
        </w:rPr>
        <w:t>-</w:t>
      </w:r>
      <w:r>
        <w:rPr>
          <w:rtl w:val="true"/>
        </w:rPr>
        <w:t>כוחו 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נראה כי בדיון שהתקיים ביום </w:t>
      </w:r>
      <w:r>
        <w:rPr/>
        <w:t>9.9.2021</w:t>
      </w:r>
      <w:r>
        <w:rPr>
          <w:rtl w:val="true"/>
        </w:rPr>
        <w:t xml:space="preserve">, </w:t>
      </w:r>
      <w:r>
        <w:rPr>
          <w:rtl w:val="true"/>
        </w:rPr>
        <w:t>קיבל בא</w:t>
      </w:r>
      <w:r>
        <w:rPr>
          <w:rtl w:val="true"/>
        </w:rPr>
        <w:t>-</w:t>
      </w:r>
      <w:r>
        <w:rPr>
          <w:rtl w:val="true"/>
        </w:rPr>
        <w:t>כוח המשיב את הרושם</w:t>
      </w:r>
      <w:r>
        <w:rPr>
          <w:rtl w:val="true"/>
        </w:rPr>
        <w:t xml:space="preserve">, </w:t>
      </w:r>
      <w:r>
        <w:rPr>
          <w:rtl w:val="true"/>
        </w:rPr>
        <w:t>מהדברים שנאמרו בבית המשפט המחוזי בהקשר להסדר הטיעון שהתגבש בין הצדדים</w:t>
      </w:r>
      <w:r>
        <w:rPr>
          <w:rtl w:val="true"/>
        </w:rPr>
        <w:t xml:space="preserve">, </w:t>
      </w:r>
      <w:r>
        <w:rPr>
          <w:rtl w:val="true"/>
        </w:rPr>
        <w:t>כי עונשו לא יעמוד על יותר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נקודת המוצא לבירור הדברים שנאמרו במהלך הדיון בבית המשפט המחוזי</w:t>
      </w:r>
      <w:r>
        <w:rPr>
          <w:rtl w:val="true"/>
        </w:rPr>
        <w:t xml:space="preserve">, </w:t>
      </w:r>
      <w:r>
        <w:rPr>
          <w:rtl w:val="true"/>
        </w:rPr>
        <w:t>היא הכתוב בפרוטוקול הדיון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בהיעדר פרוטוקול</w:t>
      </w:r>
      <w:r>
        <w:rPr>
          <w:rtl w:val="true"/>
        </w:rPr>
        <w:t xml:space="preserve">, </w:t>
      </w:r>
      <w:r>
        <w:rPr>
          <w:rtl w:val="true"/>
        </w:rPr>
        <w:t>או אישור של המערערת לדברים אלה – אין בידי לקבל את הטענה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גם אם היה ממש בטענה</w:t>
      </w:r>
      <w:r>
        <w:rPr>
          <w:rtl w:val="true"/>
        </w:rPr>
        <w:t xml:space="preserve">, </w:t>
      </w:r>
      <w:r>
        <w:rPr>
          <w:rtl w:val="true"/>
        </w:rPr>
        <w:t>ורושם שכזה אכן התקבל</w:t>
      </w:r>
      <w:r>
        <w:rPr>
          <w:rtl w:val="true"/>
        </w:rPr>
        <w:t xml:space="preserve">, </w:t>
      </w:r>
      <w:r>
        <w:rPr>
          <w:rtl w:val="true"/>
        </w:rPr>
        <w:t>הרי שלנוכח התנהלות המשיב עצמו בהמשך ההליך</w:t>
      </w:r>
      <w:r>
        <w:rPr>
          <w:rtl w:val="true"/>
        </w:rPr>
        <w:t xml:space="preserve">, </w:t>
      </w:r>
      <w:r>
        <w:rPr>
          <w:rtl w:val="true"/>
        </w:rPr>
        <w:t xml:space="preserve">ממנה עולה כי לא ראה בחילופי הדברים בדיון זה </w:t>
      </w:r>
      <w:r>
        <w:rPr>
          <w:rtl w:val="true"/>
        </w:rPr>
        <w:t xml:space="preserve">בחינת </w:t>
      </w:r>
      <w:r>
        <w:rPr>
          <w:rtl w:val="true"/>
        </w:rPr>
        <w:t>'</w:t>
      </w:r>
      <w:r>
        <w:rPr>
          <w:rtl w:val="true"/>
        </w:rPr>
        <w:t>כזה ראה וקדש</w:t>
      </w:r>
      <w:r>
        <w:rPr>
          <w:rtl w:val="true"/>
        </w:rPr>
        <w:t xml:space="preserve">' – </w:t>
      </w:r>
      <w:r>
        <w:rPr>
          <w:rtl w:val="true"/>
        </w:rPr>
        <w:t>אין הצדקה להתחשב בה בגזירת עונשו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>כוח המשיב כי באותו דיון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9.9.2021</w:t>
      </w:r>
      <w:r>
        <w:rPr>
          <w:rtl w:val="true"/>
        </w:rPr>
        <w:t xml:space="preserve">, </w:t>
      </w:r>
      <w:r>
        <w:rPr>
          <w:rtl w:val="true"/>
        </w:rPr>
        <w:t>שבו כאמור נעשו ניסיונות לגבש הסכמה בנוגע להסדר הטיעון</w:t>
      </w:r>
      <w:r>
        <w:rPr>
          <w:rtl w:val="true"/>
        </w:rPr>
        <w:t xml:space="preserve">, </w:t>
      </w:r>
      <w:r>
        <w:rPr>
          <w:rtl w:val="true"/>
        </w:rPr>
        <w:t>ובין היתר הועלתה כביכול האפשרות להקל בעונשו של המשיב</w:t>
      </w:r>
      <w:r>
        <w:rPr>
          <w:rtl w:val="true"/>
        </w:rPr>
        <w:t xml:space="preserve">, </w:t>
      </w:r>
      <w:r>
        <w:rPr>
          <w:rtl w:val="true"/>
        </w:rPr>
        <w:t>התחייב ב</w:t>
      </w:r>
      <w:r>
        <w:rPr>
          <w:rtl w:val="true"/>
        </w:rPr>
        <w:t>"</w:t>
      </w:r>
      <w:r>
        <w:rPr>
          <w:rtl w:val="true"/>
        </w:rPr>
        <w:t>כ המשיב לוותר על הטענה לאכיפה בררנית</w:t>
      </w:r>
      <w:r>
        <w:rPr>
          <w:rtl w:val="true"/>
        </w:rPr>
        <w:t xml:space="preserve">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 xml:space="preserve">בדיון שהתקיים ביום </w:t>
      </w:r>
      <w:r>
        <w:rPr/>
        <w:t>14.11.2021</w:t>
      </w:r>
      <w:r>
        <w:rPr>
          <w:rtl w:val="true"/>
        </w:rPr>
        <w:t xml:space="preserve"> </w:t>
      </w:r>
      <w:r>
        <w:rPr>
          <w:rtl w:val="true"/>
        </w:rPr>
        <w:t>בבית המשפט המחוזי</w:t>
      </w:r>
      <w:r>
        <w:rPr>
          <w:rtl w:val="true"/>
        </w:rPr>
        <w:t xml:space="preserve">, </w:t>
      </w:r>
      <w:r>
        <w:rPr>
          <w:rtl w:val="true"/>
        </w:rPr>
        <w:t>העלה בא</w:t>
      </w:r>
      <w:r>
        <w:rPr>
          <w:rtl w:val="true"/>
        </w:rPr>
        <w:t>-</w:t>
      </w:r>
      <w:r>
        <w:rPr>
          <w:rtl w:val="true"/>
        </w:rPr>
        <w:t>כוח המשיב את הטענה – במלוא עוצמתה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בתשובתו לתגובת המשיבה לטענת האכיפה הבררנית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28.11.2021</w:t>
      </w:r>
      <w:r>
        <w:rPr>
          <w:rtl w:val="true"/>
        </w:rPr>
        <w:t xml:space="preserve">, </w:t>
      </w:r>
      <w:r>
        <w:rPr>
          <w:rtl w:val="true"/>
        </w:rPr>
        <w:t xml:space="preserve">טען המשיב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כממונים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נמנעו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המופנות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ההתחייבות להימנע מהעלאת הטענה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 ההסכמה הנטענת על הסדר הטיעון – לא הוזכרה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אוסיף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בדיון שהתקיים בעניין הטיעונים לעונש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טענה המערערת</w:t>
      </w:r>
      <w:r>
        <w:rPr>
          <w:rtl w:val="true"/>
        </w:rPr>
        <w:t xml:space="preserve"> למתחם ענישה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מינימלי</w:t>
      </w:r>
      <w:r>
        <w:rPr>
          <w:rtl w:val="true"/>
        </w:rPr>
        <w:t xml:space="preserve">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בגין האישום הראשון</w:t>
      </w:r>
      <w:r>
        <w:rPr>
          <w:rtl w:val="true"/>
        </w:rPr>
        <w:t xml:space="preserve">,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 בגין האישום השני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בגין האישום השלישי</w:t>
      </w:r>
      <w:r>
        <w:rPr>
          <w:rtl w:val="true"/>
        </w:rPr>
        <w:t xml:space="preserve">. </w:t>
      </w:r>
      <w:r>
        <w:rPr>
          <w:rtl w:val="true"/>
        </w:rPr>
        <w:t>המשיב מצדו</w:t>
      </w:r>
      <w:r>
        <w:rPr>
          <w:rtl w:val="true"/>
        </w:rPr>
        <w:t xml:space="preserve">, </w:t>
      </w:r>
      <w:r>
        <w:rPr>
          <w:rtl w:val="true"/>
        </w:rPr>
        <w:t>לא הזדעק</w:t>
      </w:r>
      <w:r>
        <w:rPr>
          <w:rtl w:val="true"/>
        </w:rPr>
        <w:t xml:space="preserve">, </w:t>
      </w:r>
      <w:r>
        <w:rPr>
          <w:rtl w:val="true"/>
        </w:rPr>
        <w:t xml:space="preserve">ולא טען כי הוסכם על ענישה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נמוכה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 xml:space="preserve">באותו דיון מיום </w:t>
      </w:r>
      <w:r>
        <w:rPr/>
        <w:t>9.9.2021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שהמשיב עצמו לא ראה עצמו כבול להסכמה כלשהי בעניין העונש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המשיב טען בעצמו למתחם ענישה נמוך מהעונש עליו כביכול הוסכם</w:t>
      </w:r>
      <w:r>
        <w:rPr>
          <w:rtl w:val="true"/>
        </w:rPr>
        <w:t xml:space="preserve">, </w:t>
      </w:r>
      <w:r>
        <w:rPr>
          <w:rtl w:val="true"/>
        </w:rPr>
        <w:t xml:space="preserve">וביקש לקבוע את המתחם על </w:t>
      </w:r>
      <w:r>
        <w:rPr/>
        <w:t>14-9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מן המקובץ עולה</w:t>
      </w:r>
      <w:r>
        <w:rPr>
          <w:rtl w:val="true"/>
        </w:rPr>
        <w:t xml:space="preserve">, </w:t>
      </w:r>
      <w:r>
        <w:rPr>
          <w:rtl w:val="true"/>
        </w:rPr>
        <w:t>כי המשיב לא הסתמך על ההסכמה הנטענת</w:t>
      </w:r>
      <w:r>
        <w:rPr>
          <w:rtl w:val="true"/>
        </w:rPr>
        <w:t xml:space="preserve">, </w:t>
      </w:r>
      <w:r>
        <w:rPr>
          <w:rtl w:val="true"/>
        </w:rPr>
        <w:t>ופעל בעצמו בניגוד אליה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מקום להתחשבות בו בעניין זה</w:t>
      </w:r>
      <w:r>
        <w:rPr>
          <w:rtl w:val="true"/>
        </w:rPr>
        <w:t xml:space="preserve">; </w:t>
      </w:r>
      <w:r>
        <w:rPr>
          <w:rtl w:val="true"/>
        </w:rPr>
        <w:t>לא על</w:t>
      </w:r>
      <w:r>
        <w:rPr>
          <w:rtl w:val="true"/>
        </w:rPr>
        <w:t>-</w:t>
      </w:r>
      <w:r>
        <w:rPr>
          <w:rtl w:val="true"/>
        </w:rPr>
        <w:t xml:space="preserve">פי </w:t>
      </w:r>
      <w:r>
        <w:rPr>
          <w:rtl w:val="true"/>
        </w:rPr>
        <w:t>שורת הדין ולא לפנים משורת הדין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בחילופי</w:t>
      </w:r>
      <w:r>
        <w:rPr>
          <w:rtl w:val="true"/>
        </w:rPr>
        <w:t>-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מבוררת</w:t>
      </w:r>
      <w:r>
        <w:rPr>
          <w:rtl w:val="true"/>
        </w:rPr>
        <w:t xml:space="preserve">,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textAlignment w:val="auto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ובהתחשב בכלל שלפיו ערכאת הערעור אינה ממצה את מלוא חומרת הדין בבואה להחמיר בעונשו של נאשם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14.8.2019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])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יש להוסיף </w:t>
      </w:r>
      <w:r>
        <w:rPr/>
        <w:t>1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 מאסר בפועל לעונשו של המשיב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לקבל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ולהעמיד את תקופת המאסר הכוללת על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שאר רכיבי גזר הדין יעמדו בעינם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 </w:t>
      </w:r>
    </w:p>
    <w:tbl>
      <w:tblPr>
        <w:tblpPr w:vertAnchor="text" w:horzAnchor="margin" w:tblpXSpec="left" w:rightFromText="180" w:tblpY="368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numPr>
          <w:ilvl w:val="0"/>
          <w:numId w:val="0"/>
        </w:numPr>
        <w:ind w:hanging="0" w:start="0" w:end="0"/>
        <w:jc w:val="both"/>
        <w:textAlignment w:val="auto"/>
        <w:rPr>
          <w:rFonts w:eastAsia="Garamond"/>
        </w:rPr>
      </w:pPr>
      <w:r/>
      <w:r>
        <w:rPr>
          <w:rFonts w:eastAsia="Garamond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tbl>
      <w:tblPr>
        <w:tblpPr w:vertAnchor="text" w:horzAnchor="margin" w:tblpXSpec="left" w:rightFromText="180" w:tblpY="17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tbl>
      <w:tblPr>
        <w:tblpPr w:vertAnchor="text" w:horzAnchor="margin" w:tblpXSpec="left" w:rightFromText="180" w:tblpY="29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29.5.2022</w:t>
      </w:r>
      <w:r>
        <w:rPr>
          <w:rtl w:val="true"/>
        </w:rPr>
        <w:t xml:space="preserve">). </w:t>
      </w:r>
      <w:bookmarkEnd w:id="17"/>
    </w:p>
    <w:tbl>
      <w:tblPr>
        <w:tblpPr w:vertAnchor="text" w:horzAnchor="margin" w:tblpXSpec="left" w:rightFromText="180" w:tblpY="98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22002920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54678313-292/22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חליל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7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243256" TargetMode="External"/><Relationship Id="rId3" Type="http://schemas.openxmlformats.org/officeDocument/2006/relationships/hyperlink" Target="http://www.nevo.co.il/case/28250223" TargetMode="External"/><Relationship Id="rId4" Type="http://schemas.openxmlformats.org/officeDocument/2006/relationships/hyperlink" Target="http://www.nevo.co.il/case/28243256" TargetMode="External"/><Relationship Id="rId5" Type="http://schemas.openxmlformats.org/officeDocument/2006/relationships/hyperlink" Target="http://www.nevo.co.il/case/28250223" TargetMode="External"/><Relationship Id="rId6" Type="http://schemas.openxmlformats.org/officeDocument/2006/relationships/hyperlink" Target="http://www.nevo.co.il/case/28644452" TargetMode="External"/><Relationship Id="rId7" Type="http://schemas.openxmlformats.org/officeDocument/2006/relationships/hyperlink" Target="http://www.nevo.co.il/case/28243256" TargetMode="External"/><Relationship Id="rId8" Type="http://schemas.openxmlformats.org/officeDocument/2006/relationships/hyperlink" Target="http://www.nevo.co.il/case/28250223" TargetMode="External"/><Relationship Id="rId9" Type="http://schemas.openxmlformats.org/officeDocument/2006/relationships/hyperlink" Target="http://www.nevo.co.il/case/28243256" TargetMode="External"/><Relationship Id="rId10" Type="http://schemas.openxmlformats.org/officeDocument/2006/relationships/hyperlink" Target="http://www.nevo.co.il/case/2825022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d.a" TargetMode="External"/><Relationship Id="rId13" Type="http://schemas.openxmlformats.org/officeDocument/2006/relationships/hyperlink" Target="http://www.nevo.co.il/law/70301/40f" TargetMode="External"/><Relationship Id="rId14" Type="http://schemas.openxmlformats.org/officeDocument/2006/relationships/hyperlink" Target="http://www.nevo.co.il/law/70301/40g" TargetMode="External"/><Relationship Id="rId15" Type="http://schemas.openxmlformats.org/officeDocument/2006/relationships/hyperlink" Target="http://www.nevo.co.il/law/70301/40ja.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644452" TargetMode="External"/><Relationship Id="rId18" Type="http://schemas.openxmlformats.org/officeDocument/2006/relationships/hyperlink" Target="http://www.nevo.co.il/case/28243256" TargetMode="External"/><Relationship Id="rId19" Type="http://schemas.openxmlformats.org/officeDocument/2006/relationships/hyperlink" Target="http://www.nevo.co.il/case/28250223" TargetMode="External"/><Relationship Id="rId20" Type="http://schemas.openxmlformats.org/officeDocument/2006/relationships/hyperlink" Target="http://www.nevo.co.il/case/5875466" TargetMode="External"/><Relationship Id="rId21" Type="http://schemas.openxmlformats.org/officeDocument/2006/relationships/hyperlink" Target="http://www.nevo.co.il/case/27922142" TargetMode="External"/><Relationship Id="rId22" Type="http://schemas.openxmlformats.org/officeDocument/2006/relationships/hyperlink" Target="http://www.nevo.co.il/case/27654256" TargetMode="External"/><Relationship Id="rId23" Type="http://schemas.openxmlformats.org/officeDocument/2006/relationships/hyperlink" Target="http://www.nevo.co.il/case/28296934" TargetMode="External"/><Relationship Id="rId24" Type="http://schemas.openxmlformats.org/officeDocument/2006/relationships/hyperlink" Target="http://www.nevo.co.il/case/5823680" TargetMode="External"/><Relationship Id="rId25" Type="http://schemas.openxmlformats.org/officeDocument/2006/relationships/hyperlink" Target="http://www.nevo.co.il/law/70301/40f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6036514" TargetMode="External"/><Relationship Id="rId28" Type="http://schemas.openxmlformats.org/officeDocument/2006/relationships/hyperlink" Target="http://www.nevo.co.il/case/26221814" TargetMode="External"/><Relationship Id="rId29" Type="http://schemas.openxmlformats.org/officeDocument/2006/relationships/hyperlink" Target="http://www.nevo.co.il/law/70301/40g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2401477" TargetMode="External"/><Relationship Id="rId32" Type="http://schemas.openxmlformats.org/officeDocument/2006/relationships/hyperlink" Target="http://www.nevo.co.il/case/22275567" TargetMode="External"/><Relationship Id="rId33" Type="http://schemas.openxmlformats.org/officeDocument/2006/relationships/hyperlink" Target="http://www.nevo.co.il/case/21474812" TargetMode="External"/><Relationship Id="rId34" Type="http://schemas.openxmlformats.org/officeDocument/2006/relationships/hyperlink" Target="http://www.nevo.co.il/case/21771420" TargetMode="External"/><Relationship Id="rId35" Type="http://schemas.openxmlformats.org/officeDocument/2006/relationships/hyperlink" Target="http://www.nevo.co.il/law/70301/40d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7954217" TargetMode="External"/><Relationship Id="rId38" Type="http://schemas.openxmlformats.org/officeDocument/2006/relationships/hyperlink" Target="http://www.nevo.co.il/law/70301/40ja.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863832" TargetMode="External"/><Relationship Id="rId41" Type="http://schemas.openxmlformats.org/officeDocument/2006/relationships/hyperlink" Target="http://www.nevo.co.il/case/24356447" TargetMode="External"/><Relationship Id="rId42" Type="http://schemas.openxmlformats.org/officeDocument/2006/relationships/hyperlink" Target="http://www.nevo.co.il/case/5608124" TargetMode="External"/><Relationship Id="rId43" Type="http://schemas.openxmlformats.org/officeDocument/2006/relationships/hyperlink" Target="http://www.nevo.co.il/case/24140670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2022-08-21T13:52:00Z</dcterms:created>
  <dc:creator>h4</dc:creator>
  <dc:description/>
  <cp:keywords/>
  <dc:language>en-IL</dc:language>
  <cp:lastModifiedBy>hofit</cp:lastModifiedBy>
  <cp:lastPrinted>2022-05-29T15:31:00Z</cp:lastPrinted>
  <dcterms:modified xsi:type="dcterms:W3CDTF">2022-08-21T13:52:00Z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חליל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28243256:5;28250223:5;28644452:2;5875466;27922142;27654256;28296934;5823680;26036514;26221814;22401477;22275567;21474812;21771420;17954217;5863832;24356447;5608124;24140670</vt:lpwstr>
  </property>
  <property fmtid="{D5CDD505-2E9C-101B-9397-08002B2CF9AE}" pid="9" name="CITY">
    <vt:lpwstr/>
  </property>
  <property fmtid="{D5CDD505-2E9C-101B-9397-08002B2CF9AE}" pid="10" name="DATE">
    <vt:lpwstr>20220529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ברון;ע' גרוסקופף</vt:lpwstr>
  </property>
  <property fmtid="{D5CDD505-2E9C-101B-9397-08002B2CF9AE}" pid="14" name="LAWLISTTMP1">
    <vt:lpwstr>70301/040f;040g;040d.a;40ja.9</vt:lpwstr>
  </property>
  <property fmtid="{D5CDD505-2E9C-101B-9397-08002B2CF9AE}" pid="15" name="LAWYER">
    <vt:lpwstr>אבראהים עפיף;הילה גורני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 על רקע אידיאולוגי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שיקולי 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17645;8995;8982;15506</vt:lpwstr>
  </property>
  <property fmtid="{D5CDD505-2E9C-101B-9397-08002B2CF9AE}" pid="59" name="PADIDATE">
    <vt:lpwstr>20220530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292;398</vt:lpwstr>
  </property>
  <property fmtid="{D5CDD505-2E9C-101B-9397-08002B2CF9AE}" pid="65" name="PROCYEAR">
    <vt:lpwstr>22;22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410120220529</vt:lpwstr>
  </property>
  <property fmtid="{D5CDD505-2E9C-101B-9397-08002B2CF9AE}" pid="69" name="TYPE_N_DATE">
    <vt:lpwstr>41020220529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