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2935/19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פאוזי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משהראוי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סעיד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משהראוי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59364-12-16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19.3.2019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/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;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באלול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19.9.2019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;Times New Roman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איתמר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גלבפיש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וייס</w:t>
      </w:r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ו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427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נפסק זה מכבר כי ערכאת הערעור בוחנת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בראש ובראשונה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את התוצאה העונשית הסופית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וגם אם נפלה שגגה באופן הפעלת מנגנון הבניית שיקול הדעת שעוגן בהוראות תיקון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113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בכך כדי להצדיק קבלת ערעור כאשר התוצאה העונשית אינה מצדיקה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עבירות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עבירות – סחיטה בכוח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עבירת סחיטה באיומים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 במסגרתו נידונו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חודשי מאסר על תנאי ותשלום פיצויים בסך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למתלונן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 לבנו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וזאת בעקבות הרשעתם בעבירה של סחיטה בכוח שבצעו כלפי עובד שלהם שחשדו בו שגנב כסף מלקוח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בתסקיר עדכני שירות המבחן שב על המלצתו להטיל על המערערים עונש מאסר שירוצה בדרך של עבודות שירות לצד העמדתם בצו מבחן למשך 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בהסכמת השופטים 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ברון 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הלכה היא כי ערכאת הערעור תמעט להתערב בגזר הדין שניתן 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במקרים חריגים שבהם נפלה טעות מהותית בגזר הדין או שהעונש שנגזר חורג באופן קיצוני ממדיניות הענישה הראויה או המקובלת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המקרה דנא אינו נמנה על מקרים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בכל הנוגע לטענה כי מתחם העונש ההולם שנקבע מחמיר יתר על המידה בהשוואה למקרים דומים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נפסק זה מכבר כי ערכאת הערעור בוחנת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בראש ובראשונה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את התוצאה העונשית הסופית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וגם אם נפלה שגגה באופן הפעלת מנגנון הבניית שיקול הדעת שעוגן בהוראות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113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בכך כדי להצדיק קבלת ערעור כאשר התוצאה העונשית אינה מצדיקה התערבות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המעשים שבגינם הורשעו המערערים חמורים מאוד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עבירות הסחיטה מערערות את יסודות הסדר החברתי ופוגעות באופן ניכר בשלום הציבור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בשגרת חייו ובביטחונו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במיוחד במקרה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משמדובר במתלונן אשר הועסק על ידי הנאשמים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ובהינתן פער הכוחות המובנה ביניהם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המערערים נהגו באופן אלים במיוחד כלפי המתלונן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לרבות מניעת יציאתו מהחדר והכאתו מספר פעמים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הם אף עירבו את בנו והטילו גם עליו אימה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במעשיהם הם הביאו לפגיעה במישורים שונים בחיי המתלונן באופן ממשי וחמור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שעולה מתסקיר נפגע העבירה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לכך גם מצטרף עברם הפלילי של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במכלול 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נסיבות ביצוע העבירה כמו גם נסיבותיהם האישיות של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קמה כל הצדקה להתערב בעונש שהושת עליהם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מה גם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שהושת על המערערים אינו בגדר הרף הגבוה של הענישה המקובלת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אין לקבל את טענת המערערים כי שגה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בכך שלא חרג ממתחם העונש שנקבע לקולא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סיכוייהם הממשיים של המערערים להשתקם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כבר נקבע כי סמכות זו היא סמכות שבשיקול הדעת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שקל את כלל השיקולים לחומרה ולקולא בהגיעו לתוצאה מאוזנת בנסיבות העניין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לולא מאמצי השיקום שעברו שני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העונש אשר היה מוטל עליהם היה קרוב לוודאי חמור בהרבה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;Times New Roman" w:hAnsi="Times New Roman;Times New Roman" w:cs="Times New Roman;Times New Roman"/>
          <w:b/>
          <w:bCs/>
          <w:spacing w:val="0"/>
          <w:sz w:val="24"/>
          <w:szCs w:val="26"/>
        </w:rPr>
      </w:pPr>
      <w:r>
        <w:rPr>
          <w:rFonts w:cs="Times New Roman;Times New Roman"/>
          <w:b/>
          <w:bCs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59364-12-16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19.3.2019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מדובר באירוע שהתרחש בבית עסק הכולל שטיפת מכוניות הממוקם בצומת בית דגן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 הבעלים של בית העסק</w:t>
      </w:r>
      <w:r>
        <w:rPr>
          <w:rtl w:val="true"/>
        </w:rPr>
        <w:t xml:space="preserve">, </w:t>
      </w:r>
      <w:r>
        <w:rPr>
          <w:rtl w:val="true"/>
        </w:rPr>
        <w:t xml:space="preserve">מר אחמד משהראוי מנהלו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tl w:val="true"/>
        </w:rPr>
        <w:t xml:space="preserve">) </w:t>
      </w:r>
      <w:r>
        <w:rPr>
          <w:rtl w:val="true"/>
        </w:rPr>
        <w:t xml:space="preserve">ומערער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 בו</w:t>
      </w:r>
      <w:r>
        <w:rPr>
          <w:rtl w:val="true"/>
        </w:rPr>
        <w:t xml:space="preserve">. </w:t>
      </w:r>
      <w:r>
        <w:rPr>
          <w:rtl w:val="true"/>
        </w:rPr>
        <w:t>שני המערערים ואחמד הינם אחים</w:t>
      </w:r>
      <w:r>
        <w:rPr>
          <w:rtl w:val="true"/>
        </w:rPr>
        <w:t xml:space="preserve">. </w:t>
      </w:r>
      <w:r>
        <w:rPr>
          <w:rtl w:val="true"/>
        </w:rPr>
        <w:t>בתקופה הרלוונטית לאירוע</w:t>
      </w:r>
      <w:r>
        <w:rPr>
          <w:rtl w:val="true"/>
        </w:rPr>
        <w:t xml:space="preserve">, </w:t>
      </w:r>
      <w:r>
        <w:rPr>
          <w:rtl w:val="true"/>
        </w:rPr>
        <w:t>המתלונן עבד בבית העסק בשטיפת כלי רכב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19.12.2016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המתלונן ועובד נוסף ניקו רכב מסוג ג</w:t>
      </w:r>
      <w:r>
        <w:rPr>
          <w:rtl w:val="true"/>
        </w:rPr>
        <w:t>'</w:t>
      </w:r>
      <w:r>
        <w:rPr>
          <w:rtl w:val="true"/>
        </w:rPr>
        <w:t xml:space="preserve">יפ שהגיע לבית העסק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והמתלונן נטל מהרכב כסף שסכומו אינו ידוע במדויק למשיבה</w:t>
      </w:r>
      <w:r>
        <w:rPr>
          <w:rtl w:val="true"/>
        </w:rPr>
        <w:t xml:space="preserve">. </w:t>
      </w:r>
      <w:r>
        <w:rPr>
          <w:rtl w:val="true"/>
        </w:rPr>
        <w:t>בעל הרכב הבחין בכך והתלונן בפני אחמד</w:t>
      </w:r>
      <w:r>
        <w:rPr>
          <w:rtl w:val="true"/>
        </w:rPr>
        <w:t xml:space="preserve">. </w:t>
      </w:r>
      <w:r>
        <w:rPr>
          <w:rtl w:val="true"/>
        </w:rPr>
        <w:t>לאחר צפייה בסרטוני מצלמות אבטחה</w:t>
      </w:r>
      <w:r>
        <w:rPr>
          <w:rtl w:val="true"/>
        </w:rPr>
        <w:t xml:space="preserve">, </w:t>
      </w:r>
      <w:r>
        <w:rPr>
          <w:rtl w:val="true"/>
        </w:rPr>
        <w:t>אחמד סבר כי המתלונן אכן גנב מהרכב כסף</w:t>
      </w:r>
      <w:r>
        <w:rPr>
          <w:rtl w:val="true"/>
        </w:rPr>
        <w:t xml:space="preserve">. </w:t>
      </w:r>
      <w:r>
        <w:rPr>
          <w:rtl w:val="true"/>
        </w:rPr>
        <w:t xml:space="preserve">הוא פנה למערער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ושניהם הורו למתלונן להיכנס לחדר שנמצא ליד רחבת השטיפה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החדר</w:t>
      </w:r>
      <w:r>
        <w:rPr>
          <w:rtl w:val="true"/>
        </w:rPr>
        <w:t xml:space="preserve">).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הכה את המתלונן באגרופים בראשו ובחזהו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 לחדר וגם הוא הכה את המתלונן בכל חלקי גופו</w:t>
      </w:r>
      <w:r>
        <w:rPr>
          <w:rtl w:val="true"/>
        </w:rPr>
        <w:t xml:space="preserve">. </w:t>
      </w:r>
      <w:r>
        <w:rPr>
          <w:rtl w:val="true"/>
        </w:rPr>
        <w:t>המערערים מנעו מהמתלונן לצאת מהחדר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דרש מהמתלונן כי יביא לו לאלתר סכום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אשר לווה ממנו בעבר ללא קשר לגניבה מהרכב</w:t>
      </w:r>
      <w:r>
        <w:rPr>
          <w:rtl w:val="true"/>
        </w:rPr>
        <w:t xml:space="preserve">. </w:t>
      </w:r>
      <w:r>
        <w:rPr>
          <w:rtl w:val="true"/>
        </w:rPr>
        <w:t>משמסר המתלונן כי אין בידו סכום כזה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אפשרו לו להתקשר לבנו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הבן</w:t>
      </w:r>
      <w:r>
        <w:rPr>
          <w:rtl w:val="true"/>
        </w:rPr>
        <w:t xml:space="preserve">) </w:t>
      </w:r>
      <w:r>
        <w:rPr>
          <w:rtl w:val="true"/>
        </w:rPr>
        <w:t>כדי לבקש ממנו להגיע עם הכסף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הטיח במתלונן כי גנב מבעל הרכב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ודרש ממנו לשלם פיצוי בסך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תוך ששני המערערים מאיימים עליו</w:t>
      </w:r>
      <w:r>
        <w:rPr>
          <w:rtl w:val="true"/>
        </w:rPr>
        <w:t xml:space="preserve">, </w:t>
      </w:r>
      <w:r>
        <w:rPr>
          <w:rtl w:val="true"/>
        </w:rPr>
        <w:t>בין היתר כי ישימו אותו בתא מטען של רכב ויעלימו אותו</w:t>
      </w:r>
      <w:r>
        <w:rPr>
          <w:rtl w:val="true"/>
        </w:rPr>
        <w:t xml:space="preserve">. </w:t>
      </w:r>
      <w:r>
        <w:rPr>
          <w:rtl w:val="true"/>
        </w:rPr>
        <w:t>כאשר המתלונן שב והכחיש כי גנב כסף מהרכב</w:t>
      </w:r>
      <w:r>
        <w:rPr>
          <w:rtl w:val="true"/>
        </w:rPr>
        <w:t xml:space="preserve">, </w:t>
      </w:r>
      <w:r>
        <w:rPr>
          <w:rtl w:val="true"/>
        </w:rPr>
        <w:t>הכו אותו המערערים פעם נוספת באמצעות אגרופים בכל חלקי גופו</w:t>
      </w:r>
      <w:r>
        <w:rPr>
          <w:rtl w:val="true"/>
        </w:rPr>
        <w:t xml:space="preserve">. </w:t>
      </w:r>
      <w:r>
        <w:rPr>
          <w:rtl w:val="true"/>
        </w:rPr>
        <w:t>המערערים גם דרשו מהמתלונן להתפשט וביצעו עליו חיפוש במטרה למצוא את הכסף שנגנב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בסמוך לשעה </w:t>
      </w:r>
      <w:r>
        <w:rPr/>
        <w:t>13:38</w:t>
      </w:r>
      <w:r>
        <w:rPr>
          <w:rtl w:val="true"/>
        </w:rPr>
        <w:t xml:space="preserve">, </w:t>
      </w:r>
      <w:r>
        <w:rPr>
          <w:rtl w:val="true"/>
        </w:rPr>
        <w:t>הגיע הבן לבית העסק</w:t>
      </w:r>
      <w:r>
        <w:rPr>
          <w:rtl w:val="true"/>
        </w:rPr>
        <w:t xml:space="preserve">. </w:t>
      </w:r>
      <w:r>
        <w:rPr>
          <w:rtl w:val="true"/>
        </w:rPr>
        <w:t xml:space="preserve">אז שוחח עמו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ואיים עליו שאביו ייפגע אם לא יעביר לו סכום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הבן העביר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סך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באותו מעמד</w:t>
      </w:r>
      <w:r>
        <w:rPr>
          <w:rtl w:val="true"/>
        </w:rPr>
        <w:t xml:space="preserve">. </w:t>
      </w:r>
      <w:r>
        <w:rPr>
          <w:rtl w:val="true"/>
        </w:rPr>
        <w:t>או אז התאפשר למתלונן ולבן לעזוב את בית העסק</w:t>
      </w:r>
      <w:r>
        <w:rPr>
          <w:rtl w:val="true"/>
        </w:rPr>
        <w:t xml:space="preserve">, </w:t>
      </w:r>
      <w:r>
        <w:rPr>
          <w:rtl w:val="true"/>
        </w:rPr>
        <w:t xml:space="preserve">ובהמשך שב הבן על מנת להעביר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סך של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נוספים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 הואשמו בגין מעשים אלו בעבירה של סחיטה בכוח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יחד עם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6.12.2017</w:t>
      </w:r>
      <w:r>
        <w:rPr>
          <w:rtl w:val="true"/>
        </w:rPr>
        <w:t xml:space="preserve"> </w:t>
      </w:r>
      <w:r>
        <w:rPr>
          <w:rtl w:val="true"/>
        </w:rPr>
        <w:t>המערערים הורשעו בעבירה המיוחסת להם על פי הודאתם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והם הופנו לקבלת תסקיר שירות 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לגבי כל אחד מהמערערים הוגשו מספר תסקירים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הראשון שהוגש בעניינו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6.2.2018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שיקומית בעניינו</w:t>
      </w:r>
      <w:r>
        <w:rPr>
          <w:rtl w:val="true"/>
        </w:rPr>
        <w:t xml:space="preserve">, </w:t>
      </w:r>
      <w:r>
        <w:rPr>
          <w:rtl w:val="true"/>
        </w:rPr>
        <w:t>אלא המליץ על ענישה שתמחיש לו את חומרת המעשים</w:t>
      </w:r>
      <w:r>
        <w:rPr>
          <w:rtl w:val="true"/>
        </w:rPr>
        <w:t xml:space="preserve">. </w:t>
      </w:r>
      <w:r>
        <w:rPr>
          <w:rtl w:val="true"/>
        </w:rPr>
        <w:t>צוין כי המערער אינו מודע לחומרת הבעייתיות שבהתנהגותו ורמת הסיכון הנשקפת ממנו להישנות התנהגות אלימה הוערכה כבינונית</w:t>
      </w:r>
      <w:r>
        <w:rPr>
          <w:rtl w:val="true"/>
        </w:rPr>
        <w:t xml:space="preserve">. </w:t>
      </w:r>
      <w:r>
        <w:rPr>
          <w:rtl w:val="true"/>
        </w:rPr>
        <w:t xml:space="preserve">בתסקיר מיום </w:t>
      </w:r>
      <w:r>
        <w:rPr/>
        <w:t>8.4.2018</w:t>
      </w:r>
      <w:r>
        <w:rPr>
          <w:rtl w:val="true"/>
        </w:rPr>
        <w:t xml:space="preserve"> </w:t>
      </w:r>
      <w:r>
        <w:rPr>
          <w:rtl w:val="true"/>
        </w:rPr>
        <w:t xml:space="preserve">צוין כי המערער פנה לקבלת טיפול במרכז </w:t>
      </w:r>
      <w:r>
        <w:rPr>
          <w:rtl w:val="true"/>
        </w:rPr>
        <w:t>"</w:t>
      </w:r>
      <w:r>
        <w:rPr>
          <w:rtl w:val="true"/>
        </w:rPr>
        <w:t>התחלה חדשה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מרכז טיפול ואבחון לאוכלוסיות עוברי 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המרכז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אך מדובר בהליך טיפול ראשוני אשר נראה כי הוא פנה אליו רק בשלב מתקדם של ההליך המשפטי מתוך חשש מאימת הדין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בתסקיר מיום </w:t>
      </w:r>
      <w:r>
        <w:rPr/>
        <w:t>9.1.2019</w:t>
      </w:r>
      <w:r>
        <w:rPr>
          <w:rtl w:val="true"/>
        </w:rPr>
        <w:t xml:space="preserve"> </w:t>
      </w:r>
      <w:r>
        <w:rPr>
          <w:rtl w:val="true"/>
        </w:rPr>
        <w:t>צוין כי הטיפול במרכז מיטיב עם המערער והומלץ על ענישתו בדרך של מאסר בעבודות שירות</w:t>
      </w:r>
      <w:r>
        <w:rPr>
          <w:rtl w:val="true"/>
        </w:rPr>
        <w:t xml:space="preserve">, </w:t>
      </w:r>
      <w:r>
        <w:rPr>
          <w:rtl w:val="true"/>
        </w:rPr>
        <w:t>ועל הטלת צו מבחן למשך שנה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התסקיר הראשון שהוגש בעניינו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12.2.2018</w:t>
      </w:r>
      <w:r>
        <w:rPr>
          <w:rtl w:val="true"/>
        </w:rPr>
        <w:t xml:space="preserve">, </w:t>
      </w:r>
      <w:r>
        <w:rPr>
          <w:rtl w:val="true"/>
        </w:rPr>
        <w:t>גם הומלץ על הטלת ענישה שתמחיש לו את חומרת התנהגותו האלימה</w:t>
      </w:r>
      <w:r>
        <w:rPr>
          <w:rtl w:val="true"/>
        </w:rPr>
        <w:t xml:space="preserve">. </w:t>
      </w:r>
      <w:r>
        <w:rPr>
          <w:rtl w:val="true"/>
        </w:rPr>
        <w:t>בתסקיר צוין כי המערער מתקשה לקבל אחריות על התנהגותו הבעייתית והאלימה ונוטה להשליך את האחריות למעשים על המתלונן</w:t>
      </w:r>
      <w:r>
        <w:rPr>
          <w:rtl w:val="true"/>
        </w:rPr>
        <w:t xml:space="preserve">. </w:t>
      </w:r>
      <w:r>
        <w:rPr>
          <w:rtl w:val="true"/>
        </w:rPr>
        <w:t>הסיכון להישנות התנהגות אלימה מצדו הוערך כבינוני</w:t>
      </w:r>
      <w:r>
        <w:rPr>
          <w:rtl w:val="true"/>
        </w:rPr>
        <w:t xml:space="preserve">. </w:t>
      </w:r>
      <w:r>
        <w:rPr>
          <w:rtl w:val="true"/>
        </w:rPr>
        <w:t>עוד צוין כי הרושם שנוצר הוא כי המוטיבציה שביטא לעבור תהליך טיפולי נובעת רק כתוצאה מההליך המשפטי בו הוא מצוי</w:t>
      </w:r>
      <w:r>
        <w:rPr>
          <w:rtl w:val="true"/>
        </w:rPr>
        <w:t xml:space="preserve">. </w:t>
      </w:r>
      <w:r>
        <w:rPr>
          <w:rtl w:val="true"/>
        </w:rPr>
        <w:t xml:space="preserve">גם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פנה לקבלת טיפול במרכז</w:t>
      </w:r>
      <w:r>
        <w:rPr>
          <w:rtl w:val="true"/>
        </w:rPr>
        <w:t xml:space="preserve">. </w:t>
      </w:r>
      <w:r>
        <w:rPr>
          <w:rtl w:val="true"/>
        </w:rPr>
        <w:t xml:space="preserve">בתסקיר מיום </w:t>
      </w:r>
      <w:r>
        <w:rPr/>
        <w:t>9.4.2018</w:t>
      </w:r>
      <w:r>
        <w:rPr>
          <w:rtl w:val="true"/>
        </w:rPr>
        <w:t xml:space="preserve"> </w:t>
      </w:r>
      <w:r>
        <w:rPr>
          <w:rtl w:val="true"/>
        </w:rPr>
        <w:t>צוין כי חרף העובדה שהוא נמצא מתאים להיקלט בטיפול במרכז</w:t>
      </w:r>
      <w:r>
        <w:rPr>
          <w:rtl w:val="true"/>
        </w:rPr>
        <w:t xml:space="preserve">, </w:t>
      </w:r>
      <w:r>
        <w:rPr>
          <w:rtl w:val="true"/>
        </w:rPr>
        <w:t>לאור העובדה שהוא עודנו מסרב לקחת אחריות על התנהגותו הבעייתית והאלימה</w:t>
      </w:r>
      <w:r>
        <w:rPr>
          <w:rtl w:val="true"/>
        </w:rPr>
        <w:t xml:space="preserve">, </w:t>
      </w:r>
      <w:r>
        <w:rPr>
          <w:rtl w:val="true"/>
        </w:rPr>
        <w:t>אין מקום לבוא בהמלצה שיקומית טיפולית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האחרון מיום </w:t>
      </w:r>
      <w:r>
        <w:rPr/>
        <w:t>13.1.2019</w:t>
      </w:r>
      <w:r>
        <w:rPr>
          <w:rtl w:val="true"/>
        </w:rPr>
        <w:t xml:space="preserve"> </w:t>
      </w:r>
      <w:r>
        <w:rPr>
          <w:rtl w:val="true"/>
        </w:rPr>
        <w:t>צוין כי חלה הפחתה מסוימת ברמת הסיכון להישנות עבירות אלימות מצדו והומלץ על ענישתו בדרך של עבודות שירות לצד ענישה נלווית</w:t>
      </w:r>
      <w:r>
        <w:rPr>
          <w:rtl w:val="true"/>
        </w:rPr>
        <w:t xml:space="preserve">, </w:t>
      </w:r>
      <w:r>
        <w:rPr>
          <w:rtl w:val="true"/>
        </w:rPr>
        <w:t>והעמדתו בצו מבחן למשך 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19.3.2019</w:t>
      </w:r>
      <w:r>
        <w:rPr>
          <w:rtl w:val="true"/>
        </w:rPr>
        <w:t xml:space="preserve"> </w:t>
      </w:r>
      <w:r>
        <w:rPr>
          <w:rtl w:val="true"/>
        </w:rPr>
        <w:t>ניתן גזר הדין 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בית המשפט ציין את האמור בתסקיר נפגע העבירה לפיו אירוע התקיפה גרם למתלונן לנזקים כלכליים</w:t>
      </w:r>
      <w:r>
        <w:rPr>
          <w:rtl w:val="true"/>
        </w:rPr>
        <w:t xml:space="preserve">,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חברתיים ומשפחתיים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ציין בית המשפט את עברם הפלילי של שני המערערים הכולל הרשעות קודמות בגין עבירות אלימות</w:t>
      </w:r>
      <w:r>
        <w:rPr>
          <w:rtl w:val="true"/>
        </w:rPr>
        <w:t xml:space="preserve">. </w:t>
      </w:r>
      <w:r>
        <w:rPr>
          <w:rtl w:val="true"/>
        </w:rPr>
        <w:t>נקבע כי מדובר באירוע חמור שנמשך למעלה משעתיים</w:t>
      </w:r>
      <w:r>
        <w:rPr>
          <w:rtl w:val="true"/>
        </w:rPr>
        <w:t xml:space="preserve">, </w:t>
      </w:r>
      <w:r>
        <w:rPr>
          <w:rtl w:val="true"/>
        </w:rPr>
        <w:t>שכלל אלימות חוזרת</w:t>
      </w:r>
      <w:r>
        <w:rPr>
          <w:rtl w:val="true"/>
        </w:rPr>
        <w:t xml:space="preserve">, </w:t>
      </w:r>
      <w:r>
        <w:rPr>
          <w:rtl w:val="true"/>
        </w:rPr>
        <w:t>השפלה והטלת אימה על המתלונן</w:t>
      </w:r>
      <w:r>
        <w:rPr>
          <w:rtl w:val="true"/>
        </w:rPr>
        <w:t xml:space="preserve">. </w:t>
      </w:r>
      <w:r>
        <w:rPr>
          <w:rtl w:val="true"/>
        </w:rPr>
        <w:t>חומרה מיוחדת עלתה מכך שהמערערים היו מעסיקיו של המתלונן</w:t>
      </w:r>
      <w:r>
        <w:rPr>
          <w:rtl w:val="true"/>
        </w:rPr>
        <w:t xml:space="preserve">. </w:t>
      </w: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התחשב בית המשפט במדיניות הענישה ובנסיבות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לרבות הגניבה שביצע המתלונן</w:t>
      </w:r>
      <w:r>
        <w:rPr>
          <w:rtl w:val="true"/>
        </w:rPr>
        <w:t xml:space="preserve">, </w:t>
      </w:r>
      <w:r>
        <w:rPr>
          <w:rtl w:val="true"/>
        </w:rPr>
        <w:t>מעשיהם של המערערים</w:t>
      </w:r>
      <w:r>
        <w:rPr>
          <w:rtl w:val="true"/>
        </w:rPr>
        <w:t xml:space="preserve">, </w:t>
      </w:r>
      <w:r>
        <w:rPr>
          <w:rtl w:val="true"/>
        </w:rPr>
        <w:t>ומעורבותו של הבן באירוע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עונש הולם הנע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רכיבים 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גזירת העונש</w:t>
      </w:r>
      <w:r>
        <w:rPr>
          <w:rtl w:val="true"/>
        </w:rPr>
        <w:t xml:space="preserve">, </w:t>
      </w:r>
      <w:r>
        <w:rPr>
          <w:rtl w:val="true"/>
        </w:rPr>
        <w:t>נשקלו שיקולים לקולא ולחומרה</w:t>
      </w:r>
      <w:r>
        <w:rPr>
          <w:rtl w:val="true"/>
        </w:rPr>
        <w:t xml:space="preserve">. </w:t>
      </w:r>
      <w:r>
        <w:rPr>
          <w:rtl w:val="true"/>
        </w:rPr>
        <w:t>הודאת המערערים בבית משפט</w:t>
      </w:r>
      <w:r>
        <w:rPr>
          <w:rtl w:val="true"/>
        </w:rPr>
        <w:t xml:space="preserve">, </w:t>
      </w:r>
      <w:r>
        <w:rPr>
          <w:rtl w:val="true"/>
        </w:rPr>
        <w:t>התהליך המשמעותי שעברו בטיפול וההשלכות של מאסרם על משפחותיהם ועובדיהם</w:t>
      </w:r>
      <w:r>
        <w:rPr>
          <w:rtl w:val="true"/>
        </w:rPr>
        <w:t xml:space="preserve">, </w:t>
      </w:r>
      <w:r>
        <w:rPr>
          <w:rtl w:val="true"/>
        </w:rPr>
        <w:t>מצד אחד</w:t>
      </w:r>
      <w:r>
        <w:rPr>
          <w:rtl w:val="true"/>
        </w:rPr>
        <w:t xml:space="preserve">. </w:t>
      </w:r>
      <w:r>
        <w:rPr>
          <w:rtl w:val="true"/>
        </w:rPr>
        <w:t>עברם הפלילי הקודם של המערערים ואי לקיחת האחריות עד לשלב מאוחר בהליך</w:t>
      </w:r>
      <w:r>
        <w:rPr>
          <w:rtl w:val="true"/>
        </w:rPr>
        <w:t xml:space="preserve">, </w:t>
      </w:r>
      <w:r>
        <w:rPr>
          <w:rtl w:val="true"/>
        </w:rPr>
        <w:t>מצד שני</w:t>
      </w:r>
      <w:r>
        <w:rPr>
          <w:rtl w:val="true"/>
        </w:rPr>
        <w:t xml:space="preserve">. </w:t>
      </w:r>
      <w:r>
        <w:rPr>
          <w:rtl w:val="true"/>
        </w:rPr>
        <w:t>בית המשפט דחה את המלצת שירות המבחן לגבי שני המערערים</w:t>
      </w:r>
      <w:r>
        <w:rPr>
          <w:rtl w:val="true"/>
        </w:rPr>
        <w:t xml:space="preserve">, </w:t>
      </w:r>
      <w:r>
        <w:rPr>
          <w:rtl w:val="true"/>
        </w:rPr>
        <w:t>להטיל עליהם עונש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בקבעו כי אין בתהליך הטיפולי שתואר בתסקירים כדי להביא לחריגה ממתחם העונש ההולם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בהתחשב בממצאי התסקירים ונסיבותיהם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בסופו של דבר עונשם הועמד ברף התחתון של מתחם העונש שנקבע ונגזרו עליהם העונשים שפורטו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מכאן הערעור שלפנינו במסגרתו הונחו לפנינו תסקירים משלימים מיום </w:t>
      </w:r>
      <w:r>
        <w:rPr/>
        <w:t>11.9.2019</w:t>
      </w:r>
      <w:r>
        <w:rPr>
          <w:rtl w:val="true"/>
        </w:rPr>
        <w:t xml:space="preserve"> </w:t>
      </w:r>
      <w:r>
        <w:rPr>
          <w:rtl w:val="true"/>
        </w:rPr>
        <w:t>בעניינם של שני המערערים</w:t>
      </w:r>
      <w:r>
        <w:rPr>
          <w:rtl w:val="true"/>
        </w:rPr>
        <w:t xml:space="preserve">, </w:t>
      </w:r>
      <w:r>
        <w:rPr>
          <w:rtl w:val="true"/>
        </w:rPr>
        <w:t>בגדרם שב שירות המבחן על המלצתו להטיל עליהם עונש מאסר שירוצה בדרך של עבודות שירות לצד העמדתם בצו מבחן למשך שנה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טענו כי שגה בית המשפט בקביעתו כי מדובר באירוע מתוכנן</w:t>
      </w:r>
      <w:r>
        <w:rPr>
          <w:rtl w:val="true"/>
        </w:rPr>
        <w:t xml:space="preserve">, </w:t>
      </w:r>
      <w:r>
        <w:rPr>
          <w:rtl w:val="true"/>
        </w:rPr>
        <w:t>אף אם ברף הנמוך של התכנון</w:t>
      </w:r>
      <w:r>
        <w:rPr>
          <w:rtl w:val="true"/>
        </w:rPr>
        <w:t xml:space="preserve">, </w:t>
      </w:r>
      <w:r>
        <w:rPr>
          <w:rtl w:val="true"/>
        </w:rPr>
        <w:t>וכי קביעה זו השליכה על קביעת מתחם העונש לחומרה</w:t>
      </w:r>
      <w:r>
        <w:rPr>
          <w:rtl w:val="true"/>
        </w:rPr>
        <w:t xml:space="preserve">. </w:t>
      </w:r>
      <w:r>
        <w:rPr>
          <w:rtl w:val="true"/>
        </w:rPr>
        <w:t>נטען כי מתחם העונש שנקבע אינו הולם את המקרה</w:t>
      </w:r>
      <w:r>
        <w:rPr>
          <w:rtl w:val="true"/>
        </w:rPr>
        <w:t xml:space="preserve">, </w:t>
      </w:r>
      <w:r>
        <w:rPr>
          <w:rtl w:val="true"/>
        </w:rPr>
        <w:t>לאור ההשוואה לגזרי הדין שהובאו בפסק הדין וגזרי דין נוספים אשר עסקו במקרים חמורים יותר שכללו תכנון</w:t>
      </w:r>
      <w:r>
        <w:rPr>
          <w:rtl w:val="true"/>
        </w:rPr>
        <w:t xml:space="preserve">, </w:t>
      </w:r>
      <w:r>
        <w:rPr>
          <w:rtl w:val="true"/>
        </w:rPr>
        <w:t>נדרשו בהם סכומי כסף גדולים יותר</w:t>
      </w:r>
      <w:r>
        <w:rPr>
          <w:rtl w:val="true"/>
        </w:rPr>
        <w:t xml:space="preserve">, </w:t>
      </w:r>
      <w:r>
        <w:rPr>
          <w:rtl w:val="true"/>
        </w:rPr>
        <w:t>והנאשמים הורשעו בעבירות 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מתסקירי שירות המבחן ומעדותה של מנהלת המרכז</w:t>
      </w:r>
      <w:r>
        <w:rPr>
          <w:rtl w:val="true"/>
        </w:rPr>
        <w:t xml:space="preserve">, </w:t>
      </w:r>
      <w:r>
        <w:rPr>
          <w:rtl w:val="true"/>
        </w:rPr>
        <w:t>בעניינם של שני המערערים קיים סיכוי ממשי לשיקומם</w:t>
      </w:r>
      <w:r>
        <w:rPr>
          <w:rtl w:val="true"/>
        </w:rPr>
        <w:t xml:space="preserve">. </w:t>
      </w:r>
      <w:r>
        <w:rPr>
          <w:rtl w:val="true"/>
        </w:rPr>
        <w:t xml:space="preserve">בהתחשב בפסיקה שניתנה במקרים דומים </w:t>
      </w:r>
      <w:hyperlink r:id="rId11">
        <w:r>
          <w:rPr>
            <w:rStyle w:val="Hyperlink"/>
            <w:color w:val="0000FF"/>
            <w:u w:val="single"/>
            <w:rtl w:val="true"/>
          </w:rPr>
          <w:t>ובסעיף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המערערים טוענים כי היה מקום לחרוג לקולא ממתחם העונש שנקבע עבורם בשל שיקולי שיקום</w:t>
      </w:r>
      <w:r>
        <w:rPr>
          <w:rtl w:val="true"/>
        </w:rPr>
        <w:t xml:space="preserve">, </w:t>
      </w:r>
      <w:r>
        <w:rPr>
          <w:rtl w:val="true"/>
        </w:rPr>
        <w:t>ולאפשר להם להמשיך את תהליך הטיפול במרכז תוך הפחתת עונשם לביצוע עבודות שירות וקביעת צו מבחן לשנה</w:t>
      </w:r>
      <w:r>
        <w:rPr>
          <w:rtl w:val="true"/>
        </w:rPr>
        <w:t xml:space="preserve">, </w:t>
      </w:r>
      <w:r>
        <w:rPr>
          <w:rtl w:val="true"/>
        </w:rPr>
        <w:t>לצד הפיצוי הכספי שהושת 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המשיבה סמך ידיו על 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בטיעוניו הוא הדגיש את חומרת העבירות ואת עברם הפלילי של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ששקלנו את טיעוני הצדדים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הלכה היא כי ערכאת הערעור תמעט להתערב בגזר הדין שניתן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נפלה טעות מהותית בגזר הדין או שהעונש שנגזר חורג באופן קיצוני ממדיניות הענישה הראויה או המקובלת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15.</w:t>
      </w:r>
      <w:r>
        <w:rPr/>
        <w:t>9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11.</w:t>
      </w:r>
      <w:r>
        <w:rPr/>
        <w:t>8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הקדישו חלק נכבד מהערעור לטענות נגד מתחם העונש ההולם שנקבע</w:t>
      </w:r>
      <w:r>
        <w:rPr>
          <w:rtl w:val="true"/>
        </w:rPr>
        <w:t xml:space="preserve">, </w:t>
      </w:r>
      <w:r>
        <w:rPr>
          <w:rtl w:val="true"/>
        </w:rPr>
        <w:t>בטענה כי הוא מחמיר יתר על המידה בהשוואה למקרים דומים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נפסק זה מכבר כי ערכאת הערעור בוחנת </w:t>
      </w:r>
      <w:r>
        <w:rPr>
          <w:rtl w:val="true"/>
        </w:rPr>
        <w:t>"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את התוצאה העונשית הסופית</w:t>
      </w:r>
      <w:r>
        <w:rPr>
          <w:rtl w:val="true"/>
        </w:rPr>
        <w:t xml:space="preserve">, </w:t>
      </w:r>
      <w:r>
        <w:rPr>
          <w:rtl w:val="true"/>
        </w:rPr>
        <w:t xml:space="preserve">וגם אם נפלה שגגה באופן הפעלת מנגנון הבניית שיקול הדעת שעוגן בהוראות תיקון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אין בכך כדי להצדיק קבלת ערעור כאשר התוצאה העונשית אינה מצדיקה התערבות</w:t>
      </w:r>
      <w:r>
        <w:rPr>
          <w:rtl w:val="true"/>
        </w:rPr>
        <w:t>"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9.6.2016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15.7.2014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18.9.2019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התוצאה הסופית אליה הגיע בית המשפט המחוזי אינה מצדיקה את התערבותנו</w:t>
      </w:r>
      <w:r>
        <w:rPr>
          <w:rtl w:val="true"/>
        </w:rPr>
        <w:t xml:space="preserve">, </w:t>
      </w:r>
      <w:r>
        <w:rPr>
          <w:rtl w:val="true"/>
        </w:rPr>
        <w:t>כפי שיפורט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המעשים שבגינם הורשעו המערערים חמורים מאוד</w:t>
      </w:r>
      <w:r>
        <w:rPr>
          <w:rtl w:val="true"/>
        </w:rPr>
        <w:t xml:space="preserve">. </w:t>
      </w:r>
      <w:r>
        <w:rPr>
          <w:rtl w:val="true"/>
        </w:rPr>
        <w:t>עבירות הסחיטה מערערות את יסודות הסדר החברתי ופוגעות באופן ניכר בשלום הציבור</w:t>
      </w:r>
      <w:r>
        <w:rPr>
          <w:rtl w:val="true"/>
        </w:rPr>
        <w:t xml:space="preserve">, </w:t>
      </w:r>
      <w:r>
        <w:rPr>
          <w:rtl w:val="true"/>
        </w:rPr>
        <w:t xml:space="preserve">בשגרת חייו ובביטחונו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20.9.2015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2.10.2018</w:t>
      </w:r>
      <w:r>
        <w:rPr>
          <w:rtl w:val="true"/>
        </w:rPr>
        <w:t xml:space="preserve">)). </w:t>
      </w:r>
      <w:r>
        <w:rPr>
          <w:rtl w:val="true"/>
        </w:rPr>
        <w:t>כך במיוחד במקרה זה</w:t>
      </w:r>
      <w:r>
        <w:rPr>
          <w:rtl w:val="true"/>
        </w:rPr>
        <w:t xml:space="preserve">, </w:t>
      </w:r>
      <w:r>
        <w:rPr>
          <w:rtl w:val="true"/>
        </w:rPr>
        <w:t>משמדובר במתלונן אשר הועסק על ידי הנאשמים</w:t>
      </w:r>
      <w:r>
        <w:rPr>
          <w:rtl w:val="true"/>
        </w:rPr>
        <w:t xml:space="preserve">, </w:t>
      </w:r>
      <w:r>
        <w:rPr>
          <w:rtl w:val="true"/>
        </w:rPr>
        <w:t>ובהינתן פער הכוחות המובנה ביניהם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 כאמור</w:t>
      </w:r>
      <w:r>
        <w:rPr>
          <w:rtl w:val="true"/>
        </w:rPr>
        <w:t xml:space="preserve">, </w:t>
      </w:r>
      <w:r>
        <w:rPr>
          <w:rtl w:val="true"/>
        </w:rPr>
        <w:t>המערערים נהגו באופן אלים במיוחד כלפי המתלונן</w:t>
      </w:r>
      <w:r>
        <w:rPr>
          <w:rtl w:val="true"/>
        </w:rPr>
        <w:t xml:space="preserve">, </w:t>
      </w:r>
      <w:r>
        <w:rPr>
          <w:rtl w:val="true"/>
        </w:rPr>
        <w:t>לרבות מניעת יציאתו מהחדר והכאתו מספר פעמים</w:t>
      </w:r>
      <w:r>
        <w:rPr>
          <w:rtl w:val="true"/>
        </w:rPr>
        <w:t xml:space="preserve">. </w:t>
      </w:r>
      <w:r>
        <w:rPr>
          <w:rtl w:val="true"/>
        </w:rPr>
        <w:t>הם אף עירבו את בנו והטילו גם עליו אימה</w:t>
      </w:r>
      <w:r>
        <w:rPr>
          <w:rtl w:val="true"/>
        </w:rPr>
        <w:t xml:space="preserve">. </w:t>
      </w:r>
      <w:r>
        <w:rPr>
          <w:rtl w:val="true"/>
        </w:rPr>
        <w:t>במעשיהם הם הביאו לפגיעה במישורים שונים בחיי המתלונן באופן ממשי וחמור</w:t>
      </w:r>
      <w:r>
        <w:rPr>
          <w:rtl w:val="true"/>
        </w:rPr>
        <w:t xml:space="preserve">, </w:t>
      </w:r>
      <w:r>
        <w:rPr>
          <w:rtl w:val="true"/>
        </w:rPr>
        <w:t>כפי שעולה מתסקיר נפגע העבירה בענייננו</w:t>
      </w:r>
      <w:r>
        <w:rPr>
          <w:rtl w:val="true"/>
        </w:rPr>
        <w:t xml:space="preserve">. </w:t>
      </w:r>
      <w:r>
        <w:rPr>
          <w:rtl w:val="true"/>
        </w:rPr>
        <w:t xml:space="preserve">לכך גם מצטרף עברם הפלילי של המערערים </w:t>
      </w:r>
      <w:r>
        <w:rPr>
          <w:rtl w:val="true"/>
        </w:rPr>
        <w:t>–</w:t>
      </w:r>
      <w:r>
        <w:rPr>
          <w:rtl w:val="true"/>
        </w:rPr>
        <w:t xml:space="preserve"> הרשעתו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בשל עבירות של תקיפה הגורמת חבלה ממש</w:t>
      </w:r>
      <w:r>
        <w:rPr>
          <w:rtl w:val="true"/>
        </w:rPr>
        <w:t xml:space="preserve">, </w:t>
      </w:r>
      <w:r>
        <w:rPr>
          <w:rtl w:val="true"/>
        </w:rPr>
        <w:t>כליאת שווא והפרעה לשוטר במילוי תפקידו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מהשנים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הכוללות עבירות של איומים</w:t>
      </w:r>
      <w:r>
        <w:rPr>
          <w:rtl w:val="true"/>
        </w:rPr>
        <w:t xml:space="preserve">, </w:t>
      </w:r>
      <w:r>
        <w:rPr>
          <w:rtl w:val="true"/>
        </w:rPr>
        <w:t>תקיפה וגניבה</w:t>
      </w:r>
      <w:r>
        <w:rPr>
          <w:rtl w:val="true"/>
        </w:rPr>
        <w:t xml:space="preserve">. </w:t>
      </w:r>
      <w:r>
        <w:rPr>
          <w:rtl w:val="true"/>
        </w:rPr>
        <w:t>בהתחשב במכלול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כמו גם 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לא קמה כל הצדקה להתערב בעונש שהושת עליהם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העונש שהושת על המערערים אינו בגדר הרף הגבוה של הענישה המקובלת </w:t>
      </w:r>
      <w:r>
        <w:rPr>
          <w:rtl w:val="true"/>
        </w:rPr>
        <w:t>(</w:t>
      </w:r>
      <w:r>
        <w:rPr>
          <w:rtl w:val="true"/>
        </w:rPr>
        <w:t>ראו למשל לעניין עבירת סחיטה באיומים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ה </w:t>
      </w:r>
      <w:r>
        <w:rPr>
          <w:rtl w:val="true"/>
        </w:rPr>
        <w:t>(</w:t>
      </w:r>
      <w:r>
        <w:rPr/>
        <w:t>14.5.2007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כעאבנה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6.5.2015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אין לקבל את טענת המערערים כי שגה בית המשפט בכך שלא חרג ממתחם העונש שנקבע לקולא</w:t>
      </w:r>
      <w:r>
        <w:rPr>
          <w:rtl w:val="true"/>
        </w:rPr>
        <w:t xml:space="preserve">, </w:t>
      </w:r>
      <w:r>
        <w:rPr>
          <w:rtl w:val="true"/>
        </w:rPr>
        <w:t>נוכח סיכוייהם הממשיים של המערערים להשתקם</w:t>
      </w:r>
      <w:r>
        <w:rPr>
          <w:rtl w:val="true"/>
        </w:rPr>
        <w:t xml:space="preserve">. </w:t>
      </w:r>
      <w:r>
        <w:rPr>
          <w:rtl w:val="true"/>
        </w:rPr>
        <w:t xml:space="preserve">זאת בהתחשב בהוראת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לחוק על פיה רשאי בית המשפט לחרוג מהמתחם בהינתן סיכויים ממשיים לשיקום</w:t>
      </w:r>
      <w:r>
        <w:rPr>
          <w:rtl w:val="true"/>
        </w:rPr>
        <w:t xml:space="preserve">. </w:t>
      </w:r>
      <w:r>
        <w:rPr>
          <w:rtl w:val="true"/>
        </w:rPr>
        <w:t>כבר נקבע כי סמכות זו היא סמכות שבשיקול הדעת</w:t>
      </w:r>
      <w:r>
        <w:rPr>
          <w:rtl w:val="true"/>
        </w:rPr>
        <w:t xml:space="preserve">, </w:t>
      </w:r>
      <w:r>
        <w:rPr>
          <w:rtl w:val="true"/>
        </w:rPr>
        <w:t>ואין בית המשפט מחויב לפעול כאמור באותו סעיף</w:t>
      </w:r>
      <w:r>
        <w:rPr>
          <w:rtl w:val="true"/>
        </w:rPr>
        <w:t xml:space="preserve">, </w:t>
      </w:r>
      <w:r>
        <w:rPr>
          <w:rtl w:val="true"/>
        </w:rPr>
        <w:t xml:space="preserve">אף אם מדובר בנאשם שהשתקם או כאשר קיים סיכוי ממשי שישתקם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3102/14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17.11.2014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5-4</w:t>
      </w:r>
      <w:r>
        <w:rPr>
          <w:rtl w:val="true"/>
        </w:rPr>
        <w:t xml:space="preserve"> (</w:t>
      </w:r>
      <w:r>
        <w:rPr/>
        <w:t>14.1.2015</w:t>
      </w:r>
      <w:r>
        <w:rPr>
          <w:rtl w:val="true"/>
        </w:rPr>
        <w:t xml:space="preserve">)). </w:t>
      </w:r>
      <w:r>
        <w:rPr>
          <w:rtl w:val="true"/>
        </w:rPr>
        <w:t>אין גם צורך לומר את הידוע לכל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אינו כבול להמלצת שירות המבחן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נפתלי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7.4.2019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בית המשפט המחוזי לקח בחשבון את השינוי החיובי שעברו המערערים במהלך טיפולם במרכז</w:t>
      </w:r>
      <w:r>
        <w:rPr>
          <w:rtl w:val="true"/>
        </w:rPr>
        <w:t xml:space="preserve">, </w:t>
      </w:r>
      <w:r>
        <w:rPr>
          <w:rtl w:val="true"/>
        </w:rPr>
        <w:t xml:space="preserve">כמו גם את לקיחת האחריות על ידם </w:t>
      </w:r>
      <w:r>
        <w:rPr>
          <w:rtl w:val="true"/>
        </w:rPr>
        <w:t>(</w:t>
      </w:r>
      <w:r>
        <w:rPr>
          <w:rtl w:val="true"/>
        </w:rPr>
        <w:t>שהגיעה בשלב מאוחר בהליך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ובהתחשב בנסיבות אישיות נוספות כגון אחריותם לפרנסת משפחותיהם</w:t>
      </w:r>
      <w:r>
        <w:rPr>
          <w:rtl w:val="true"/>
        </w:rPr>
        <w:t xml:space="preserve">, </w:t>
      </w:r>
      <w:r>
        <w:rPr>
          <w:rtl w:val="true"/>
        </w:rPr>
        <w:t>גזר עליהם בית המשפט בהתאם עונש הממוקם ברף התחתון של המתחם שנקבע</w:t>
      </w:r>
      <w:r>
        <w:rPr>
          <w:rtl w:val="true"/>
        </w:rPr>
        <w:t xml:space="preserve">. </w:t>
      </w:r>
      <w:r>
        <w:rPr>
          <w:rtl w:val="true"/>
        </w:rPr>
        <w:t>בית המשפט המחוזי שקל אפוא את כלל השיקולים לחומרה ולקולא בהגיעו לתוצאה מאוזנת בנסיבות העניין באופן אשר אינו מצדיק את התערבותנו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לולא מאמצי השיקום שעברו שני המערערים</w:t>
      </w:r>
      <w:r>
        <w:rPr>
          <w:rtl w:val="true"/>
        </w:rPr>
        <w:t xml:space="preserve">, </w:t>
      </w:r>
      <w:r>
        <w:rPr>
          <w:rtl w:val="true"/>
        </w:rPr>
        <w:t>העונש אשר היה מוטל עליהם היה קרוב לוודאי חמור בהרבה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המערערים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יתייצב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לשאת בעונש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י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המאסר בפועל שהוטל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עלי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הם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בתאריך </w:t>
      </w:r>
      <w:r>
        <w:rPr>
          <w:rFonts w:cs="FrankRuehl;Times New Roman" w:ascii="FrankRuehl;Times New Roman" w:hAnsi="FrankRuehl;Times New Roman"/>
          <w:sz w:val="28"/>
        </w:rPr>
        <w:t>20.11.2019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עד השעה </w:t>
      </w:r>
      <w:r>
        <w:rPr>
          <w:rFonts w:cs="FrankRuehl;Times New Roman" w:ascii="FrankRuehl;Times New Roman" w:hAnsi="FrankRuehl;Times New Roman"/>
          <w:sz w:val="28"/>
        </w:rPr>
        <w:t>10:00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בבית סוהר הדרים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או על פי החלטת שירות בתי הסוהר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כשברשות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ם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תעודת זהות או דרכון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על המערער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ים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לתאם את הכניסה למאסר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כולל האפשרות למיון מוקדם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עם ענף אבחון ומיון של שירות בתי הסוהר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בטלפונים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cs="FrankRuehl;Times New Roman" w:ascii="FrankRuehl;Times New Roman" w:hAnsi="FrankRuehl;Times New Roman"/>
          <w:sz w:val="28"/>
        </w:rPr>
        <w:t>08-9787377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או </w:t>
      </w:r>
      <w:r>
        <w:rPr>
          <w:rFonts w:cs="FrankRuehl;Times New Roman" w:ascii="FrankRuehl;Times New Roman" w:hAnsi="FrankRuehl;Times New Roman"/>
          <w:sz w:val="28"/>
        </w:rPr>
        <w:t>08-9787336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24.10.2019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19029350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54678313-2935/19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2935/19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פאוזי משהראוי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3329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27" TargetMode="External"/><Relationship Id="rId7" Type="http://schemas.openxmlformats.org/officeDocument/2006/relationships/hyperlink" Target="http://www.nevo.co.il/case/21833299" TargetMode="External"/><Relationship Id="rId8" Type="http://schemas.openxmlformats.org/officeDocument/2006/relationships/hyperlink" Target="http://www.nevo.co.il/law/70301/427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case/25612982" TargetMode="External"/><Relationship Id="rId13" Type="http://schemas.openxmlformats.org/officeDocument/2006/relationships/hyperlink" Target="http://www.nevo.co.il/case/25254027" TargetMode="External"/><Relationship Id="rId14" Type="http://schemas.openxmlformats.org/officeDocument/2006/relationships/hyperlink" Target="http://www.nevo.co.il/case/25836997" TargetMode="External"/><Relationship Id="rId15" Type="http://schemas.openxmlformats.org/officeDocument/2006/relationships/hyperlink" Target="http://www.nevo.co.il/case/20683368" TargetMode="External"/><Relationship Id="rId16" Type="http://schemas.openxmlformats.org/officeDocument/2006/relationships/hyperlink" Target="http://www.nevo.co.il/case/6712767" TargetMode="External"/><Relationship Id="rId17" Type="http://schemas.openxmlformats.org/officeDocument/2006/relationships/hyperlink" Target="http://www.nevo.co.il/case/23775111" TargetMode="External"/><Relationship Id="rId18" Type="http://schemas.openxmlformats.org/officeDocument/2006/relationships/hyperlink" Target="http://www.nevo.co.il/case/23506856" TargetMode="External"/><Relationship Id="rId19" Type="http://schemas.openxmlformats.org/officeDocument/2006/relationships/hyperlink" Target="http://www.nevo.co.il/case/17948153" TargetMode="External"/><Relationship Id="rId20" Type="http://schemas.openxmlformats.org/officeDocument/2006/relationships/hyperlink" Target="http://www.nevo.co.il/case/24263095" TargetMode="External"/><Relationship Id="rId21" Type="http://schemas.openxmlformats.org/officeDocument/2006/relationships/hyperlink" Target="http://www.nevo.co.il/case/5787319" TargetMode="External"/><Relationship Id="rId22" Type="http://schemas.openxmlformats.org/officeDocument/2006/relationships/hyperlink" Target="http://www.nevo.co.il/case/19999534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case/17014777" TargetMode="External"/><Relationship Id="rId25" Type="http://schemas.openxmlformats.org/officeDocument/2006/relationships/hyperlink" Target="http://www.nevo.co.il/case/10442671" TargetMode="External"/><Relationship Id="rId26" Type="http://schemas.openxmlformats.org/officeDocument/2006/relationships/hyperlink" Target="http://www.nevo.co.il/case/23226247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2019-10-27T09:07:00Z</dcterms:created>
  <dc:creator>h4</dc:creator>
  <dc:description/>
  <cp:keywords/>
  <dc:language>en-IL</dc:language>
  <cp:lastModifiedBy>orly</cp:lastModifiedBy>
  <cp:lastPrinted>2019-10-24T10:35:00Z</cp:lastPrinted>
  <dcterms:modified xsi:type="dcterms:W3CDTF">2019-10-27T09:07:00Z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פאוזי משהראוי;סעיד משהראוי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21833299:2;25612982;25254027;25836997;20683368;6712767;23775111;23506856;17948153;24263095;5787319;19999534;17014777;10442671;23226247</vt:lpwstr>
  </property>
  <property fmtid="{D5CDD505-2E9C-101B-9397-08002B2CF9AE}" pid="9" name="CITY">
    <vt:lpwstr/>
  </property>
  <property fmtid="{D5CDD505-2E9C-101B-9397-08002B2CF9AE}" pid="10" name="DATE">
    <vt:lpwstr>20191024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מינץ;א' שטיין</vt:lpwstr>
  </property>
  <property fmtid="{D5CDD505-2E9C-101B-9397-08002B2CF9AE}" pid="14" name="LAWLISTTMP1">
    <vt:lpwstr>70301/427;029;040d:2</vt:lpwstr>
  </property>
  <property fmtid="{D5CDD505-2E9C-101B-9397-08002B2CF9AE}" pid="15" name="LAWYER">
    <vt:lpwstr>איתמר גלבפיש;אלון קריטי;ברכה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1443;1443;1446;1446</vt:lpwstr>
  </property>
  <property fmtid="{D5CDD505-2E9C-101B-9397-08002B2CF9AE}" pid="48" name="NOSE31">
    <vt:lpwstr>מדיניות ענישה: התערבות ערכאת ערעור</vt:lpwstr>
  </property>
  <property fmtid="{D5CDD505-2E9C-101B-9397-08002B2CF9AE}" pid="49" name="NOSE310">
    <vt:lpwstr/>
  </property>
  <property fmtid="{D5CDD505-2E9C-101B-9397-08002B2CF9AE}" pid="50" name="NOSE32">
    <vt:lpwstr>סחיטה בכוח</vt:lpwstr>
  </property>
  <property fmtid="{D5CDD505-2E9C-101B-9397-08002B2CF9AE}" pid="51" name="NOSE33">
    <vt:lpwstr>מדיניות ענישה: עבירת סחיטה באיומים</vt:lpwstr>
  </property>
  <property fmtid="{D5CDD505-2E9C-101B-9397-08002B2CF9AE}" pid="52" name="NOSE34">
    <vt:lpwstr>שיקום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15335;12903;13706;17420</vt:lpwstr>
  </property>
  <property fmtid="{D5CDD505-2E9C-101B-9397-08002B2CF9AE}" pid="59" name="PADIDATE">
    <vt:lpwstr>20191027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2935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410120191024</vt:lpwstr>
  </property>
  <property fmtid="{D5CDD505-2E9C-101B-9397-08002B2CF9AE}" pid="69" name="TYPE_N_DATE">
    <vt:lpwstr>41020191024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