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2939/19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חלפון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18.3.2019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47668-10-17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מיכל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ברקו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21.1.2020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הרסני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המתפשטת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ומסכנת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ובקביעתו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הרסני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המתפשטת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ומסכנת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ובקביעתו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נזקי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הנעזרת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בכיסא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גלגלים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הדרושים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נאכלה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שכניה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ניזוקה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קצהו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לגרום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לפגיעות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מהדירה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ביציאתה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מהדירה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להוציאה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יוזכר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היחידה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שנלוו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לדירתה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מאוחרת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תוכננה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מכביד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מצטבר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ריצה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בדרכיו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כשמעל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מרחפים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לזקוף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לזקוף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לזכותו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בשלב זה מונח לפנינו ערעור על גזר הדין של בית המשפט המחוזי מרכז בלוד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47668-10-17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18.3.2019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הושתו על המערער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בגין הצתת דירה בה גרה אחותו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כאשר יחד עם הפעלת מאסרים מותנים הועמד עונשו על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הכרעת הדין בתיק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16.10.2017</w:t>
      </w:r>
      <w:r>
        <w:rPr>
          <w:rtl w:val="true"/>
        </w:rPr>
        <w:t xml:space="preserve"> </w:t>
      </w:r>
      <w:r>
        <w:rPr>
          <w:rtl w:val="true"/>
        </w:rPr>
        <w:t>לקראת חצות נכנס המערער לדירה בה חיה המתלוננת</w:t>
      </w:r>
      <w:r>
        <w:rPr>
          <w:rtl w:val="true"/>
        </w:rPr>
        <w:t xml:space="preserve">, </w:t>
      </w:r>
      <w:r>
        <w:rPr>
          <w:rtl w:val="true"/>
        </w:rPr>
        <w:t>ובה שהתה בגפה באותה עת</w:t>
      </w:r>
      <w:r>
        <w:rPr>
          <w:rtl w:val="true"/>
        </w:rPr>
        <w:t xml:space="preserve">, </w:t>
      </w:r>
      <w:r>
        <w:rPr>
          <w:rtl w:val="true"/>
        </w:rPr>
        <w:t>והחל להתפרע</w:t>
      </w:r>
      <w:r>
        <w:rPr>
          <w:rtl w:val="true"/>
        </w:rPr>
        <w:t xml:space="preserve">: </w:t>
      </w:r>
      <w:r>
        <w:rPr>
          <w:rtl w:val="true"/>
        </w:rPr>
        <w:t>הוא גידף את המתלוננת באופן חריף</w:t>
      </w:r>
      <w:r>
        <w:rPr>
          <w:rtl w:val="true"/>
        </w:rPr>
        <w:t xml:space="preserve">, </w:t>
      </w:r>
      <w:r>
        <w:rPr>
          <w:rtl w:val="true"/>
        </w:rPr>
        <w:t>שפך עליה מים והכה אותה בבקבוק</w:t>
      </w:r>
      <w:r>
        <w:rPr>
          <w:rtl w:val="true"/>
        </w:rPr>
        <w:t xml:space="preserve">, </w:t>
      </w:r>
      <w:r>
        <w:rPr>
          <w:rtl w:val="true"/>
        </w:rPr>
        <w:t>שפך נוזלים על רכושה</w:t>
      </w:r>
      <w:r>
        <w:rPr>
          <w:rtl w:val="true"/>
        </w:rPr>
        <w:t xml:space="preserve">, </w:t>
      </w:r>
      <w:r>
        <w:rPr>
          <w:rtl w:val="true"/>
        </w:rPr>
        <w:t xml:space="preserve">ואיים עליה באומרו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נכה הנעזרת בכיסא גלגלים או בקביים לצורך התניידות</w:t>
      </w:r>
      <w:r>
        <w:rPr>
          <w:rtl w:val="true"/>
        </w:rPr>
        <w:t xml:space="preserve">, </w:t>
      </w:r>
      <w:r>
        <w:rPr>
          <w:rtl w:val="true"/>
        </w:rPr>
        <w:t>הצליחה לצאת מהדירה בזחילה</w:t>
      </w:r>
      <w:r>
        <w:rPr>
          <w:rtl w:val="true"/>
        </w:rPr>
        <w:t xml:space="preserve">. </w:t>
      </w:r>
      <w:r>
        <w:rPr>
          <w:rtl w:val="true"/>
        </w:rPr>
        <w:t>היא נעלה את הדלת ואמרה למערער כי היא מתקשרת למשטרה</w:t>
      </w:r>
      <w:r>
        <w:rPr>
          <w:rtl w:val="true"/>
        </w:rPr>
        <w:t xml:space="preserve">. </w:t>
      </w:r>
      <w:r>
        <w:rPr>
          <w:rtl w:val="true"/>
        </w:rPr>
        <w:t>המערער חזר ואיים</w:t>
      </w:r>
      <w:r>
        <w:rPr>
          <w:rtl w:val="true"/>
        </w:rPr>
        <w:t xml:space="preserve">, </w:t>
      </w:r>
      <w:r>
        <w:rPr>
          <w:rtl w:val="true"/>
        </w:rPr>
        <w:t>כאשר הוא צועק מתוך הדירה כלפי המתלוננת המצויה מחוץ לה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 האירוע המערער שפך בדירה חומר דליק והצית אותה</w:t>
      </w:r>
      <w:r>
        <w:rPr>
          <w:rtl w:val="true"/>
        </w:rPr>
        <w:t xml:space="preserve">. </w:t>
      </w:r>
      <w:r>
        <w:rPr>
          <w:rtl w:val="true"/>
        </w:rPr>
        <w:t>לאחר מכן יצא מהדירה דרך המרפסת</w:t>
      </w:r>
      <w:r>
        <w:rPr>
          <w:rtl w:val="true"/>
        </w:rPr>
        <w:t xml:space="preserve">. </w:t>
      </w:r>
      <w:r>
        <w:rPr>
          <w:rtl w:val="true"/>
        </w:rPr>
        <w:t>אש התפשטה בכל רחבי הדירה</w:t>
      </w:r>
      <w:r>
        <w:rPr>
          <w:rtl w:val="true"/>
        </w:rPr>
        <w:t xml:space="preserve">. </w:t>
      </w:r>
      <w:r>
        <w:rPr>
          <w:rtl w:val="true"/>
        </w:rPr>
        <w:t>תכולתה נשרפה כליל</w:t>
      </w:r>
      <w:r>
        <w:rPr>
          <w:rtl w:val="true"/>
        </w:rPr>
        <w:t xml:space="preserve">, </w:t>
      </w:r>
      <w:r>
        <w:rPr>
          <w:rtl w:val="true"/>
        </w:rPr>
        <w:t>לרבות תרופותיה של המתלוננת ואמצעי עזר לנכותה</w:t>
      </w:r>
      <w:r>
        <w:rPr>
          <w:rtl w:val="true"/>
        </w:rPr>
        <w:t xml:space="preserve">. </w:t>
      </w:r>
      <w:r>
        <w:rPr>
          <w:rtl w:val="true"/>
        </w:rPr>
        <w:t>חלק מתקרת הסלון קרסה</w:t>
      </w:r>
      <w:r>
        <w:rPr>
          <w:rtl w:val="true"/>
        </w:rPr>
        <w:t xml:space="preserve">. </w:t>
      </w:r>
      <w:r>
        <w:rPr>
          <w:rtl w:val="true"/>
        </w:rPr>
        <w:t>האש התפשטה אף מחוץ לדירה</w:t>
      </w:r>
      <w:r>
        <w:rPr>
          <w:rtl w:val="true"/>
        </w:rPr>
        <w:t xml:space="preserve">, </w:t>
      </w:r>
      <w:r>
        <w:rPr>
          <w:rtl w:val="true"/>
        </w:rPr>
        <w:t>המצויה בבניין רב דירות</w:t>
      </w:r>
      <w:r>
        <w:rPr>
          <w:rtl w:val="true"/>
        </w:rPr>
        <w:t xml:space="preserve">, </w:t>
      </w:r>
      <w:r>
        <w:rPr>
          <w:rtl w:val="true"/>
        </w:rPr>
        <w:t>וגרמה לנזקים שונים בדירה הממוקמת קומה מעל לדירת המתלוננת</w:t>
      </w:r>
      <w:r>
        <w:rPr>
          <w:rtl w:val="true"/>
        </w:rPr>
        <w:t xml:space="preserve">. </w:t>
      </w:r>
      <w:r>
        <w:rPr>
          <w:rtl w:val="true"/>
        </w:rPr>
        <w:t>דירת המתלוננת הייתה דירת עמידר שבבעלות המדינה</w:t>
      </w:r>
      <w:r>
        <w:rPr>
          <w:rtl w:val="true"/>
        </w:rPr>
        <w:t xml:space="preserve">, </w:t>
      </w:r>
      <w:r>
        <w:rPr>
          <w:rtl w:val="true"/>
        </w:rPr>
        <w:t>ועקב השריפה נותרה המתלוננת חסרת כל</w:t>
      </w:r>
      <w:r>
        <w:rPr>
          <w:rtl w:val="true"/>
        </w:rPr>
        <w:t xml:space="preserve">; </w:t>
      </w:r>
      <w:r>
        <w:rPr>
          <w:rtl w:val="true"/>
        </w:rPr>
        <w:t>במשך כמה ימים נאלצה לדור ברחוב</w:t>
      </w:r>
      <w:r>
        <w:rPr>
          <w:rtl w:val="true"/>
        </w:rPr>
        <w:t xml:space="preserve">, </w:t>
      </w:r>
      <w:r>
        <w:rPr>
          <w:rtl w:val="true"/>
        </w:rPr>
        <w:t>ולאחר מכן השתכנה בהוסטל</w:t>
      </w:r>
      <w:r>
        <w:rPr>
          <w:rtl w:val="true"/>
        </w:rPr>
        <w:t xml:space="preserve">. </w:t>
      </w:r>
      <w:r>
        <w:rPr>
          <w:rtl w:val="true"/>
        </w:rPr>
        <w:t>משטרה שהוזעקה למקום עצרה את המערער</w:t>
      </w:r>
      <w:r>
        <w:rPr>
          <w:rtl w:val="true"/>
        </w:rPr>
        <w:t xml:space="preserve">. </w:t>
      </w:r>
      <w:r>
        <w:rPr>
          <w:rtl w:val="true"/>
        </w:rPr>
        <w:t>בתחנת המשטרה המערער הטיח גידופים בשוטר ששמר עליו</w:t>
      </w:r>
      <w:r>
        <w:rPr>
          <w:rtl w:val="true"/>
        </w:rPr>
        <w:t xml:space="preserve">, </w:t>
      </w:r>
      <w:r>
        <w:rPr>
          <w:rtl w:val="true"/>
        </w:rPr>
        <w:t>תוך התייחסות למוצאו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בעקבות האירוע המתואר הורשע המערער בעבירות של 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והיזק בזדון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בית המשפט קמא קבע כי הגידופים שהפנה המערער לשוטר בתחנת המשטרה מהווים אירוע נפרד</w:t>
      </w:r>
      <w:r>
        <w:rPr>
          <w:rtl w:val="true"/>
        </w:rPr>
        <w:t xml:space="preserve">, </w:t>
      </w:r>
      <w:r>
        <w:rPr>
          <w:rtl w:val="true"/>
        </w:rPr>
        <w:t>ובגינו הורשע בעבירה של העלבת עובד ציבור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יוער כי המערער זוכה מחלק מהעבירות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זוכה משתי עבירות של פציעה בנסיבות מחמירות 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הן ביחס לאירוע ההצתה שתואר לעיל והן ביחס לאירוע שקדם לו במספר ימים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 קביעת מתחם ענישה ההולם את מעשי המערער עמד בית המשפט קמא על הערכים המוגנים שנפגעו ממעשיו</w:t>
      </w:r>
      <w:r>
        <w:rPr>
          <w:rtl w:val="true"/>
        </w:rPr>
        <w:t xml:space="preserve">, </w:t>
      </w:r>
      <w:r>
        <w:rPr>
          <w:rtl w:val="true"/>
        </w:rPr>
        <w:t>פוטנציאל הנזק שטמון בהם ונסיבות ביצוע המעשים</w:t>
      </w:r>
      <w:r>
        <w:rPr>
          <w:rtl w:val="true"/>
        </w:rPr>
        <w:t xml:space="preserve">. </w:t>
      </w:r>
      <w:r>
        <w:rPr>
          <w:rtl w:val="true"/>
        </w:rPr>
        <w:t>בתוך כך ציין כי הנזקים שנגרמו מהשריפה נאמדו בכ</w:t>
      </w:r>
      <w:r>
        <w:rPr>
          <w:rtl w:val="true"/>
        </w:rPr>
        <w:t>-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וכן כי לא ניתן לקבוע כי הצתת הדירה הייתה פרי תכנון מקדים</w:t>
      </w:r>
      <w:r>
        <w:rPr>
          <w:rtl w:val="true"/>
        </w:rPr>
        <w:t xml:space="preserve">. </w:t>
      </w:r>
      <w:r>
        <w:rPr>
          <w:rtl w:val="true"/>
        </w:rPr>
        <w:t xml:space="preserve">נקבע כי מתחם הענישה יעמוד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מתחם הענישה בגין העלבת עובד ציבור נקבע בין מאסר מותנה לבין מאסר בן חודשים ספורים</w:t>
      </w:r>
      <w:r>
        <w:rPr>
          <w:rtl w:val="true"/>
        </w:rPr>
        <w:t xml:space="preserve">, </w:t>
      </w:r>
      <w:r>
        <w:rPr>
          <w:rtl w:val="true"/>
        </w:rPr>
        <w:t>שאפשר שירוצו על דרך עבודות שירות</w:t>
      </w:r>
      <w:r>
        <w:rPr>
          <w:rtl w:val="true"/>
        </w:rPr>
        <w:t xml:space="preserve">. </w:t>
      </w:r>
      <w:r>
        <w:rPr>
          <w:rtl w:val="true"/>
        </w:rPr>
        <w:t>לצורך קביעת העונש בתוך מתחם הענישה התייחס בית המשפט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לילדותו הקשה של המערער</w:t>
      </w:r>
      <w:r>
        <w:rPr>
          <w:rtl w:val="true"/>
        </w:rPr>
        <w:t xml:space="preserve">, </w:t>
      </w:r>
      <w:r>
        <w:rPr>
          <w:rtl w:val="true"/>
        </w:rPr>
        <w:t>התמכרותו לסמים</w:t>
      </w:r>
      <w:r>
        <w:rPr>
          <w:rtl w:val="true"/>
        </w:rPr>
        <w:t xml:space="preserve">, </w:t>
      </w:r>
      <w:r>
        <w:rPr>
          <w:rtl w:val="true"/>
        </w:rPr>
        <w:t>דלקת כבד בה לקה</w:t>
      </w:r>
      <w:r>
        <w:rPr>
          <w:rtl w:val="true"/>
        </w:rPr>
        <w:t xml:space="preserve">, </w:t>
      </w:r>
      <w:r>
        <w:rPr>
          <w:rtl w:val="true"/>
        </w:rPr>
        <w:t>מצבו הנפשי והכלכלי שאינו שפיר</w:t>
      </w:r>
      <w:r>
        <w:rPr>
          <w:rtl w:val="true"/>
        </w:rPr>
        <w:t xml:space="preserve">, </w:t>
      </w:r>
      <w:r>
        <w:rPr>
          <w:rtl w:val="true"/>
        </w:rPr>
        <w:t>ותקופת המעצר שריצה</w:t>
      </w:r>
      <w:r>
        <w:rPr>
          <w:rtl w:val="true"/>
        </w:rPr>
        <w:t xml:space="preserve">. </w:t>
      </w:r>
      <w:r>
        <w:rPr>
          <w:rtl w:val="true"/>
        </w:rPr>
        <w:t>לחומרה צוינו הרשעות קודמות של המערער בעבירות רכוש ואלימות</w:t>
      </w:r>
      <w:r>
        <w:rPr>
          <w:rtl w:val="true"/>
        </w:rPr>
        <w:t xml:space="preserve">, </w:t>
      </w:r>
      <w:r>
        <w:rPr>
          <w:rtl w:val="true"/>
        </w:rPr>
        <w:t>בגינן ריצה מספר תקופות מאסר המצטברות לכ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העדר רצון לקבל טיפול ושיקום מהתמכרותו לסמים</w:t>
      </w:r>
      <w:r>
        <w:rPr>
          <w:rtl w:val="true"/>
        </w:rPr>
        <w:t xml:space="preserve">, </w:t>
      </w:r>
      <w:r>
        <w:rPr>
          <w:rtl w:val="true"/>
        </w:rPr>
        <w:t>וביצוע עבירת ההצתה כשמעליו מרחפים שני מאסרים מותנים</w:t>
      </w:r>
      <w:r>
        <w:rPr>
          <w:rtl w:val="true"/>
        </w:rPr>
        <w:t xml:space="preserve">, </w:t>
      </w:r>
      <w:r>
        <w:rPr>
          <w:rtl w:val="true"/>
        </w:rPr>
        <w:t>האחד בגין ביצוע עבירת איומים והשני בגין ביצוע עבירת היזק בזדון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כפר במיוחס לו ונמנע מלקיחת אחריות על מעשיו</w:t>
      </w:r>
      <w:r>
        <w:rPr>
          <w:rtl w:val="true"/>
        </w:rPr>
        <w:t xml:space="preserve">. </w:t>
      </w:r>
      <w:r>
        <w:rPr>
          <w:rtl w:val="true"/>
        </w:rPr>
        <w:t>הוא לא הביע חרטה ואף לעג למתלוננת במהלך המשפט</w:t>
      </w:r>
      <w:r>
        <w:rPr>
          <w:rtl w:val="true"/>
        </w:rPr>
        <w:t xml:space="preserve">. </w:t>
      </w:r>
      <w:r>
        <w:rPr>
          <w:rtl w:val="true"/>
        </w:rPr>
        <w:t>נוכח דברים אלו</w:t>
      </w:r>
      <w:r>
        <w:rPr>
          <w:rtl w:val="true"/>
        </w:rPr>
        <w:t xml:space="preserve">, </w:t>
      </w:r>
      <w:r>
        <w:rPr>
          <w:rtl w:val="true"/>
        </w:rPr>
        <w:t>מצא בית המשפט כי קיים סיכון ממשי להישנות עבירות מצד המערער וכי גדול הצורך בהרתעתו האישית</w:t>
      </w:r>
      <w:r>
        <w:rPr>
          <w:rtl w:val="true"/>
        </w:rPr>
        <w:t xml:space="preserve">, </w:t>
      </w:r>
      <w:r>
        <w:rPr>
          <w:rtl w:val="true"/>
        </w:rPr>
        <w:t>לצד הרתעת הרבים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קבע שאין מנוס ממיקום המערער במחצית העליונה של מתחם הענישה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קבע בית המשפט כי יש טעם לחפיפה מסוימת של עונשי המאסר המותנים שיש להפעיל</w:t>
      </w:r>
      <w:r>
        <w:rPr>
          <w:rtl w:val="true"/>
        </w:rPr>
        <w:t xml:space="preserve">, </w:t>
      </w:r>
      <w:r>
        <w:rPr>
          <w:rtl w:val="true"/>
        </w:rPr>
        <w:t xml:space="preserve">על מנת לספק למערער תמריץ </w:t>
      </w:r>
      <w:r>
        <w:rPr>
          <w:rtl w:val="true"/>
        </w:rPr>
        <w:t>"</w:t>
      </w:r>
      <w:r>
        <w:rPr>
          <w:rtl w:val="true"/>
        </w:rPr>
        <w:t>לקחת עצמו בידיים</w:t>
      </w:r>
      <w:r>
        <w:rPr>
          <w:rtl w:val="true"/>
        </w:rPr>
        <w:t xml:space="preserve">" </w:t>
      </w:r>
      <w:r>
        <w:rPr>
          <w:rtl w:val="true"/>
        </w:rPr>
        <w:t>ולהתחיל טיפולי גמילה</w:t>
      </w:r>
      <w:r>
        <w:rPr>
          <w:rtl w:val="true"/>
        </w:rPr>
        <w:t xml:space="preserve">, </w:t>
      </w:r>
      <w:r>
        <w:rPr>
          <w:rtl w:val="true"/>
        </w:rPr>
        <w:t>למען יהא זה מאסרו האחרון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 שנגזר על המערער בגין כלל העבירות הוא לפיכך כדלקמן</w:t>
      </w:r>
      <w:r>
        <w:rPr>
          <w:rtl w:val="true"/>
        </w:rPr>
        <w:t xml:space="preserve">: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הפעלת שני מאסרים מותנים בגין עבירות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בני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אשר יוטלו בחופף ובמצטבר זה לזה </w:t>
      </w:r>
      <w:r>
        <w:rPr>
          <w:rtl w:val="true"/>
        </w:rPr>
        <w:t>(</w:t>
      </w:r>
      <w:r>
        <w:rPr>
          <w:rtl w:val="true"/>
        </w:rPr>
        <w:t xml:space="preserve">לעונש המאסר נוספו לפיכך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כך שסך הכול יישא המערער בעונש מאסר בן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); </w:t>
      </w:r>
      <w:r>
        <w:rPr>
          <w:rtl w:val="true"/>
        </w:rPr>
        <w:t xml:space="preserve">שני מאסרים מותנים בני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ערעור על הכרעת הדין</w:t>
      </w:r>
      <w:r>
        <w:rPr>
          <w:rtl w:val="true"/>
        </w:rPr>
        <w:t xml:space="preserve">, </w:t>
      </w:r>
      <w:r>
        <w:rPr>
          <w:rtl w:val="true"/>
        </w:rPr>
        <w:t>וכן על גזר הדין</w:t>
      </w:r>
      <w:r>
        <w:rPr>
          <w:rtl w:val="true"/>
        </w:rPr>
        <w:t xml:space="preserve">, </w:t>
      </w:r>
      <w:r>
        <w:rPr>
          <w:rtl w:val="true"/>
        </w:rPr>
        <w:t>הוגש לבית משפט זה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21.1.2020</w:t>
      </w:r>
      <w:r>
        <w:rPr>
          <w:rtl w:val="true"/>
        </w:rPr>
        <w:t xml:space="preserve"> </w:t>
      </w:r>
      <w:r>
        <w:rPr>
          <w:rtl w:val="true"/>
        </w:rPr>
        <w:t>התקיים דיון בערעור</w:t>
      </w:r>
      <w:r>
        <w:rPr>
          <w:rtl w:val="true"/>
        </w:rPr>
        <w:t xml:space="preserve">, </w:t>
      </w:r>
      <w:r>
        <w:rPr>
          <w:rtl w:val="true"/>
        </w:rPr>
        <w:t xml:space="preserve">במהלכו קיבל המערער את המלצת בית המשפט וחזר בו מהערעור על הכרעת הדין </w:t>
      </w:r>
      <w:r>
        <w:rPr>
          <w:rtl w:val="true"/>
        </w:rPr>
        <w:t>(</w:t>
      </w:r>
      <w:r>
        <w:rPr>
          <w:rtl w:val="true"/>
        </w:rPr>
        <w:t>ראו החלטתנו מיום זה</w:t>
      </w:r>
      <w:r>
        <w:rPr>
          <w:rtl w:val="true"/>
        </w:rPr>
        <w:t xml:space="preserve">). </w:t>
      </w:r>
      <w:r>
        <w:rPr>
          <w:rtl w:val="true"/>
        </w:rPr>
        <w:t>על שום כך</w:t>
      </w:r>
      <w:r>
        <w:rPr>
          <w:rtl w:val="true"/>
        </w:rPr>
        <w:t xml:space="preserve">, </w:t>
      </w:r>
      <w:r>
        <w:rPr>
          <w:rtl w:val="true"/>
        </w:rPr>
        <w:t>דיוננו בשלב הנוכחי יעסוק בטענות המערער ביחס לגזר הדין בלבד</w:t>
      </w:r>
      <w:r>
        <w:rPr>
          <w:rtl w:val="true"/>
        </w:rPr>
        <w:t xml:space="preserve">. </w:t>
      </w:r>
      <w:r>
        <w:rPr>
          <w:rtl w:val="true"/>
        </w:rPr>
        <w:t>ביחס אליו טען המערער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כי מתחם הענישה שקבע בית המשפט קמא מחמיר מדי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לכך שהמערער לא פעל מתוך תכנון מוקדם וכי לא נגרמו פגיעות בנפש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היה על מתחם הענישה לנוע בין שנתיים וחצי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מיקומו בתוך מתחם הענישה מחמיר מדי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לכך שזוכה מחלק מהעבירות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ולאור נסיבותיו</w:t>
      </w:r>
      <w:r>
        <w:rPr>
          <w:rtl w:val="true"/>
        </w:rPr>
        <w:t xml:space="preserve">, </w:t>
      </w:r>
      <w:r>
        <w:rPr>
          <w:rtl w:val="true"/>
        </w:rPr>
        <w:t>כפי שפורטו לעיל בגזר הדין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היה מקום לקבוע את עונשו בחלק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סמכה ידיה על פסיקת בית המשפט קמא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בטענות הצדדים</w:t>
      </w:r>
      <w:r>
        <w:rPr>
          <w:rtl w:val="true"/>
        </w:rPr>
        <w:t xml:space="preserve">, </w:t>
      </w:r>
      <w:r>
        <w:rPr>
          <w:rtl w:val="true"/>
        </w:rPr>
        <w:t>ולאחר שאלו נשמעו בעל פה במסגרת הדיון שנערך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יש לדחות גם את הערעור על גזר הדין</w:t>
      </w:r>
      <w:r>
        <w:rPr>
          <w:rtl w:val="true"/>
        </w:rPr>
        <w:t xml:space="preserve">. </w:t>
      </w:r>
      <w:r>
        <w:rPr>
          <w:rtl w:val="true"/>
        </w:rPr>
        <w:t>כלל ידוע ומושרש הוא כי ערכאת הערעור תתערב בענישה שקבעה הערכאה הדיונית אך במקרים חריגים בהם ניכרת סטייה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או בנסיבות מיוחדות המצדיקות זאת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>
          <w:rFonts w:cs="Times New Roman" w:ascii="Times New Roman" w:hAnsi="Times New Roman"/>
          <w:spacing w:val="0"/>
          <w:sz w:val="28"/>
        </w:rPr>
        <w:t>15.4.2015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)). </w:t>
      </w:r>
      <w:r>
        <w:rPr>
          <w:rtl w:val="true"/>
        </w:rPr>
        <w:t>המקרה דנן אינו מצוי בגדר מקרים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בהצתה טמון נזק הרסני</w:t>
      </w:r>
      <w:r>
        <w:rPr>
          <w:rtl w:val="true"/>
        </w:rPr>
        <w:t xml:space="preserve">. </w:t>
      </w:r>
      <w:r>
        <w:rPr>
          <w:rtl w:val="true"/>
        </w:rPr>
        <w:t>אש המתפשטת באופן בלתי מבוקר זורה הרס</w:t>
      </w:r>
      <w:r>
        <w:rPr>
          <w:rtl w:val="true"/>
        </w:rPr>
        <w:t xml:space="preserve">, </w:t>
      </w:r>
      <w:r>
        <w:rPr>
          <w:rtl w:val="true"/>
        </w:rPr>
        <w:t>ומסכנת את האדם ואת החי</w:t>
      </w:r>
      <w:r>
        <w:rPr>
          <w:rtl w:val="true"/>
        </w:rPr>
        <w:t xml:space="preserve">, </w:t>
      </w:r>
      <w:r>
        <w:rPr>
          <w:rtl w:val="true"/>
        </w:rPr>
        <w:t>את הגוף ואת הרכוש</w:t>
      </w:r>
      <w:r>
        <w:rPr>
          <w:rtl w:val="true"/>
        </w:rPr>
        <w:t xml:space="preserve">. </w:t>
      </w:r>
      <w:r>
        <w:rPr>
          <w:rtl w:val="true"/>
        </w:rPr>
        <w:t>לא בכדי עמד בית משפט זה על חומרת עבירת ההצתה</w:t>
      </w:r>
      <w:r>
        <w:rPr>
          <w:rtl w:val="true"/>
        </w:rPr>
        <w:t xml:space="preserve">, </w:t>
      </w:r>
      <w:r>
        <w:rPr>
          <w:rtl w:val="true"/>
        </w:rPr>
        <w:t xml:space="preserve">ודומה כי אין צורך להכביר בכך מילים </w:t>
      </w:r>
      <w:r>
        <w:rPr>
          <w:rtl w:val="true"/>
        </w:rPr>
        <w:t>(</w:t>
      </w:r>
      <w:r>
        <w:rPr>
          <w:rtl w:val="true"/>
        </w:rPr>
        <w:t>ראו 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טווח הענישה בגין הצתה אינו אחיד</w:t>
      </w:r>
      <w:r>
        <w:rPr>
          <w:rtl w:val="true"/>
        </w:rPr>
        <w:t xml:space="preserve">, </w:t>
      </w:r>
      <w:r>
        <w:rPr>
          <w:rtl w:val="true"/>
        </w:rPr>
        <w:t>ובקביעתו יש ליתן את הדעת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לתוצאות ההצתה</w:t>
      </w:r>
      <w:r>
        <w:rPr>
          <w:rtl w:val="true"/>
        </w:rPr>
        <w:t xml:space="preserve">, </w:t>
      </w:r>
      <w:r>
        <w:rPr>
          <w:rtl w:val="true"/>
        </w:rPr>
        <w:t>לפוטנציאל הסיכון הגלום בה</w:t>
      </w:r>
      <w:r>
        <w:rPr>
          <w:rtl w:val="true"/>
        </w:rPr>
        <w:t xml:space="preserve">, </w:t>
      </w:r>
      <w:r>
        <w:rPr>
          <w:rtl w:val="true"/>
        </w:rPr>
        <w:t xml:space="preserve">לתכנון מוקדם ולעברו של המצית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>
          <w:sz w:val="28"/>
        </w:rPr>
        <w:t>22.12.2016</w:t>
      </w:r>
      <w:r>
        <w:rPr>
          <w:rtl w:val="true"/>
        </w:rPr>
        <w:t xml:space="preserve">)).  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המקרה דנן בראי שיקולים אלה מחייבת לנקוט יד קשה כלפי המערער</w:t>
      </w:r>
      <w:r>
        <w:rPr>
          <w:rtl w:val="true"/>
        </w:rPr>
        <w:t xml:space="preserve">. </w:t>
      </w:r>
      <w:r>
        <w:rPr>
          <w:rtl w:val="true"/>
        </w:rPr>
        <w:t>נזקי ההצתה רבים</w:t>
      </w:r>
      <w:r>
        <w:rPr>
          <w:rtl w:val="true"/>
        </w:rPr>
        <w:t xml:space="preserve">. </w:t>
      </w:r>
      <w:r>
        <w:rPr>
          <w:rtl w:val="true"/>
        </w:rPr>
        <w:t>דירת המתלוננת</w:t>
      </w:r>
      <w:r>
        <w:rPr>
          <w:rtl w:val="true"/>
        </w:rPr>
        <w:t xml:space="preserve">, </w:t>
      </w:r>
      <w:r>
        <w:rPr>
          <w:rtl w:val="true"/>
        </w:rPr>
        <w:t>על כל האמצעים הדרושים לה לצורך קיומה</w:t>
      </w:r>
      <w:r>
        <w:rPr>
          <w:rtl w:val="true"/>
        </w:rPr>
        <w:t xml:space="preserve">, </w:t>
      </w:r>
      <w:r>
        <w:rPr>
          <w:rtl w:val="true"/>
        </w:rPr>
        <w:t>נאכלה כליל על ידי האש</w:t>
      </w:r>
      <w:r>
        <w:rPr>
          <w:rtl w:val="true"/>
        </w:rPr>
        <w:t xml:space="preserve">. </w:t>
      </w:r>
      <w:r>
        <w:rPr>
          <w:rtl w:val="true"/>
        </w:rPr>
        <w:t>דירתם של שכניה ניזוקה אף היא</w:t>
      </w:r>
      <w:r>
        <w:rPr>
          <w:rtl w:val="true"/>
        </w:rPr>
        <w:t xml:space="preserve">. </w:t>
      </w:r>
      <w:r>
        <w:rPr>
          <w:rtl w:val="true"/>
        </w:rPr>
        <w:t xml:space="preserve">נזקים אלו הם אך קצה קצהו של פוטנציאל הנזק </w:t>
      </w:r>
      <w:r>
        <w:rPr>
          <w:rtl w:val="true"/>
        </w:rPr>
        <w:t>–</w:t>
      </w:r>
      <w:r>
        <w:rPr>
          <w:rtl w:val="true"/>
        </w:rPr>
        <w:t xml:space="preserve"> הצתה בבניין רב קומות</w:t>
      </w:r>
      <w:r>
        <w:rPr>
          <w:rtl w:val="true"/>
        </w:rPr>
        <w:t xml:space="preserve">, </w:t>
      </w:r>
      <w:r>
        <w:rPr>
          <w:rtl w:val="true"/>
        </w:rPr>
        <w:t>בשעה בה אנשים רבים ישנים בביתם</w:t>
      </w:r>
      <w:r>
        <w:rPr>
          <w:rtl w:val="true"/>
        </w:rPr>
        <w:t xml:space="preserve">, </w:t>
      </w:r>
      <w:r>
        <w:rPr>
          <w:rtl w:val="true"/>
        </w:rPr>
        <w:t>הייתה עשויה לגרום לפגיעות בגוף ואף לגבות מחירים בנפש</w:t>
      </w:r>
      <w:r>
        <w:rPr>
          <w:rtl w:val="true"/>
        </w:rPr>
        <w:t xml:space="preserve">. </w:t>
      </w:r>
      <w:r>
        <w:rPr>
          <w:rtl w:val="true"/>
        </w:rPr>
        <w:t>המתלוננת נמלטה מהדירה בזחילה</w:t>
      </w:r>
      <w:r>
        <w:rPr>
          <w:rtl w:val="true"/>
        </w:rPr>
        <w:t xml:space="preserve">, </w:t>
      </w:r>
      <w:r>
        <w:rPr>
          <w:rtl w:val="true"/>
        </w:rPr>
        <w:t>אך לאור נכותה</w:t>
      </w:r>
      <w:r>
        <w:rPr>
          <w:rtl w:val="true"/>
        </w:rPr>
        <w:t xml:space="preserve">, </w:t>
      </w:r>
      <w:r>
        <w:rPr>
          <w:rtl w:val="true"/>
        </w:rPr>
        <w:t>ברי כי לא היה ביציאתה מהדירה בעת ההצתה כדי להוציאה מכלל סכנה</w:t>
      </w:r>
      <w:r>
        <w:rPr>
          <w:rtl w:val="true"/>
        </w:rPr>
        <w:t xml:space="preserve">. </w:t>
      </w:r>
      <w:r>
        <w:rPr>
          <w:rtl w:val="true"/>
        </w:rPr>
        <w:t>כן יוזכר כי הצתה אינה העבירה היחידה שעבר המערער באותו אירוע</w:t>
      </w:r>
      <w:r>
        <w:rPr>
          <w:rtl w:val="true"/>
        </w:rPr>
        <w:t xml:space="preserve">, </w:t>
      </w:r>
      <w:r>
        <w:rPr>
          <w:rtl w:val="true"/>
        </w:rPr>
        <w:t>ומשקל יש ליתן לעבירות שנלוו לה</w:t>
      </w:r>
      <w:r>
        <w:rPr>
          <w:rtl w:val="true"/>
        </w:rPr>
        <w:t xml:space="preserve">; </w:t>
      </w:r>
      <w:r>
        <w:rPr>
          <w:rtl w:val="true"/>
        </w:rPr>
        <w:t>טרם העלה המערער את דירת אחותו באש הוא הפך את המקום שאמור להסב לה ביטחון לזירה של אימה</w:t>
      </w:r>
      <w:r>
        <w:rPr>
          <w:rtl w:val="true"/>
        </w:rPr>
        <w:t xml:space="preserve">, </w:t>
      </w:r>
      <w:r>
        <w:rPr>
          <w:rtl w:val="true"/>
        </w:rPr>
        <w:t>עת נכנס לדירתה בשעת לילה מאוחרת</w:t>
      </w:r>
      <w:r>
        <w:rPr>
          <w:rtl w:val="true"/>
        </w:rPr>
        <w:t xml:space="preserve">, </w:t>
      </w:r>
      <w:r>
        <w:rPr>
          <w:rtl w:val="true"/>
        </w:rPr>
        <w:t>ותקף אותה בקללות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והכה אותה בבקבוק</w:t>
      </w:r>
      <w:r>
        <w:rPr>
          <w:rtl w:val="true"/>
        </w:rPr>
        <w:t xml:space="preserve">. </w:t>
      </w:r>
      <w:r>
        <w:rPr>
          <w:rtl w:val="true"/>
        </w:rPr>
        <w:t>הדברים אפוא חמורים</w:t>
      </w:r>
      <w:r>
        <w:rPr>
          <w:rtl w:val="true"/>
        </w:rPr>
        <w:t xml:space="preserve">, </w:t>
      </w:r>
      <w:r>
        <w:rPr>
          <w:rtl w:val="true"/>
        </w:rPr>
        <w:t>אף אם ההצתה עצמה לא תוכננה מראש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המערער אין כדי להקל</w:t>
      </w:r>
      <w:r>
        <w:rPr>
          <w:rtl w:val="true"/>
        </w:rPr>
        <w:t xml:space="preserve">. </w:t>
      </w:r>
      <w:r>
        <w:rPr>
          <w:rtl w:val="true"/>
        </w:rPr>
        <w:t>עברו הפלילי מכביד ביותר</w:t>
      </w:r>
      <w:r>
        <w:rPr>
          <w:rtl w:val="true"/>
        </w:rPr>
        <w:t xml:space="preserve">. </w:t>
      </w:r>
      <w:r>
        <w:rPr>
          <w:rtl w:val="true"/>
        </w:rPr>
        <w:t>פרק זמן מצטבר של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מכלל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שנותיו</w:t>
      </w:r>
      <w:r>
        <w:rPr>
          <w:rtl w:val="true"/>
        </w:rPr>
        <w:t xml:space="preserve">, </w:t>
      </w:r>
      <w:r>
        <w:rPr>
          <w:rtl w:val="true"/>
        </w:rPr>
        <w:t>ריצה המערער מאחורי סורג ובריח</w:t>
      </w:r>
      <w:r>
        <w:rPr>
          <w:rtl w:val="true"/>
        </w:rPr>
        <w:t xml:space="preserve">. </w:t>
      </w:r>
      <w:r>
        <w:rPr>
          <w:rtl w:val="true"/>
        </w:rPr>
        <w:t>שנים אלו לא הביאו עמן שינוי משמעותי בדרכיו</w:t>
      </w:r>
      <w:r>
        <w:rPr>
          <w:rtl w:val="true"/>
        </w:rPr>
        <w:t xml:space="preserve">. </w:t>
      </w:r>
      <w:r>
        <w:rPr>
          <w:rtl w:val="true"/>
        </w:rPr>
        <w:t>המערער חוזר ומבצע עבירות אלימות ואיומים</w:t>
      </w:r>
      <w:r>
        <w:rPr>
          <w:rtl w:val="true"/>
        </w:rPr>
        <w:t xml:space="preserve">, </w:t>
      </w:r>
      <w:r>
        <w:rPr>
          <w:rtl w:val="true"/>
        </w:rPr>
        <w:t>אף כאשר מעל ראשו מרחפים מאסרים מותנים</w:t>
      </w:r>
      <w:r>
        <w:rPr>
          <w:rtl w:val="true"/>
        </w:rPr>
        <w:t xml:space="preserve">, </w:t>
      </w:r>
      <w:r>
        <w:rPr>
          <w:rtl w:val="true"/>
        </w:rPr>
        <w:t>והוא אינו מצוי בהליכי שיקום</w:t>
      </w:r>
      <w:r>
        <w:rPr>
          <w:rtl w:val="true"/>
        </w:rPr>
        <w:t xml:space="preserve">. </w:t>
      </w:r>
      <w:r>
        <w:rPr>
          <w:rtl w:val="true"/>
        </w:rPr>
        <w:t>דברים אלו יש לזקוף לחובת המערער</w:t>
      </w:r>
      <w:r>
        <w:rPr>
          <w:rtl w:val="true"/>
        </w:rPr>
        <w:t xml:space="preserve">, </w:t>
      </w:r>
      <w:r>
        <w:rPr>
          <w:rtl w:val="true"/>
        </w:rPr>
        <w:t>כאשר את</w:t>
      </w:r>
      <w:r>
        <w:rPr>
          <w:sz w:val="28"/>
          <w:sz w:val="28"/>
          <w:rtl w:val="true"/>
        </w:rPr>
        <w:t xml:space="preserve"> הנסיבות שניתן לזקוף לזכותו שקל </w:t>
      </w:r>
      <w:r>
        <w:rPr>
          <w:rtl w:val="true"/>
        </w:rPr>
        <w:t>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ונתן להם ביטוי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 גובה הפיצוי הכספי בו חויב</w:t>
      </w:r>
      <w:r>
        <w:rPr>
          <w:rtl w:val="true"/>
        </w:rPr>
        <w:t xml:space="preserve">,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בהשוואה לנזקי ההצתה שהוערכו בכ</w:t>
      </w:r>
      <w:r>
        <w:rPr>
          <w:rtl w:val="true"/>
        </w:rPr>
        <w:t>-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וכן את החפיפה שנקבעה בין חלק מעונשי המאסר המותנים שהופעלו לבין עונש המאסר בפועל בגין ההצתה</w:t>
      </w:r>
      <w:r>
        <w:rPr>
          <w:rtl w:val="true"/>
        </w:rPr>
        <w:t xml:space="preserve">). </w:t>
      </w:r>
      <w:r>
        <w:rPr>
          <w:rtl w:val="true"/>
        </w:rPr>
        <w:t>העונש שנקבע למערער מצוי אמנם ברף הענישה המחמיר</w:t>
      </w:r>
      <w:r>
        <w:rPr>
          <w:rtl w:val="true"/>
        </w:rPr>
        <w:t xml:space="preserve">, </w:t>
      </w:r>
      <w:r>
        <w:rPr>
          <w:rtl w:val="true"/>
        </w:rPr>
        <w:t xml:space="preserve">אך לאור כל האמור לא מצאנו כי הוא </w:t>
      </w:r>
      <w:r>
        <w:rPr>
          <w:sz w:val="28"/>
          <w:sz w:val="28"/>
          <w:rtl w:val="true"/>
        </w:rPr>
        <w:t>חורג מהמדיניות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או כי יש הצדקה אחרת להתערב בו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בשינויים המתחייבים</w:t>
      </w:r>
      <w:r>
        <w:rPr>
          <w:sz w:val="28"/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10.1.2018</w:t>
      </w:r>
      <w:r>
        <w:rPr>
          <w:rtl w:val="true"/>
        </w:rPr>
        <w:t xml:space="preserve">), </w:t>
      </w:r>
      <w:r>
        <w:rPr>
          <w:rtl w:val="true"/>
        </w:rPr>
        <w:t xml:space="preserve">במסגרתו הושתו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בגין הצתה של רכב והצתה של דלת בבניין</w:t>
      </w:r>
      <w:r>
        <w:rPr>
          <w:rtl w:val="true"/>
        </w:rPr>
        <w:t xml:space="preserve">, </w:t>
      </w:r>
      <w:r>
        <w:rPr>
          <w:rtl w:val="true"/>
        </w:rPr>
        <w:t>ללא נפגעים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7.11.2012</w:t>
      </w:r>
      <w:r>
        <w:rPr>
          <w:rtl w:val="true"/>
        </w:rPr>
        <w:t xml:space="preserve">), </w:t>
      </w:r>
      <w:r>
        <w:rPr>
          <w:rtl w:val="true"/>
        </w:rPr>
        <w:t>בו הושתו</w:t>
      </w:r>
      <w:r>
        <w:rPr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הצתת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כאמור חזר בו במהלך הדיון מערעורו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וכן בצער שהביע על שגרם לאחותו</w:t>
      </w:r>
      <w:r>
        <w:rPr>
          <w:rtl w:val="true"/>
        </w:rPr>
        <w:t xml:space="preserve">, </w:t>
      </w:r>
      <w:r>
        <w:rPr>
          <w:rtl w:val="true"/>
        </w:rPr>
        <w:t>ניתן לראות ראשית נטילת אחריות</w:t>
      </w:r>
      <w:r>
        <w:rPr>
          <w:rtl w:val="true"/>
        </w:rPr>
        <w:t xml:space="preserve">. </w:t>
      </w:r>
      <w:r>
        <w:rPr>
          <w:rtl w:val="true"/>
        </w:rPr>
        <w:t xml:space="preserve">ואולם על כך יש לומר </w:t>
      </w:r>
      <w:r>
        <w:rPr>
          <w:rtl w:val="true"/>
        </w:rPr>
        <w:t>–</w:t>
      </w:r>
      <w:r>
        <w:rPr>
          <w:rtl w:val="true"/>
        </w:rPr>
        <w:t xml:space="preserve"> מעט מידי ומאוחר מידי</w:t>
      </w:r>
      <w:r>
        <w:rPr>
          <w:rtl w:val="true"/>
        </w:rPr>
        <w:t xml:space="preserve">. </w:t>
      </w:r>
      <w:r>
        <w:rPr>
          <w:rtl w:val="true"/>
        </w:rPr>
        <w:t>אנו תקווה כי המערער ידע להסיק מסקנות מתאימות</w:t>
      </w:r>
      <w:r>
        <w:rPr>
          <w:rtl w:val="true"/>
        </w:rPr>
        <w:t xml:space="preserve">, </w:t>
      </w:r>
      <w:r>
        <w:rPr>
          <w:rtl w:val="true"/>
        </w:rPr>
        <w:t>ולשפר דרכיו במהלך תקופת המאסר</w:t>
      </w:r>
      <w:r>
        <w:rPr>
          <w:rtl w:val="true"/>
        </w:rPr>
        <w:t xml:space="preserve">. </w:t>
      </w:r>
      <w:r>
        <w:rPr>
          <w:rtl w:val="true"/>
        </w:rPr>
        <w:t>אם כך ינהג</w:t>
      </w:r>
      <w:r>
        <w:rPr>
          <w:rtl w:val="true"/>
        </w:rPr>
        <w:t xml:space="preserve">, </w:t>
      </w:r>
      <w:r>
        <w:rPr>
          <w:rtl w:val="true"/>
        </w:rPr>
        <w:t>יוטב גורלו</w:t>
      </w:r>
      <w:r>
        <w:rPr>
          <w:rtl w:val="true"/>
        </w:rPr>
        <w:t xml:space="preserve">. </w:t>
      </w:r>
      <w:r>
        <w:rPr>
          <w:rtl w:val="true"/>
        </w:rPr>
        <w:t xml:space="preserve">ולא </w:t>
      </w:r>
      <w:r>
        <w:rPr>
          <w:rtl w:val="true"/>
        </w:rPr>
        <w:t>–</w:t>
      </w:r>
      <w:r>
        <w:rPr>
          <w:rtl w:val="true"/>
        </w:rPr>
        <w:t xml:space="preserve"> יוסיף לצאת ולבוא בשערי בית האסורים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כל האמור</w:t>
      </w:r>
      <w:r>
        <w:rPr>
          <w:rtl w:val="true"/>
        </w:rPr>
        <w:t xml:space="preserve">, </w:t>
      </w:r>
      <w:r>
        <w:rPr>
          <w:rtl w:val="true"/>
        </w:rPr>
        <w:t>הערעור על גזר הדין נדחה בזאת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7" w:name="Nitan"/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2.2.2020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19029390</w:t>
      </w:r>
      <w:r>
        <w:rPr>
          <w:sz w:val="16"/>
          <w:rtl w:val="true"/>
        </w:rPr>
        <w:t>_</w:t>
      </w:r>
      <w:r>
        <w:rPr>
          <w:sz w:val="16"/>
        </w:rPr>
        <w:t>Y06.docx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54678313-2939/19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2939/19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חי יוסף חלפון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1665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88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case/23166505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288" TargetMode="External"/><Relationship Id="rId18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case/20050835" TargetMode="External"/><Relationship Id="rId21" Type="http://schemas.openxmlformats.org/officeDocument/2006/relationships/hyperlink" Target="http://www.nevo.co.il/case/22232081" TargetMode="External"/><Relationship Id="rId22" Type="http://schemas.openxmlformats.org/officeDocument/2006/relationships/hyperlink" Target="http://www.nevo.co.il/case/22546672" TargetMode="External"/><Relationship Id="rId23" Type="http://schemas.openxmlformats.org/officeDocument/2006/relationships/hyperlink" Target="http://www.nevo.co.il/case/5570864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2020-02-04T09:02:00Z</dcterms:created>
  <dc:creator>h4</dc:creator>
  <dc:description/>
  <cp:keywords/>
  <dc:language>en-IL</dc:language>
  <cp:lastModifiedBy>orly</cp:lastModifiedBy>
  <cp:lastPrinted>2020-02-03T12:07:00Z</cp:lastPrinted>
  <dcterms:modified xsi:type="dcterms:W3CDTF">2020-02-04T09:02:00Z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 יוסף חלפון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23166505:2;20050835;22232081;22546672;5570864</vt:lpwstr>
  </property>
  <property fmtid="{D5CDD505-2E9C-101B-9397-08002B2CF9AE}" pid="9" name="CITY">
    <vt:lpwstr/>
  </property>
  <property fmtid="{D5CDD505-2E9C-101B-9397-08002B2CF9AE}" pid="10" name="DATE">
    <vt:lpwstr>20200202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וילנר;ע' גרוסקופף</vt:lpwstr>
  </property>
  <property fmtid="{D5CDD505-2E9C-101B-9397-08002B2CF9AE}" pid="14" name="LAWLISTTMP1">
    <vt:lpwstr>70301/448.a;379;192;452;288;334;335.a.1</vt:lpwstr>
  </property>
  <property fmtid="{D5CDD505-2E9C-101B-9397-08002B2CF9AE}" pid="15" name="LAWYER">
    <vt:lpwstr>סיגל בלום;שירן ברגמן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הצתה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15357;17039</vt:lpwstr>
  </property>
  <property fmtid="{D5CDD505-2E9C-101B-9397-08002B2CF9AE}" pid="59" name="PADIDATE">
    <vt:lpwstr>20200204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2939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410120200202</vt:lpwstr>
  </property>
  <property fmtid="{D5CDD505-2E9C-101B-9397-08002B2CF9AE}" pid="69" name="TYPE_N_DATE">
    <vt:lpwstr>41020200202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