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2947/19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3037/19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2974/19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eastAsia="David;Times New Roman"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3037/19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מ </w:t>
            </w:r>
            <w:r>
              <w:rPr>
                <w:rFonts w:cs="David;Times New Roman" w:ascii="David;Times New Roman" w:hAnsi="David;Times New Roman"/>
              </w:rPr>
              <w:t>2974/19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3037/20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 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3037/20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יונתן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לטוין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33815-02-16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אלכסנדר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996"/>
        <w:gridCol w:w="113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99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5.11.2020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פ</w:t>
            </w:r>
            <w:r>
              <w:rPr>
                <w:rFonts w:ascii="David;Times New Roman" w:hAnsi="David;Times New Roman"/>
                <w:rtl w:val="true"/>
              </w:rPr>
              <w:t xml:space="preserve"> </w:t>
            </w:r>
            <w:r>
              <w:rPr>
                <w:rFonts w:cs="David;Times New Roman" w:ascii="David;Times New Roman" w:hAnsi="David;Times New Roman"/>
              </w:rPr>
              <w:t>2974/19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;Times New Roman"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3037/19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2974/19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ascii="David;Times New Roman" w:hAnsi="David;Times New Roman"/>
                <w:rtl w:val="true"/>
              </w:rPr>
              <w:t>והמערער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3037/19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3037/19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כץ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עמוס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חקירת חשודים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פה אחד כי המערער הורשע בדין בעבירה של חבלה בכוונה מחמירה בצוותא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יסוד עדותו המהימנה של עד המדינה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נמצאו לה ראיות סיוע רבות בהתנהגותו המפלילה של המערער ובמניעיו לפגוע במתלונן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בדעת רוב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כי עונש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שהושת על המערער הולם וראוי וכי אין מקום להתערב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כאשר דעת המיעוט סברה כי יש להחמיר ולהשית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בנסיבות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סיוע – לעדות עד מדינה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מהימנות – בחינתה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הכרעת דינו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בגדרה הורשע 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3037/19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והמשיב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2947/19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עבירה של חבלה בכוונה מחמירה בצוותא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ושני ערעורים על גזר דינו –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פיצוי למתלונן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250,000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וקנס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25,000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מלין על חומרת העונש ואילו המשיבה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3037/19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והמערערת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2947/19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מלינה על קולת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והמתלונן הם וטרינרים בעיר בית שמש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הרקע הוא הזמנת תקיפה נגד 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יריבות עסקית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אישית עמו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ברון וגרוסקופף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3037/19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,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השופטים גרוסקופף וברון בניגוד לדעתו החולקת של השופט אלרון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ערעור המשיבה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2947/19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המקרה אין בטענות המערער כדי להצדיק התערבות בממצאי עובדה ומהימנות שקבע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54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לפקודת הראיות מורה כי אין להרשיע נאשם על סמך עדות יחידה של שותף לעבירה שהוא עד מדינה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אם נלווית לעדות זו תוספת ראייתית מסוג סיוע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מנת שתוספת ראייתית תעלה כדי סיוע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עליה לבוא ממקור עצמאי ונפרד מהעדות שלה היא נועדה לסייע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להיות בעלת יכולת לסבך את הנאשם בעבירה שבגינה הוא עומד לדין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ולהתייחס לנקודה מסוימת אשר עומדת בליבת המחלוקת שבין הצדדים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 שעדות עד המדינה זוכה להערכת מהימנות גבוהה יותר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נדרשות ראיות סיוע בעלות משקל נמוך יותר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ולהיפך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הונחה תשתית ראייתית מספקת לכך שהיוזמה לתקיפה הי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תה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שהגה את דרך ביצועה ואף הבטיח לשלם תמורתה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בפרט בהצטברן יחד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מחזקות את גרסת עד המדינה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ומקיימות את דרישת הסיוע לעדותו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 הראיות מספק סיוע לעדות עד המדינה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לפיה המערער היה מעורב בתקיפת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ידע עליה מבעוד מועד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ולמעשה הוא זה ששלח את עד המדינה לבצע את התקיפה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בעבור תמורה כספית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הראיות המצביעות על מניעי המערער לפגוע במתלונן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מהוות אף הן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רב עוצמה לעדות עד המדינה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כעולה מאותן ראיות המניע העיקרי למעשי המערער הוא התחרות העסקית עם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עד המדינה לא הכיר את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היה לו כל אינטרס עצמאי לפגוע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היעדר מהימנותו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תומך אף הוא בעדות עד המדינה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כפר בהאשמות שיוחסו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בנסיבות בהן התביעה הציגה רשת של ראיות שנטוותה סביב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המסבכת אותו בידיעה על התקיפה ופרטיה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ובניסיון למלט את המערער מן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ובהעדר תזה אפשרית כלשהי לפרשנות אותן ראיות מפלילות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המסבירה בדרך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ולו דחוקה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חפות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בדין נקבע כי אשמתו הוכחה מעל לספק סביר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התייחס בחומרה למחדלי החקירה שנפלו ביחס לתיעוד חקירותיו של עד המדינה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קבע כי בנסיבות המקרה לא נגרם למערער עיוות דין בשל 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וסיכם כי בדין הורשע המערער במיוחס 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לערעורים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דעת הרוב סברה כי העונש שהושת על המערער ראוי והולם את חומרת 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בראי העונשים שהושתו על האחרים המעורבים בפרשה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דעת המיעוט סברה כי היה מקום להחמיר בעונש ולהשית על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שנות מאסר בפועל הן לנוכח היותו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הרוח החיה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מאחורי התקיפה הן בשל ניסיונותיו החוזרים ונשנים לשכנע את ינקו להוציאה אל הפועל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וכי היה על המערער לצפות כי התקיפה עלולה להסתיים בתוצאה חמורה באופן משמעותי מהתוצאה שאותה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הזמין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b/>
          <w:spacing w:val="0"/>
        </w:rPr>
      </w:pPr>
      <w:r>
        <w:rPr>
          <w:rtl w:val="true"/>
        </w:rPr>
        <w:t xml:space="preserve">לפנינו ערעור על הכרעת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33815-02-16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6.1.2019</w:t>
      </w:r>
      <w:r>
        <w:rPr>
          <w:rtl w:val="true"/>
        </w:rPr>
        <w:t xml:space="preserve">, </w:t>
      </w:r>
      <w:r>
        <w:rPr>
          <w:rtl w:val="true"/>
        </w:rPr>
        <w:t>בגדרה הורשע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3037/19</w:t>
      </w:r>
      <w:r>
        <w:rPr>
          <w:rtl w:val="true"/>
        </w:rPr>
        <w:t xml:space="preserve"> </w:t>
      </w:r>
      <w:r>
        <w:rPr>
          <w:rtl w:val="true"/>
        </w:rPr>
        <w:t>והמשיב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2947/19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בעבירה של חבלה בכוונה מחמירה בצוותא</w:t>
      </w:r>
      <w:r>
        <w:rPr>
          <w:rtl w:val="true"/>
        </w:rPr>
        <w:t xml:space="preserve">, </w:t>
      </w:r>
      <w:r>
        <w:rPr>
          <w:rtl w:val="true"/>
        </w:rPr>
        <w:t xml:space="preserve">ושני ערעורים על גזר דינו מיום </w:t>
      </w:r>
      <w:r>
        <w:rPr/>
        <w:t>19.3.2019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 מלין על חומרתו</w:t>
      </w:r>
      <w:r>
        <w:rPr>
          <w:rtl w:val="true"/>
        </w:rPr>
        <w:t xml:space="preserve">, </w:t>
      </w:r>
      <w:r>
        <w:rPr>
          <w:rtl w:val="true"/>
        </w:rPr>
        <w:t>ואילו המשיבה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3037/19</w:t>
      </w:r>
      <w:r>
        <w:rPr>
          <w:rtl w:val="true"/>
        </w:rPr>
        <w:t xml:space="preserve"> </w:t>
      </w:r>
      <w:r>
        <w:rPr>
          <w:rtl w:val="true"/>
        </w:rPr>
        <w:t>והמערערת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2947/19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b/>
          <w:spacing w:val="0"/>
          <w:rtl w:val="true"/>
        </w:rPr>
        <w:t xml:space="preserve">)  </w:t>
      </w:r>
      <w:r>
        <w:rPr>
          <w:rtl w:val="true"/>
        </w:rPr>
        <w:t>מלינה על קולת העונש</w:t>
      </w:r>
      <w:r>
        <w:rPr>
          <w:rtl w:val="true"/>
        </w:rPr>
        <w:t>.</w:t>
      </w:r>
      <w:r>
        <w:rPr>
          <w:b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>
          <w:b/>
          <w:spacing w:val="0"/>
        </w:rPr>
      </w:pPr>
      <w:r>
        <w:rPr>
          <w:b/>
          <w:spacing w:val="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הוגש כתב אישום ביום </w:t>
      </w:r>
      <w:r>
        <w:rPr/>
        <w:t>16.2.2016</w:t>
      </w:r>
      <w:r>
        <w:rPr>
          <w:rtl w:val="true"/>
        </w:rPr>
        <w:t xml:space="preserve"> </w:t>
      </w:r>
      <w:r>
        <w:rPr>
          <w:rtl w:val="true"/>
        </w:rPr>
        <w:t>המייחס לו עבירה של חבלה בכוונה מחמירה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העובדות הצריכות לענין פורטו על ידי בחוות דעתי 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7.6.2020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לברוב</w:t>
      </w:r>
      <w:r>
        <w:rPr>
          <w:rtl w:val="true"/>
        </w:rPr>
        <w:t xml:space="preserve">) </w:t>
      </w:r>
      <w:r>
        <w:rPr>
          <w:rtl w:val="true"/>
        </w:rPr>
        <w:t>בהתייחס לאחד משותפיו של המערער</w:t>
      </w:r>
      <w:r>
        <w:rPr>
          <w:rtl w:val="true"/>
        </w:rPr>
        <w:t xml:space="preserve">, </w:t>
      </w:r>
      <w:r>
        <w:rPr>
          <w:rtl w:val="true"/>
        </w:rPr>
        <w:t>ולהלן יובאו עיקרן בתמצית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וטרינר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לווטרינר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התחרות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אריה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ינקו</w:t>
      </w:r>
      <w:r>
        <w:rPr>
          <w:rtl w:val="true"/>
        </w:rPr>
        <w:t xml:space="preserve">)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כווטרינר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אנונימוס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לפזרם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בן</w:t>
      </w:r>
      <w:r>
        <w:rPr>
          <w:rtl w:val="true"/>
        </w:rPr>
        <w:t xml:space="preserve">),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שייקראו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התוקפים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25.11.2015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לאצטדיון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ובכפפות</w:t>
      </w:r>
      <w:r>
        <w:rPr>
          <w:rtl w:val="true"/>
        </w:rPr>
        <w:t xml:space="preserve">, </w:t>
      </w:r>
      <w:r>
        <w:rPr>
          <w:rtl w:val="true"/>
        </w:rPr>
        <w:t>והיכו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דין מנומקת ומפורטת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בעבירה שיוחסה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תוך שהאמין לעדותו של ינקו לפיה המערער </w:t>
      </w:r>
      <w:r>
        <w:rPr>
          <w:rtl w:val="true"/>
        </w:rPr>
        <w:t>"</w:t>
      </w:r>
      <w:r>
        <w:rPr>
          <w:rtl w:val="true"/>
        </w:rPr>
        <w:t>הזמין</w:t>
      </w:r>
      <w:r>
        <w:rPr>
          <w:rtl w:val="true"/>
        </w:rPr>
        <w:t xml:space="preserve">" </w:t>
      </w:r>
      <w:r>
        <w:rPr>
          <w:rtl w:val="true"/>
        </w:rPr>
        <w:t>את תקיפת המתלונן</w:t>
      </w:r>
      <w:r>
        <w:rPr>
          <w:rtl w:val="true"/>
        </w:rPr>
        <w:t xml:space="preserve">, </w:t>
      </w:r>
      <w:r>
        <w:rPr>
          <w:rtl w:val="true"/>
        </w:rPr>
        <w:t>וקבע כי עדות זו משתלבת היטב במארג הראיות הכולל</w:t>
      </w:r>
      <w:r>
        <w:rPr>
          <w:rtl w:val="true"/>
        </w:rPr>
        <w:t xml:space="preserve">, </w:t>
      </w:r>
      <w:r>
        <w:rPr>
          <w:rtl w:val="true"/>
        </w:rPr>
        <w:t>ונמצאו לה תוספות ראייתיות למכביר העולות כדי סיוע לעדות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;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לתוקפים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tl w:val="true"/>
        </w:rPr>
        <w:t xml:space="preserve">. </w:t>
      </w:r>
      <w:r>
        <w:rPr>
          <w:rtl w:val="true"/>
        </w:rPr>
        <w:t>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מצא כמהימנה את עדות ינקו לפיה המערער ביקש ממנו לפגוע במתלונן תמורת תשלום בסך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וביתר פירוט</w:t>
      </w:r>
      <w:r>
        <w:rPr>
          <w:rtl w:val="true"/>
        </w:rPr>
        <w:t xml:space="preserve">: </w:t>
      </w:r>
      <w:r>
        <w:rPr>
          <w:rtl w:val="true"/>
        </w:rPr>
        <w:t>ינקו העיד כי המערער פנה אליו כשנתיים עובר לביצוע התקיפה וביקש ממנו לפגוע במתלונן</w:t>
      </w:r>
      <w:r>
        <w:rPr>
          <w:rtl w:val="true"/>
        </w:rPr>
        <w:t xml:space="preserve">. </w:t>
      </w:r>
      <w:r>
        <w:rPr>
          <w:rtl w:val="true"/>
        </w:rPr>
        <w:t xml:space="preserve">ינקו פנה לישי חלפון </w:t>
      </w:r>
      <w:r>
        <w:rPr>
          <w:rtl w:val="true"/>
        </w:rPr>
        <w:t>(</w:t>
      </w:r>
      <w:r>
        <w:rPr>
          <w:rtl w:val="true"/>
        </w:rPr>
        <w:t>אביו של בן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</w:t>
      </w:r>
      <w:r>
        <w:rPr>
          <w:rtl w:val="true"/>
        </w:rPr>
        <w:t xml:space="preserve">) </w:t>
      </w:r>
      <w:r>
        <w:rPr>
          <w:rtl w:val="true"/>
        </w:rPr>
        <w:t>כדי שיסייע לו בכך</w:t>
      </w:r>
      <w:r>
        <w:rPr>
          <w:rtl w:val="true"/>
        </w:rPr>
        <w:t xml:space="preserve">, </w:t>
      </w:r>
      <w:r>
        <w:rPr>
          <w:rtl w:val="true"/>
        </w:rPr>
        <w:t>אולם לבסוף התקיפה הזו לא יצאה אל הפועל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לנטרל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שווידאו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להיעצר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בבהילות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לאמסטרדם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בקוהרנטיות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אף שיש ממש בטענה להיעדר תיעוד חזותי של חלק מחקירות ינקו עובר למועד שבו הסכים לשמש עד מדינה</w:t>
      </w:r>
      <w:r>
        <w:rPr>
          <w:rtl w:val="true"/>
        </w:rPr>
        <w:t xml:space="preserve">, </w:t>
      </w:r>
      <w:r>
        <w:rPr>
          <w:rtl w:val="true"/>
        </w:rPr>
        <w:t>אין בכך כדי להקים חשש כי חוקרי המשטרה הביאו אותו למסור עדות שקר באשר למערער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לנוכח הראיות הרבות התומכות בעדותו אשר הוכחו באופן עצמאי ונפרד ממנה</w:t>
      </w:r>
      <w:r>
        <w:rPr>
          <w:rtl w:val="true"/>
        </w:rPr>
        <w:t xml:space="preserve">, </w:t>
      </w:r>
      <w:r>
        <w:rPr>
          <w:rtl w:val="true"/>
        </w:rPr>
        <w:t>שעיקריהן יפורטו 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לאמסטרדם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;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הכרטיס</w:t>
      </w:r>
      <w:r>
        <w:rPr>
          <w:rtl w:val="true"/>
        </w:rPr>
        <w:t xml:space="preserve">;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איפשהו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באירופה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בקנדה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והתעדכן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ניחש</w:t>
      </w:r>
      <w:r>
        <w:rPr>
          <w:rtl w:val="true"/>
        </w:rPr>
        <w:t xml:space="preserve">"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המהימנות הרבה שייחס בית המשפט לעדות ינקו</w:t>
      </w:r>
      <w:r>
        <w:rPr>
          <w:rtl w:val="true"/>
        </w:rPr>
        <w:t xml:space="preserve">, </w:t>
      </w:r>
      <w:r>
        <w:rPr>
          <w:rtl w:val="true"/>
        </w:rPr>
        <w:t>נדחתה גרסת המערער בעדותו לפיה ביצע את הפעולות האמורות כדי לסייע לינקו במצוקתו</w:t>
      </w:r>
      <w:r>
        <w:rPr>
          <w:rtl w:val="true"/>
        </w:rPr>
        <w:t xml:space="preserve">, </w:t>
      </w:r>
      <w:r>
        <w:rPr>
          <w:rtl w:val="true"/>
        </w:rPr>
        <w:t>מבלי שהיתה לו מעורבות כלשהי בביצוע תקיפת המתלונן</w:t>
      </w:r>
      <w:r>
        <w:rPr>
          <w:rtl w:val="true"/>
        </w:rPr>
        <w:t xml:space="preserve">. </w:t>
      </w:r>
      <w:r>
        <w:rPr>
          <w:rtl w:val="true"/>
        </w:rPr>
        <w:t>בית המשפט מצא כי גרסה זו דחוקה ובלתי הגיונית</w:t>
      </w:r>
      <w:r>
        <w:rPr>
          <w:rtl w:val="true"/>
        </w:rPr>
        <w:t xml:space="preserve">, </w:t>
      </w:r>
      <w:r>
        <w:rPr>
          <w:rtl w:val="true"/>
        </w:rPr>
        <w:t>תוך שנקבע כי ככל שמערכת היחסים בין השניים היתה כה קרובה והמערער היה מוכן לעשות רבות למען ינקו</w:t>
      </w:r>
      <w:r>
        <w:rPr>
          <w:rtl w:val="true"/>
        </w:rPr>
        <w:t xml:space="preserve">, </w:t>
      </w:r>
      <w:r>
        <w:rPr>
          <w:rtl w:val="true"/>
        </w:rPr>
        <w:t>קשה להעלות על הדעת טעם כלשהו לכך שינקו יעליל עליו עלילת שווא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" </w:t>
      </w:r>
      <w:r>
        <w:rPr>
          <w:rtl w:val="true"/>
        </w:rPr>
        <w:t>ומאוחרת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למניעים שעמדו בבסיס ביצוע העבירה</w:t>
      </w:r>
      <w:r>
        <w:rPr>
          <w:rtl w:val="true"/>
        </w:rPr>
        <w:t xml:space="preserve">, </w:t>
      </w:r>
      <w:r>
        <w:rPr>
          <w:rtl w:val="true"/>
        </w:rPr>
        <w:t>נקבע כי יכול והזמנת התקיפה אירעה על רקע התחרות העסקית בין המערער למתלונן</w:t>
      </w:r>
      <w:r>
        <w:rPr>
          <w:rtl w:val="true"/>
        </w:rPr>
        <w:t xml:space="preserve">; </w:t>
      </w:r>
      <w:r>
        <w:rPr>
          <w:rtl w:val="true"/>
        </w:rPr>
        <w:t>ואפשר גם שבבסיסה עמדה איבתו ארוכת השנים של המערער למתלונן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על רקע מעורבותו בניסויים בבעלי חיים </w:t>
      </w:r>
      <w:r>
        <w:rPr>
          <w:rtl w:val="true"/>
        </w:rPr>
        <w:t>(</w:t>
      </w:r>
      <w:r>
        <w:rPr>
          <w:rtl w:val="true"/>
        </w:rPr>
        <w:t>כעולה בין היתר מהודעות המערער בחקירותיו במשטרה</w:t>
      </w:r>
      <w:r>
        <w:rPr>
          <w:rtl w:val="true"/>
        </w:rPr>
        <w:t xml:space="preserve">). </w:t>
      </w:r>
      <w:r>
        <w:rPr>
          <w:rtl w:val="true"/>
        </w:rPr>
        <w:t>מכל מקום נקבע</w:t>
      </w:r>
      <w:r>
        <w:rPr>
          <w:rtl w:val="true"/>
        </w:rPr>
        <w:t xml:space="preserve">, </w:t>
      </w:r>
      <w:r>
        <w:rPr>
          <w:rtl w:val="true"/>
        </w:rPr>
        <w:t>כי מניעים אפשריים אלו</w:t>
      </w:r>
      <w:r>
        <w:rPr>
          <w:rtl w:val="true"/>
        </w:rPr>
        <w:t xml:space="preserve">, </w:t>
      </w:r>
      <w:r>
        <w:rPr>
          <w:rtl w:val="true"/>
        </w:rPr>
        <w:t>העולים מדברי המערער עצמו</w:t>
      </w:r>
      <w:r>
        <w:rPr>
          <w:rtl w:val="true"/>
        </w:rPr>
        <w:t xml:space="preserve">, </w:t>
      </w:r>
      <w:r>
        <w:rPr>
          <w:rtl w:val="true"/>
        </w:rPr>
        <w:t>יכולים לשמש כחיזוק נוסף למעורבותו בתקיפה</w:t>
      </w:r>
      <w:r>
        <w:rPr>
          <w:rtl w:val="true"/>
        </w:rPr>
        <w:t xml:space="preserve">, </w:t>
      </w:r>
      <w:r>
        <w:rPr>
          <w:rtl w:val="true"/>
        </w:rPr>
        <w:t>בפרט לנוכח הפתקים שנתפסו בזירת התקיפה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הוסיף ופירט</w:t>
      </w:r>
      <w:r>
        <w:rPr>
          <w:rtl w:val="true"/>
        </w:rPr>
        <w:t xml:space="preserve">, </w:t>
      </w:r>
      <w:r>
        <w:rPr>
          <w:rtl w:val="true"/>
        </w:rPr>
        <w:t>בבחינת למעלה מהצורך</w:t>
      </w:r>
      <w:r>
        <w:rPr>
          <w:rtl w:val="true"/>
        </w:rPr>
        <w:t xml:space="preserve">, </w:t>
      </w:r>
      <w:r>
        <w:rPr>
          <w:rtl w:val="true"/>
        </w:rPr>
        <w:t>את הממצאים הסיגינטיים שהוצגו בהליך אשר מתיישבים עם אופן תיאורו של ינקו את שיחותיו ופגישותיו עם המערער</w:t>
      </w:r>
      <w:r>
        <w:rPr>
          <w:rtl w:val="true"/>
        </w:rPr>
        <w:t xml:space="preserve">; </w:t>
      </w:r>
      <w:r>
        <w:rPr>
          <w:rtl w:val="true"/>
        </w:rPr>
        <w:t xml:space="preserve">ציין כי המערער </w:t>
      </w:r>
      <w:r>
        <w:rPr>
          <w:rtl w:val="true"/>
        </w:rPr>
        <w:t>"</w:t>
      </w:r>
      <w:r>
        <w:rPr>
          <w:rtl w:val="true"/>
        </w:rPr>
        <w:t>השתולל</w:t>
      </w:r>
      <w:r>
        <w:rPr>
          <w:rtl w:val="true"/>
        </w:rPr>
        <w:t xml:space="preserve">" </w:t>
      </w:r>
      <w:r>
        <w:rPr>
          <w:rtl w:val="true"/>
        </w:rPr>
        <w:t>בעת מעצרו על ידי המשטרה</w:t>
      </w:r>
      <w:r>
        <w:rPr>
          <w:rtl w:val="true"/>
        </w:rPr>
        <w:t xml:space="preserve">, </w:t>
      </w:r>
      <w:r>
        <w:rPr>
          <w:rtl w:val="true"/>
        </w:rPr>
        <w:t>לאחר ששמע שבידי השוטרים צו חיפוש המאפשר לערוך חיפוש בביתו</w:t>
      </w:r>
      <w:r>
        <w:rPr>
          <w:rtl w:val="true"/>
        </w:rPr>
        <w:t xml:space="preserve">, </w:t>
      </w:r>
      <w:r>
        <w:rPr>
          <w:rtl w:val="true"/>
        </w:rPr>
        <w:t>כעולה מעדויות השוטרים שהגיעו לביתו לעצור אותו</w:t>
      </w:r>
      <w:r>
        <w:rPr>
          <w:rtl w:val="true"/>
        </w:rPr>
        <w:t xml:space="preserve">; </w:t>
      </w:r>
      <w:r>
        <w:rPr>
          <w:rtl w:val="true"/>
        </w:rPr>
        <w:t>ודחה את טענות המערער באשר לאי</w:t>
      </w:r>
      <w:r>
        <w:rPr>
          <w:rtl w:val="true"/>
        </w:rPr>
        <w:t>-</w:t>
      </w:r>
      <w:r>
        <w:rPr>
          <w:rtl w:val="true"/>
        </w:rPr>
        <w:t>התאמות קלות בין עדותו של ינקו לבין הראיות האובייקטיביות הקיימות בתיק</w:t>
      </w:r>
      <w:r>
        <w:rPr>
          <w:rtl w:val="true"/>
        </w:rPr>
        <w:t xml:space="preserve">. </w:t>
      </w:r>
      <w:r>
        <w:rPr>
          <w:rtl w:val="true"/>
        </w:rPr>
        <w:t>בהקשר אחרון זה נקבע</w:t>
      </w:r>
      <w:r>
        <w:rPr>
          <w:rtl w:val="true"/>
        </w:rPr>
        <w:t xml:space="preserve">, </w:t>
      </w:r>
      <w:r>
        <w:rPr>
          <w:rtl w:val="true"/>
        </w:rPr>
        <w:t>כי סתירות אלו מתייחסות ל</w:t>
      </w:r>
      <w:r>
        <w:rPr>
          <w:rtl w:val="true"/>
        </w:rPr>
        <w:t>"</w:t>
      </w:r>
      <w:r>
        <w:rPr>
          <w:rtl w:val="true"/>
        </w:rPr>
        <w:t>נקודות שוליות</w:t>
      </w:r>
      <w:r>
        <w:rPr>
          <w:rtl w:val="true"/>
        </w:rPr>
        <w:t xml:space="preserve">" </w:t>
      </w:r>
      <w:r>
        <w:rPr>
          <w:rtl w:val="true"/>
        </w:rPr>
        <w:t>בעדות ינקו</w:t>
      </w:r>
      <w:r>
        <w:rPr>
          <w:rtl w:val="true"/>
        </w:rPr>
        <w:t xml:space="preserve">, </w:t>
      </w:r>
      <w:r>
        <w:rPr>
          <w:rtl w:val="true"/>
        </w:rPr>
        <w:t>ואין בהן כדי לפגוע במהימנותו באשר לליבת האירועים המיוחסים למערער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] </w:t>
      </w:r>
      <w:r>
        <w:rPr>
          <w:rtl w:val="true"/>
        </w:rPr>
        <w:t>לשידול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]".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הזמנת</w:t>
      </w:r>
      <w:r>
        <w:rPr>
          <w:rtl w:val="true"/>
        </w:rPr>
        <w:t xml:space="preserve">" </w:t>
      </w:r>
      <w:r>
        <w:rPr>
          <w:rtl w:val="true"/>
        </w:rPr>
        <w:t>תקיפתו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תמורתה</w:t>
      </w:r>
      <w:r>
        <w:rPr>
          <w:rtl w:val="true"/>
        </w:rPr>
        <w:t xml:space="preserve">,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לנוכח היות המערער מבצע בצוותא עם יתר התוקפים</w:t>
      </w:r>
      <w:r>
        <w:rPr>
          <w:rtl w:val="true"/>
        </w:rPr>
        <w:t xml:space="preserve">, </w:t>
      </w:r>
      <w:r>
        <w:rPr>
          <w:rtl w:val="true"/>
        </w:rPr>
        <w:t>הרי ש</w:t>
      </w:r>
      <w:r>
        <w:rPr>
          <w:rtl w:val="true"/>
        </w:rPr>
        <w:t>"</w:t>
      </w:r>
      <w:r>
        <w:rPr>
          <w:rtl w:val="true"/>
        </w:rPr>
        <w:t>הנכון והצודק הוא לראות את כל הנאשמים בסירה אחת אף לענין העונש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ומשמתחם הענישה באשר ליתר התוקפים נקבע על </w:t>
      </w:r>
      <w:r>
        <w:rPr/>
        <w:t>7</w:t>
      </w:r>
      <w:r>
        <w:rPr>
          <w:rtl w:val="true"/>
        </w:rPr>
        <w:t>–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נקבע כי כך נכון להעמיד את מתחם הענישה אף בעניינו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ומידתי</w:t>
      </w:r>
      <w:r>
        <w:rPr>
          <w:rtl w:val="true"/>
        </w:rPr>
        <w:t xml:space="preserve">"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בנימוקי ערעורו המפורטים </w:t>
      </w:r>
      <w:r>
        <w:rPr>
          <w:rtl w:val="true"/>
        </w:rPr>
        <w:t>(</w:t>
      </w:r>
      <w:r>
        <w:rPr>
          <w:rtl w:val="true"/>
        </w:rPr>
        <w:t>הנפרשים על פני למעלה מ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) </w:t>
      </w:r>
      <w:r>
        <w:rPr>
          <w:rtl w:val="true"/>
        </w:rPr>
        <w:t>מלין המערער על האופן שבו העריך בית המשפט המחוזי את עדות ינקו ואת התוספות הראייתיות שנלוו לה</w:t>
      </w:r>
      <w:r>
        <w:rPr>
          <w:rtl w:val="true"/>
        </w:rPr>
        <w:t xml:space="preserve">. </w:t>
      </w:r>
      <w:r>
        <w:rPr>
          <w:rtl w:val="true"/>
        </w:rPr>
        <w:t>טענתו בעיקרה היא</w:t>
      </w:r>
      <w:r>
        <w:rPr>
          <w:rtl w:val="true"/>
        </w:rPr>
        <w:t xml:space="preserve">, </w:t>
      </w:r>
      <w:r>
        <w:rPr>
          <w:rtl w:val="true"/>
        </w:rPr>
        <w:t xml:space="preserve">כי קודם לחקירתו מיום </w:t>
      </w:r>
      <w:r>
        <w:rPr/>
        <w:t>8.2.2016</w:t>
      </w:r>
      <w:r>
        <w:rPr>
          <w:rtl w:val="true"/>
        </w:rPr>
        <w:t xml:space="preserve"> </w:t>
      </w:r>
      <w:r>
        <w:rPr>
          <w:rtl w:val="true"/>
        </w:rPr>
        <w:t xml:space="preserve">שבה פירט ינקו בפני חוקרי המשטרה את גרסתו המפלילה את המערער </w:t>
      </w:r>
      <w:r>
        <w:rPr>
          <w:rtl w:val="true"/>
        </w:rPr>
        <w:t>(</w:t>
      </w:r>
      <w:r>
        <w:rPr>
          <w:rtl w:val="true"/>
        </w:rPr>
        <w:t xml:space="preserve">הודעה המכונה </w:t>
      </w:r>
      <w:r>
        <w:rPr>
          <w:rtl w:val="true"/>
        </w:rPr>
        <w:t>"</w:t>
      </w:r>
      <w:r>
        <w:rPr>
          <w:rtl w:val="true"/>
        </w:rPr>
        <w:t>עדות הניקיון</w:t>
      </w:r>
      <w:r>
        <w:rPr>
          <w:rtl w:val="true"/>
        </w:rPr>
        <w:t xml:space="preserve">"), </w:t>
      </w:r>
      <w:r>
        <w:rPr>
          <w:rtl w:val="true"/>
        </w:rPr>
        <w:t>נחקר ינקו לפחות בחמש הזדמנויות שונות</w:t>
      </w:r>
      <w:r>
        <w:rPr>
          <w:rtl w:val="true"/>
        </w:rPr>
        <w:t xml:space="preserve">, </w:t>
      </w:r>
      <w:r>
        <w:rPr>
          <w:rtl w:val="true"/>
        </w:rPr>
        <w:t>כאשר חקירות אלו לא תועדו באופן חזותי</w:t>
      </w:r>
      <w:r>
        <w:rPr>
          <w:rtl w:val="true"/>
        </w:rPr>
        <w:t xml:space="preserve">, </w:t>
      </w:r>
      <w:r>
        <w:rPr>
          <w:rtl w:val="true"/>
        </w:rPr>
        <w:t>וחלקן אף לא תועדו כלל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באותן חקירות </w:t>
      </w:r>
      <w:r>
        <w:rPr>
          <w:rtl w:val="true"/>
        </w:rPr>
        <w:t>"</w:t>
      </w:r>
      <w:r>
        <w:rPr>
          <w:rtl w:val="true"/>
        </w:rPr>
        <w:t>הלעיטו</w:t>
      </w:r>
      <w:r>
        <w:rPr>
          <w:rtl w:val="true"/>
        </w:rPr>
        <w:t xml:space="preserve">" </w:t>
      </w:r>
      <w:r>
        <w:rPr>
          <w:rtl w:val="true"/>
        </w:rPr>
        <w:t>חוקרי המשטרה את ינקו בגרסה המפלילה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תוך שדאגו </w:t>
      </w:r>
      <w:r>
        <w:rPr>
          <w:rtl w:val="true"/>
        </w:rPr>
        <w:t>"</w:t>
      </w:r>
      <w:r>
        <w:rPr>
          <w:rtl w:val="true"/>
        </w:rPr>
        <w:t>להנדס</w:t>
      </w:r>
      <w:r>
        <w:rPr>
          <w:rtl w:val="true"/>
        </w:rPr>
        <w:t xml:space="preserve">" </w:t>
      </w:r>
      <w:r>
        <w:rPr>
          <w:rtl w:val="true"/>
        </w:rPr>
        <w:t>את גרסאותיו הקודמות במקומות שבהם נסתרו מחומר הראיות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גרריסט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מכונאי</w:t>
      </w:r>
      <w:r>
        <w:rPr>
          <w:rtl w:val="true"/>
        </w:rPr>
        <w:t xml:space="preserve">" </w:t>
      </w:r>
      <w:r>
        <w:rPr>
          <w:rtl w:val="true"/>
        </w:rPr>
        <w:t>מהעיר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27.1.2016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מחיפושים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העלימה</w:t>
      </w:r>
      <w:r>
        <w:rPr>
          <w:rtl w:val="true"/>
        </w:rPr>
        <w:t xml:space="preserve">"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וינקו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הסתבך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ידיה על 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תוך שהיא מדגישה כי עסקינן בערעור על ממצאי מהימנות מובהקים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די בציון מספר נקודות בשולי עדותו של ינקו</w:t>
      </w:r>
      <w:r>
        <w:rPr>
          <w:rtl w:val="true"/>
        </w:rPr>
        <w:t xml:space="preserve">, </w:t>
      </w:r>
      <w:r>
        <w:rPr>
          <w:rtl w:val="true"/>
        </w:rPr>
        <w:t>שבהן לא דייק בדבריו</w:t>
      </w:r>
      <w:r>
        <w:rPr>
          <w:rtl w:val="true"/>
        </w:rPr>
        <w:t xml:space="preserve">, </w:t>
      </w:r>
      <w:r>
        <w:rPr>
          <w:rtl w:val="true"/>
        </w:rPr>
        <w:t>כדי להעיב על הערכת מהימנות עדותו כולה</w:t>
      </w:r>
      <w:r>
        <w:rPr>
          <w:rtl w:val="true"/>
        </w:rPr>
        <w:t xml:space="preserve">, </w:t>
      </w:r>
      <w:r>
        <w:rPr>
          <w:rtl w:val="true"/>
        </w:rPr>
        <w:t>ובפרט לנוכח התרשמותה הישירה של הערכאה הדיונית מאותות האמת שנגלו בעדותו</w:t>
      </w:r>
      <w:r>
        <w:rPr>
          <w:rtl w:val="true"/>
        </w:rPr>
        <w:t xml:space="preserve">, </w:t>
      </w:r>
      <w:r>
        <w:rPr>
          <w:rtl w:val="true"/>
        </w:rPr>
        <w:t>ובשים לב לראיות הרבות שנמצאו כסיוע לעדות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העלמת</w:t>
      </w:r>
      <w:r>
        <w:rPr>
          <w:rtl w:val="true"/>
        </w:rPr>
        <w:t xml:space="preserve">"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וינקו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העלמתה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ייזום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ותכנונה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בערעורים על נספחיהם</w:t>
      </w:r>
      <w:r>
        <w:rPr>
          <w:rtl w:val="true"/>
        </w:rPr>
        <w:t xml:space="preserve">, </w:t>
      </w:r>
      <w:r>
        <w:rPr>
          <w:rtl w:val="true"/>
        </w:rPr>
        <w:t>ושמעתי את טענות הצדדים בהרחבה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על הכרעת הדין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דרכה של ערכאת הערעור להתערב בממצאי מהימנות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אשר התרשמה מהעדויות שנשמעו לפניה באופן בלתי אמצעי</w:t>
      </w:r>
      <w:r>
        <w:rPr>
          <w:rtl w:val="true"/>
        </w:rPr>
        <w:t xml:space="preserve">, </w:t>
      </w:r>
      <w:r>
        <w:rPr>
          <w:rtl w:val="true"/>
        </w:rPr>
        <w:t>אלא במקרים חריגים ויוצאי דופן</w:t>
      </w:r>
      <w:r>
        <w:rPr>
          <w:rtl w:val="true"/>
        </w:rPr>
        <w:t xml:space="preserve">, </w:t>
      </w:r>
      <w:r>
        <w:rPr>
          <w:rtl w:val="true"/>
        </w:rPr>
        <w:t>ובפרט כאשר התעלמה הערכאה הדיונית מפרטים מהותיים בחומר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או שמסקנתה חסרת כל היגיון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יומטוביאן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</w:t>
      </w:r>
      <w:r>
        <w:rPr/>
        <w:t>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 xml:space="preserve">כלל זה שריר וקיים אף כאשר עסקינן בעדותו של </w:t>
      </w:r>
      <w:r>
        <w:rPr>
          <w:rtl w:val="true"/>
        </w:rPr>
        <w:t>"</w:t>
      </w:r>
      <w:r>
        <w:rPr>
          <w:rtl w:val="true"/>
        </w:rPr>
        <w:t>עד מדינה</w:t>
      </w:r>
      <w:r>
        <w:rPr>
          <w:rtl w:val="true"/>
        </w:rPr>
        <w:t>"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29.3.2007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בכך לא תמה הדרך</w:t>
      </w:r>
      <w:r>
        <w:rPr>
          <w:rtl w:val="true"/>
        </w:rPr>
        <w:t xml:space="preserve">.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FrankRuehl;Times New Roman" w:hAnsi="FrankRuehl;Times New Roman" w:cs="FrankRuehl;Times New Roman"/>
          <w:rtl w:val="true"/>
        </w:rPr>
        <w:t>–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מורה אותנו כי אין להרשיע נאשם על סמך עדות יחידה של שותף לעבירה שהוא עד מדינה</w:t>
      </w:r>
      <w:r>
        <w:rPr>
          <w:rtl w:val="true"/>
        </w:rPr>
        <w:t xml:space="preserve">, </w:t>
      </w:r>
      <w:r>
        <w:rPr>
          <w:rtl w:val="true"/>
        </w:rPr>
        <w:t>אלא אם נלווית לעדות זו תוספת ראייתית מסוג סיוע</w:t>
      </w:r>
      <w:r>
        <w:rPr>
          <w:rtl w:val="true"/>
        </w:rPr>
        <w:t xml:space="preserve">. </w:t>
      </w:r>
      <w:r>
        <w:rPr>
          <w:rtl w:val="true"/>
        </w:rPr>
        <w:t>ביסוד דרישה זו ניתן למנות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הטעמים הבאים</w:t>
      </w:r>
      <w:r>
        <w:rPr>
          <w:rtl w:val="true"/>
        </w:rPr>
        <w:t xml:space="preserve">: </w:t>
      </w:r>
      <w:r>
        <w:rPr>
          <w:rtl w:val="true"/>
        </w:rPr>
        <w:t>קיומו של חשש מובנה לפיו עד המדינה עלול להעיד עדות שקר כדי להימלט מהעונש הצפוי לו או כדי לקבל את טובת ההנאה שהובטחה לו</w:t>
      </w:r>
      <w:r>
        <w:rPr>
          <w:rtl w:val="true"/>
        </w:rPr>
        <w:t xml:space="preserve">; </w:t>
      </w:r>
      <w:r>
        <w:rPr>
          <w:rtl w:val="true"/>
        </w:rPr>
        <w:t xml:space="preserve">והעובדה כי עד המדינה חשוד על השקר באופן טבעי בהינתן מעורבותו הפלילית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2.6.2011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 מנת שתוספת ראייתית תעלה כדי סיוע</w:t>
      </w:r>
      <w:r>
        <w:rPr>
          <w:rtl w:val="true"/>
        </w:rPr>
        <w:t xml:space="preserve">, </w:t>
      </w:r>
      <w:r>
        <w:rPr>
          <w:rtl w:val="true"/>
        </w:rPr>
        <w:t xml:space="preserve">עליה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בוא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ממקור עצמאי ונפרד מהעדות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שלה היא נועדה לסייע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היות בעלת יכולת ל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סבך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את הנאשם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בעבירה שבגינה הוא עומד לדין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ולהתייחס לנקודה מסוימת אשר עומדת בליבת המחלוקת שבין הצדדים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hyperlink r:id="rId2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2854/18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</w:rPr>
        <w:t>54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27.8.2019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ככל שעדות עד המדינה זוכה להערכת מהימנות גבוהה יותר</w:t>
      </w:r>
      <w:r>
        <w:rPr>
          <w:rtl w:val="true"/>
        </w:rPr>
        <w:t xml:space="preserve">, </w:t>
      </w:r>
      <w:r>
        <w:rPr>
          <w:rtl w:val="true"/>
        </w:rPr>
        <w:t>כך נדרשות ראיות סיוע בעלות משקל נמוך יותר</w:t>
      </w:r>
      <w:r>
        <w:rPr>
          <w:rtl w:val="true"/>
        </w:rPr>
        <w:t xml:space="preserve">, </w:t>
      </w:r>
      <w:r>
        <w:rPr>
          <w:rtl w:val="true"/>
        </w:rPr>
        <w:t xml:space="preserve">ולהיפך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(</w:t>
      </w:r>
      <w:r>
        <w:rPr/>
        <w:t>13.9.2018</w:t>
      </w:r>
      <w:r>
        <w:rPr>
          <w:rtl w:val="true"/>
        </w:rPr>
        <w:t xml:space="preserve">); </w:t>
      </w:r>
      <w:r>
        <w:rPr>
          <w:rtl w:val="true"/>
        </w:rPr>
        <w:t xml:space="preserve">יניב ואקי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tl w:val="true"/>
        </w:rPr>
        <w:t xml:space="preserve"> </w:t>
      </w:r>
      <w:r>
        <w:rPr/>
        <w:t>437</w:t>
      </w:r>
      <w:r>
        <w:rPr>
          <w:rtl w:val="true"/>
        </w:rPr>
        <w:t>–</w:t>
      </w:r>
      <w:r>
        <w:rPr/>
        <w:t>438</w:t>
      </w:r>
      <w:r>
        <w:rPr>
          <w:rtl w:val="true"/>
        </w:rPr>
        <w:t xml:space="preserve">, </w:t>
      </w:r>
      <w:r>
        <w:rPr/>
        <w:t>745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בחומר הראיות נחה דעתי כי הונחה תשתית ראייתית מספקת לכך ש</w:t>
      </w:r>
      <w:r>
        <w:rPr>
          <w:rtl w:val="true"/>
        </w:rPr>
        <w:t>היוזמה לתקיפה היתה של המערער</w:t>
      </w:r>
      <w:r>
        <w:rPr>
          <w:rtl w:val="true"/>
        </w:rPr>
        <w:t xml:space="preserve">, </w:t>
      </w:r>
      <w:r>
        <w:rPr>
          <w:rtl w:val="true"/>
        </w:rPr>
        <w:t>הוא שהגה את דרך ביצועה ואף הבטיח לשלם תמורתה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ראיות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בפרט בהצטברן יחד</w:t>
      </w:r>
      <w:r>
        <w:rPr>
          <w:rtl w:val="true"/>
        </w:rPr>
        <w:t xml:space="preserve">, </w:t>
      </w:r>
      <w:r>
        <w:rPr>
          <w:rtl w:val="true"/>
        </w:rPr>
        <w:t>מחזקות את גרסת ינקו</w:t>
      </w:r>
      <w:r>
        <w:rPr>
          <w:rtl w:val="true"/>
        </w:rPr>
        <w:t xml:space="preserve">, </w:t>
      </w:r>
      <w:r>
        <w:rPr>
          <w:rtl w:val="true"/>
        </w:rPr>
        <w:t>ומקיימות את דרישת הסיוע לעדותו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מחומר הראיות כולו מצטיירת התמונה הבאה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באשר לאירועים שהתרחשו מיד לאחר המעשה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 xml:space="preserve">בלילה שבין </w:t>
      </w:r>
      <w:r>
        <w:rPr/>
        <w:t>24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בנובמבר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הותקף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ינקו עודכן בדבר לקראת השעה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 xml:space="preserve">ומספר שעות לאחר מכן הוא כבר ניסה להשיג את המערער בטלפון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(!) </w:t>
      </w:r>
      <w:r>
        <w:rPr>
          <w:rtl w:val="true"/>
        </w:rPr>
        <w:t>כדי לשוחח עמו</w:t>
      </w:r>
      <w:r>
        <w:rPr>
          <w:rtl w:val="true"/>
        </w:rPr>
        <w:t xml:space="preserve">. </w:t>
      </w:r>
      <w:r>
        <w:rPr>
          <w:rtl w:val="true"/>
        </w:rPr>
        <w:t xml:space="preserve">בהמשך לכך אוכן המערער בשעה </w:t>
      </w:r>
      <w:r>
        <w:rPr/>
        <w:t>10:40</w:t>
      </w:r>
      <w:r>
        <w:rPr>
          <w:rtl w:val="true"/>
        </w:rPr>
        <w:t xml:space="preserve"> </w:t>
      </w:r>
      <w:r>
        <w:rPr>
          <w:rtl w:val="true"/>
        </w:rPr>
        <w:t>בדרכו לביתו</w:t>
      </w:r>
      <w:r>
        <w:rPr>
          <w:rtl w:val="true"/>
        </w:rPr>
        <w:t xml:space="preserve">, </w:t>
      </w:r>
      <w:r>
        <w:rPr>
          <w:rtl w:val="true"/>
        </w:rPr>
        <w:t xml:space="preserve">ואילו ינקו אוכן בשעה </w:t>
      </w:r>
      <w:r>
        <w:rPr/>
        <w:t>10:13</w:t>
      </w:r>
      <w:r>
        <w:rPr>
          <w:rtl w:val="true"/>
        </w:rPr>
        <w:t xml:space="preserve"> </w:t>
      </w:r>
      <w:r>
        <w:rPr>
          <w:rtl w:val="true"/>
        </w:rPr>
        <w:t>במרחק נסיעה קצרה מבית המערער</w:t>
      </w:r>
      <w:r>
        <w:rPr>
          <w:rtl w:val="true"/>
        </w:rPr>
        <w:t xml:space="preserve">. </w:t>
      </w:r>
      <w:r>
        <w:rPr>
          <w:rtl w:val="true"/>
        </w:rPr>
        <w:t>נתונים אלה מתיישבים עם עדות ינקו ביחס למועד הפגישה בה העביר המערער את התשלום הראשון לינקו</w:t>
      </w:r>
      <w:r>
        <w:rPr>
          <w:rtl w:val="true"/>
        </w:rPr>
        <w:t xml:space="preserve">. </w:t>
      </w:r>
      <w:r>
        <w:rPr>
          <w:rtl w:val="true"/>
        </w:rPr>
        <w:t>כעולה מהראיות הסיגינטיות</w:t>
      </w:r>
      <w:r>
        <w:rPr>
          <w:rtl w:val="true"/>
        </w:rPr>
        <w:t xml:space="preserve">, </w:t>
      </w:r>
      <w:r>
        <w:rPr>
          <w:rtl w:val="true"/>
        </w:rPr>
        <w:t xml:space="preserve">זמן קצר לאחר מועד הפגישה בין השניים </w:t>
      </w:r>
      <w:r>
        <w:rPr>
          <w:rtl w:val="true"/>
        </w:rPr>
        <w:t>(</w:t>
      </w:r>
      <w:r>
        <w:rPr>
          <w:rtl w:val="true"/>
        </w:rPr>
        <w:t>לפי גרסת ינקו</w:t>
      </w:r>
      <w:r>
        <w:rPr>
          <w:rtl w:val="true"/>
        </w:rPr>
        <w:t xml:space="preserve">), </w:t>
      </w:r>
      <w:r>
        <w:rPr>
          <w:rtl w:val="true"/>
        </w:rPr>
        <w:t>שוחח ינקו עם בן</w:t>
      </w:r>
      <w:r>
        <w:rPr>
          <w:rtl w:val="true"/>
        </w:rPr>
        <w:t xml:space="preserve">, </w:t>
      </w:r>
      <w:r>
        <w:rPr>
          <w:rtl w:val="true"/>
        </w:rPr>
        <w:t>וכשעה ומחצה לאחר מכן נפגש עמו</w:t>
      </w:r>
      <w:r>
        <w:rPr>
          <w:rtl w:val="true"/>
        </w:rPr>
        <w:t xml:space="preserve">, </w:t>
      </w:r>
      <w:r>
        <w:rPr>
          <w:rtl w:val="true"/>
        </w:rPr>
        <w:t>באופן המתיישב עם עדות ינקו שלפיה העביר לבן את הכסף שקיבל מהמערער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הסיגינטיות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tl w:val="true"/>
        </w:rPr>
        <w:t xml:space="preserve">, </w:t>
      </w:r>
      <w:r>
        <w:rPr>
          <w:rtl w:val="true"/>
        </w:rPr>
        <w:t>שלאחריהן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בדחיפות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לאיפשהו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באירופה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ווסטרן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יוניון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נספח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138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נספח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sz w:val="26"/>
          <w:szCs w:val="26"/>
        </w:rPr>
        <w:t>SMS</w:t>
      </w:r>
      <w:r>
        <w:rPr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144</w:t>
      </w:r>
      <w:r>
        <w:rPr>
          <w:rtl w:val="true"/>
        </w:rPr>
        <w:t xml:space="preserve">).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17.12.2015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באמרה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שקרובה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ברהום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נספח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13.12.2015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מקובלת עלי טענת המשיבה</w:t>
      </w:r>
      <w:r>
        <w:rPr>
          <w:rtl w:val="true"/>
        </w:rPr>
        <w:t xml:space="preserve">, </w:t>
      </w:r>
      <w:r>
        <w:rPr>
          <w:rtl w:val="true"/>
        </w:rPr>
        <w:t>כי הראיות המצביעות על מניעי המערער לפגוע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מהוות אף הן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רב עוצמה לעדות ינקו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 מאותן ראיות</w:t>
      </w:r>
      <w:r>
        <w:rPr>
          <w:rtl w:val="true"/>
        </w:rPr>
        <w:t xml:space="preserve">, </w:t>
      </w:r>
      <w:r>
        <w:rPr>
          <w:rtl w:val="true"/>
        </w:rPr>
        <w:t>אשר פורטו בהרחבה בהכרעת הדין</w:t>
      </w:r>
      <w:r>
        <w:rPr>
          <w:rtl w:val="true"/>
        </w:rPr>
        <w:t xml:space="preserve">, </w:t>
      </w:r>
      <w:r>
        <w:rPr>
          <w:rtl w:val="true"/>
        </w:rPr>
        <w:t>המניע העיקרי למעשי המערער הוא התחרות העסקית עם המתלונן</w:t>
      </w:r>
      <w:r>
        <w:rPr>
          <w:rtl w:val="true"/>
        </w:rPr>
        <w:t xml:space="preserve">, </w:t>
      </w:r>
      <w:r>
        <w:rPr>
          <w:rtl w:val="true"/>
        </w:rPr>
        <w:t>אשר פתח מרפאה וטרינרית במרחק של דקות נסיעה ספורות ממרפאתו שלו</w:t>
      </w:r>
      <w:r>
        <w:rPr>
          <w:rtl w:val="true"/>
        </w:rPr>
        <w:t xml:space="preserve">, </w:t>
      </w:r>
      <w:r>
        <w:rPr>
          <w:rtl w:val="true"/>
        </w:rPr>
        <w:t>שנהנתה במשך עשרים שנה מבלעדיות בעיר בית שמש</w:t>
      </w:r>
      <w:r>
        <w:rPr>
          <w:rtl w:val="true"/>
        </w:rPr>
        <w:t xml:space="preserve">. </w:t>
      </w:r>
      <w:r>
        <w:rPr>
          <w:rtl w:val="true"/>
        </w:rPr>
        <w:t>המתלונן העיד בענין זה</w:t>
      </w:r>
      <w:r>
        <w:rPr>
          <w:rtl w:val="true"/>
        </w:rPr>
        <w:t xml:space="preserve">, </w:t>
      </w:r>
      <w:r>
        <w:rPr>
          <w:rtl w:val="true"/>
        </w:rPr>
        <w:t>כיצד ניסה המערער להניאו מכך</w:t>
      </w:r>
      <w:r>
        <w:rPr>
          <w:rtl w:val="true"/>
        </w:rPr>
        <w:t xml:space="preserve">, </w:t>
      </w:r>
      <w:r>
        <w:rPr>
          <w:rtl w:val="true"/>
        </w:rPr>
        <w:t xml:space="preserve">תוך שאמר לו </w:t>
      </w:r>
      <w:r>
        <w:rPr>
          <w:rtl w:val="true"/>
        </w:rPr>
        <w:t>"</w:t>
      </w:r>
      <w:r>
        <w:rPr>
          <w:rtl w:val="true"/>
        </w:rPr>
        <w:t>פה אולי נדרוך על הרגליים אחד של השני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 העיד המתלונן</w:t>
      </w:r>
      <w:r>
        <w:rPr>
          <w:rtl w:val="true"/>
        </w:rPr>
        <w:t xml:space="preserve">, </w:t>
      </w:r>
      <w:r>
        <w:rPr>
          <w:rtl w:val="true"/>
        </w:rPr>
        <w:t>רבים מלקוחותיו של המערער עברו לקבל שירותים במרפאתו</w:t>
      </w:r>
      <w:r>
        <w:rPr>
          <w:rtl w:val="true"/>
        </w:rPr>
        <w:t xml:space="preserve">, </w:t>
      </w:r>
      <w:r>
        <w:rPr>
          <w:rtl w:val="true"/>
        </w:rPr>
        <w:t>והיחסים בין השניים הידרדרו</w:t>
      </w:r>
      <w:r>
        <w:rPr>
          <w:rtl w:val="true"/>
        </w:rPr>
        <w:t xml:space="preserve">, </w:t>
      </w:r>
      <w:r>
        <w:rPr>
          <w:rtl w:val="true"/>
        </w:rPr>
        <w:t>עד כדי כך שהמערער החל להשמיץ את המתלונן במרשתת ובקרב לקוחותיו על השתתפותו בניסויים בבעלי חיים</w:t>
      </w:r>
      <w:r>
        <w:rPr>
          <w:rtl w:val="true"/>
        </w:rPr>
        <w:t xml:space="preserve">, </w:t>
      </w:r>
      <w:r>
        <w:rPr>
          <w:rtl w:val="true"/>
        </w:rPr>
        <w:t xml:space="preserve">ואף </w:t>
      </w:r>
      <w:r>
        <w:rPr>
          <w:rtl w:val="true"/>
        </w:rPr>
        <w:t>"</w:t>
      </w:r>
      <w:r>
        <w:rPr>
          <w:rtl w:val="true"/>
        </w:rPr>
        <w:t>השוויתי אותו לציקלון בי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48</w:t>
      </w:r>
      <w:r>
        <w:rPr>
          <w:rtl w:val="true"/>
        </w:rPr>
        <w:t xml:space="preserve">). </w:t>
      </w:r>
      <w:r>
        <w:rPr>
          <w:rtl w:val="true"/>
        </w:rPr>
        <w:t>מהראיות שהציגה התביעה</w:t>
      </w:r>
      <w:r>
        <w:rPr>
          <w:rtl w:val="true"/>
        </w:rPr>
        <w:t xml:space="preserve">, </w:t>
      </w:r>
      <w:r>
        <w:rPr>
          <w:rtl w:val="true"/>
        </w:rPr>
        <w:t xml:space="preserve">עלה כי לא היתה זו הפעם הראשונה שבה חששו של המתלונן מפני תחרות עסקית הביא אותו לדפוס פעולה של איומים והשמצות </w:t>
      </w:r>
      <w:r>
        <w:rPr>
          <w:rtl w:val="true"/>
        </w:rPr>
        <w:t>(</w:t>
      </w:r>
      <w:r>
        <w:rPr>
          <w:rtl w:val="true"/>
        </w:rPr>
        <w:t>ראו עדותה של ד</w:t>
      </w:r>
      <w:r>
        <w:rPr>
          <w:rtl w:val="true"/>
        </w:rPr>
        <w:t>"</w:t>
      </w:r>
      <w:r>
        <w:rPr>
          <w:rtl w:val="true"/>
        </w:rPr>
        <w:t>ר מאיה קמחי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449-448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להפסדים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רווחיות</w:t>
      </w:r>
      <w:r>
        <w:rPr>
          <w:rtl w:val="true"/>
        </w:rPr>
        <w:t xml:space="preserve">,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ברווחיות</w:t>
      </w:r>
      <w:r>
        <w:rPr>
          <w:rtl w:val="true"/>
        </w:rPr>
        <w:t xml:space="preserve">. </w:t>
      </w:r>
      <w:r>
        <w:rPr>
          <w:rtl w:val="true"/>
        </w:rPr>
        <w:t>הפסדים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בהכנסותיו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תמוהה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כעסתי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662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בהכנסותיו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היעדר מהימנותו של המערער</w:t>
      </w:r>
      <w:r>
        <w:rPr>
          <w:rtl w:val="true"/>
        </w:rPr>
        <w:t xml:space="preserve">, </w:t>
      </w:r>
      <w:r>
        <w:rPr>
          <w:rtl w:val="true"/>
        </w:rPr>
        <w:t>כפי שהתרשם בית המשפט המחוזי</w:t>
      </w:r>
      <w:r>
        <w:rPr>
          <w:rtl w:val="true"/>
        </w:rPr>
        <w:t xml:space="preserve">, </w:t>
      </w:r>
      <w:r>
        <w:rPr>
          <w:rtl w:val="true"/>
        </w:rPr>
        <w:t>תומך אף הוא בעדות ינקו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עדות המערער אינה אמינה בכל הנוגע ליחסיו עם ינקו</w:t>
      </w:r>
      <w:r>
        <w:rPr>
          <w:rtl w:val="true"/>
        </w:rPr>
        <w:t xml:space="preserve">, </w:t>
      </w:r>
      <w:r>
        <w:rPr>
          <w:rtl w:val="true"/>
        </w:rPr>
        <w:t>כאשר בנקודה זו הציג המערער גרסאות סותרות</w:t>
      </w:r>
      <w:r>
        <w:rPr>
          <w:rtl w:val="true"/>
        </w:rPr>
        <w:t xml:space="preserve">. </w:t>
      </w:r>
      <w:r>
        <w:rPr>
          <w:rtl w:val="true"/>
        </w:rPr>
        <w:t xml:space="preserve">בקשר לכך נקבע כי המערער </w:t>
      </w:r>
      <w:r>
        <w:rPr>
          <w:rtl w:val="true"/>
        </w:rPr>
        <w:t>"</w:t>
      </w:r>
      <w:r>
        <w:rPr>
          <w:rtl w:val="true"/>
        </w:rPr>
        <w:t>ביקש לנסות ולאחוז בחבל משתי קצותיו</w:t>
      </w:r>
      <w:r>
        <w:rPr>
          <w:rtl w:val="true"/>
        </w:rPr>
        <w:t xml:space="preserve">, </w:t>
      </w:r>
      <w:r>
        <w:rPr>
          <w:rtl w:val="true"/>
        </w:rPr>
        <w:t>ולנתר מגישה חיובית לינקו לגישה הפוכה</w:t>
      </w:r>
      <w:r>
        <w:rPr>
          <w:rtl w:val="true"/>
        </w:rPr>
        <w:t xml:space="preserve">, </w:t>
      </w:r>
      <w:r>
        <w:rPr>
          <w:rtl w:val="true"/>
        </w:rPr>
        <w:t>רצוא ושוב</w:t>
      </w:r>
      <w:r>
        <w:rPr>
          <w:rtl w:val="true"/>
        </w:rPr>
        <w:t xml:space="preserve">, </w:t>
      </w:r>
      <w:r>
        <w:rPr>
          <w:rtl w:val="true"/>
        </w:rPr>
        <w:t>ובדרך שאף עתידה הייתה לפגוע קשות במהימנותו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דחה בית המשפט את גרסתו הכבושה של המערער</w:t>
      </w:r>
      <w:r>
        <w:rPr>
          <w:rtl w:val="true"/>
        </w:rPr>
        <w:t xml:space="preserve">, </w:t>
      </w:r>
      <w:r>
        <w:rPr>
          <w:rtl w:val="true"/>
        </w:rPr>
        <w:t>שנשמעה בשפה רפה במהלך עדותו</w:t>
      </w:r>
      <w:r>
        <w:rPr>
          <w:rtl w:val="true"/>
        </w:rPr>
        <w:t xml:space="preserve">, </w:t>
      </w:r>
      <w:r>
        <w:rPr>
          <w:rtl w:val="true"/>
        </w:rPr>
        <w:t>לפיה חשש מינקו ומניסיון סחיטה מצידו</w:t>
      </w:r>
      <w:r>
        <w:rPr>
          <w:rtl w:val="true"/>
        </w:rPr>
        <w:t xml:space="preserve">; </w:t>
      </w:r>
      <w:r>
        <w:rPr>
          <w:rtl w:val="true"/>
        </w:rPr>
        <w:t>וקבע כי מערכת היחסים ההדוקה בין השניים מחזקת את המסקנה שינקו לא היה מעליל על המערער עלילת שווא שבדה מליבו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בשלב הערעור</w:t>
      </w:r>
      <w:r>
        <w:rPr>
          <w:rtl w:val="true"/>
        </w:rPr>
        <w:t xml:space="preserve">, </w:t>
      </w:r>
      <w:r>
        <w:rPr>
          <w:rtl w:val="true"/>
        </w:rPr>
        <w:t>לא סיפק המערער כל הסבר המניח את הדעת לשאלה</w:t>
      </w:r>
      <w:r>
        <w:rPr>
          <w:rtl w:val="true"/>
        </w:rPr>
        <w:t xml:space="preserve">, </w:t>
      </w:r>
      <w:r>
        <w:rPr>
          <w:rtl w:val="true"/>
        </w:rPr>
        <w:t>מדוע זה יבחר ינקו להפליל דווקא אותו</w:t>
      </w:r>
      <w:r>
        <w:rPr>
          <w:rtl w:val="true"/>
        </w:rPr>
        <w:t xml:space="preserve">, </w:t>
      </w:r>
      <w:r>
        <w:rPr>
          <w:rtl w:val="true"/>
        </w:rPr>
        <w:t>לאחר שקיבל ממנו תמיכה רבה כל כך במשך השנים</w:t>
      </w:r>
      <w:r>
        <w:rPr>
          <w:rtl w:val="true"/>
        </w:rPr>
        <w:t xml:space="preserve">? </w:t>
      </w:r>
      <w:r>
        <w:rPr>
          <w:rtl w:val="true"/>
        </w:rPr>
        <w:t>שאלה זו</w:t>
      </w:r>
      <w:r>
        <w:rPr>
          <w:rtl w:val="true"/>
        </w:rPr>
        <w:t xml:space="preserve">, </w:t>
      </w:r>
      <w:r>
        <w:rPr>
          <w:rtl w:val="true"/>
        </w:rPr>
        <w:t>שנותרה ללא מענה</w:t>
      </w:r>
      <w:r>
        <w:rPr>
          <w:rtl w:val="true"/>
        </w:rPr>
        <w:t xml:space="preserve">, </w:t>
      </w:r>
      <w:r>
        <w:rPr>
          <w:rtl w:val="true"/>
        </w:rPr>
        <w:t xml:space="preserve">יחד עם הבושה הכנה שהביע ינקו מהפללת המערער </w:t>
      </w:r>
      <w:r>
        <w:rPr>
          <w:rtl w:val="true"/>
        </w:rPr>
        <w:t>–</w:t>
      </w:r>
      <w:r>
        <w:rPr>
          <w:rtl w:val="true"/>
        </w:rPr>
        <w:t xml:space="preserve"> מיטיבו </w:t>
      </w:r>
      <w:r>
        <w:rPr>
          <w:rtl w:val="true"/>
        </w:rPr>
        <w:t>–</w:t>
      </w:r>
      <w:r>
        <w:rPr>
          <w:rtl w:val="true"/>
        </w:rPr>
        <w:t xml:space="preserve"> מחזקות את המסקנה כי המערער הוא אכן שולחו של ינקו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ועוד זאת</w:t>
      </w:r>
      <w:r>
        <w:rPr>
          <w:rtl w:val="true"/>
        </w:rPr>
        <w:t xml:space="preserve">, </w:t>
      </w:r>
      <w:r>
        <w:rPr>
          <w:rtl w:val="true"/>
        </w:rPr>
        <w:t>והיא העיקר</w:t>
      </w:r>
      <w:r>
        <w:rPr>
          <w:rtl w:val="true"/>
        </w:rPr>
        <w:t xml:space="preserve">. </w:t>
      </w:r>
      <w:r>
        <w:rPr>
          <w:rtl w:val="true"/>
        </w:rPr>
        <w:t>במהלך ניהול משפטו כפר המערער מכל וכל בהאשמות שיוחסו לו</w:t>
      </w:r>
      <w:r>
        <w:rPr>
          <w:rtl w:val="true"/>
        </w:rPr>
        <w:t xml:space="preserve">, </w:t>
      </w:r>
      <w:r>
        <w:rPr>
          <w:rtl w:val="true"/>
        </w:rPr>
        <w:t>וטען כי אין לו כל קשר לתקיפת המתלונן</w:t>
      </w:r>
      <w:r>
        <w:rPr>
          <w:rtl w:val="true"/>
        </w:rPr>
        <w:t xml:space="preserve">, </w:t>
      </w:r>
      <w:r>
        <w:rPr>
          <w:rtl w:val="true"/>
        </w:rPr>
        <w:t>כי מעולם לא ביקש מינקו לפגוע בו</w:t>
      </w:r>
      <w:r>
        <w:rPr>
          <w:rtl w:val="true"/>
        </w:rPr>
        <w:t xml:space="preserve">, </w:t>
      </w:r>
      <w:r>
        <w:rPr>
          <w:rtl w:val="true"/>
        </w:rPr>
        <w:t>לא הבטיח לו תשלום תמורת התקיפה</w:t>
      </w:r>
      <w:r>
        <w:rPr>
          <w:rtl w:val="true"/>
        </w:rPr>
        <w:t xml:space="preserve">, </w:t>
      </w:r>
      <w:r>
        <w:rPr>
          <w:rtl w:val="true"/>
        </w:rPr>
        <w:t xml:space="preserve">ולא היה מעורב בהכנות לביצועה בכל דרך שהיא </w:t>
      </w:r>
      <w:r>
        <w:rPr>
          <w:rtl w:val="true"/>
        </w:rPr>
        <w:t>(</w:t>
      </w:r>
      <w:r>
        <w:rPr>
          <w:rtl w:val="true"/>
        </w:rPr>
        <w:t>ראו לדוגמה בעמ</w:t>
      </w:r>
      <w:r>
        <w:rPr>
          <w:rtl w:val="true"/>
        </w:rPr>
        <w:t xml:space="preserve">' </w:t>
      </w:r>
      <w:r>
        <w:rPr/>
        <w:t>484</w:t>
      </w:r>
      <w:r>
        <w:rPr>
          <w:rtl w:val="true"/>
        </w:rPr>
        <w:t>–</w:t>
      </w:r>
      <w:r>
        <w:rPr/>
        <w:t>485</w:t>
      </w:r>
      <w:r>
        <w:rPr>
          <w:rtl w:val="true"/>
        </w:rPr>
        <w:t xml:space="preserve">, </w:t>
      </w:r>
      <w:r>
        <w:rPr/>
        <w:t>531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740-739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הכחשת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התנדב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המסבכת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ופרטיה</w:t>
      </w:r>
      <w:r>
        <w:rPr>
          <w:rtl w:val="true"/>
        </w:rPr>
        <w:t xml:space="preserve">, </w:t>
      </w:r>
      <w:r>
        <w:rPr>
          <w:rtl w:val="true"/>
        </w:rPr>
        <w:t>ובנסיון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tl w:val="true"/>
        </w:rPr>
        <w:t xml:space="preserve">, </w:t>
      </w:r>
      <w:r>
        <w:rPr>
          <w:rtl w:val="true"/>
        </w:rPr>
        <w:t>המסבירה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דחוקה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מכלול הראיות שפורטו לעיל</w:t>
      </w:r>
      <w:r>
        <w:rPr>
          <w:rtl w:val="true"/>
        </w:rPr>
        <w:t xml:space="preserve">, </w:t>
      </w:r>
      <w:r>
        <w:rPr>
          <w:rtl w:val="true"/>
        </w:rPr>
        <w:t>ממגוון רחב של מקורות מוצלבים</w:t>
      </w:r>
      <w:r>
        <w:rPr>
          <w:rtl w:val="true"/>
        </w:rPr>
        <w:t xml:space="preserve">, </w:t>
      </w:r>
      <w:r>
        <w:rPr>
          <w:rtl w:val="true"/>
        </w:rPr>
        <w:t>מסבכות את המערער</w:t>
      </w:r>
      <w:r>
        <w:rPr>
          <w:rtl w:val="true"/>
        </w:rPr>
        <w:t xml:space="preserve">, </w:t>
      </w:r>
      <w:r>
        <w:rPr>
          <w:rtl w:val="true"/>
        </w:rPr>
        <w:t>ומאמתות את גרסת ינקו בכל הקשור למעורבות המערער בתקיפת המתלונן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אף אם נפלו אי</w:t>
      </w:r>
      <w:r>
        <w:rPr>
          <w:rtl w:val="true"/>
        </w:rPr>
        <w:t>-</w:t>
      </w:r>
      <w:r>
        <w:rPr>
          <w:rtl w:val="true"/>
        </w:rPr>
        <w:t>דיוקים כלשהם בשולי עדותו של ינקו</w:t>
      </w:r>
      <w:r>
        <w:rPr>
          <w:rtl w:val="true"/>
        </w:rPr>
        <w:t xml:space="preserve">, </w:t>
      </w:r>
      <w:r>
        <w:rPr>
          <w:rtl w:val="true"/>
        </w:rPr>
        <w:t>איני סבור כי יש בהם כדי לעורר ספק סביר באשמתו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נעלמו מעיני טענות המערער ביחס להיעדר תיעוד חזותי של התשאולים שנערכו לינקו לקראת החתימה עמו על </w:t>
      </w:r>
      <w:r>
        <w:rPr>
          <w:rtl w:val="true"/>
        </w:rPr>
        <w:t>"</w:t>
      </w:r>
      <w:r>
        <w:rPr>
          <w:rtl w:val="true"/>
        </w:rPr>
        <w:t>הסכם עד מדינה</w:t>
      </w:r>
      <w:r>
        <w:rPr>
          <w:rtl w:val="true"/>
        </w:rPr>
        <w:t xml:space="preserve">". </w:t>
      </w:r>
      <w:r>
        <w:rPr>
          <w:rtl w:val="true"/>
        </w:rPr>
        <w:t xml:space="preserve">התנהלות זו מנוגדת להוראות המחוקק </w:t>
      </w:r>
      <w:hyperlink r:id="rId2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32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32"/>
          <w:sz w:val="32"/>
          <w:rtl w:val="true"/>
        </w:rPr>
        <w:t>ה</w:t>
      </w:r>
      <w:r>
        <w:rPr>
          <w:rFonts w:ascii="FrankRuehl;Times New Roman" w:hAnsi="FrankRuehl;Times New Roman" w:cs="FrankRuehl;Times New Roman"/>
          <w:sz w:val="32"/>
          <w:sz w:val="32"/>
          <w:rtl w:val="true"/>
        </w:rPr>
        <w:t>תשס</w:t>
      </w:r>
      <w:r>
        <w:rPr>
          <w:rFonts w:cs="FrankRuehl;Times New Roman" w:ascii="FrankRuehl;Times New Roman" w:hAnsi="FrankRuehl;Times New Roman"/>
          <w:sz w:val="32"/>
          <w:rtl w:val="true"/>
        </w:rPr>
        <w:t>"</w:t>
      </w:r>
      <w:r>
        <w:rPr>
          <w:rFonts w:ascii="FrankRuehl;Times New Roman" w:hAnsi="FrankRuehl;Times New Roman" w:cs="FrankRuehl;Times New Roman"/>
          <w:sz w:val="32"/>
          <w:sz w:val="32"/>
          <w:rtl w:val="true"/>
        </w:rPr>
        <w:t>ב–</w:t>
      </w:r>
      <w:r>
        <w:rPr>
          <w:rFonts w:cs="FrankRuehl;Times New Roman" w:ascii="FrankRuehl;Times New Roman" w:hAnsi="FrankRuehl;Times New Roman"/>
          <w:sz w:val="32"/>
        </w:rPr>
        <w:t>2002</w:t>
      </w:r>
      <w:r>
        <w:rPr>
          <w:rtl w:val="true"/>
        </w:rPr>
        <w:t xml:space="preserve">; </w:t>
      </w:r>
      <w:r>
        <w:rPr>
          <w:rtl w:val="true"/>
        </w:rPr>
        <w:t xml:space="preserve">ולפסיקה שהתפתחה בענין זה במשך השנים </w:t>
      </w:r>
      <w:r>
        <w:rPr>
          <w:rtl w:val="true"/>
        </w:rPr>
        <w:t>(</w:t>
      </w:r>
      <w:r>
        <w:rPr>
          <w:rtl w:val="true"/>
        </w:rPr>
        <w:t xml:space="preserve">וראו גם 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tl w:val="true"/>
        </w:rPr>
        <w:t xml:space="preserve">, </w:t>
      </w:r>
      <w:r>
        <w:rPr>
          <w:rtl w:val="true"/>
        </w:rPr>
        <w:t>בפסקאות 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;Times New Roman" w:hAnsi="FrankRuehl;Times New Roman" w:cs="FrankRuehl;Times New Roman"/>
          <w:rtl w:val="true"/>
        </w:rPr>
        <w:t>–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ו לחוות דעת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הצצה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האינטראקציה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14.12.</w:t>
      </w:r>
      <w:r>
        <w:rPr/>
        <w:t>2006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מרבית טענותיו של המערער הן לפנינו הן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עסקו באותן חקירות של ינקו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הלעיטה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אותו המשטרה בגרסה המפלילה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ינקו עצמו אף העיד במהלך חקירתו הנגדית כי קרה לא אחת שנאלץ לתקן את חוקרי המשטרה כאשר כתבו דברים שונים מאלו שאמר להם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לדוגמה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יש לראות חומרה רבה בהתנהלות חקירתית שכזו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למרבה הצער חוזרת על עצמה בתיקים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לא רק מנוגדת להוראות הדין אלא גם מונעת מבית המשפט את האפשרות לצפות בחקירה ולהתרשם באופן בלתי אמצעי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שהיעדר תיעוד מלא של החקירה מעורר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רבות מצד הסניגוריה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בירורן מצריך התדיינויות מיותרות המסיטות את ההליך ממסלולו ומאריכות את משך המשפט</w:t>
      </w:r>
      <w:r>
        <w:rPr>
          <w:rFonts w:cs="Century" w:ascii="Century" w:hAnsi="Century"/>
          <w:rtl w:val="true"/>
        </w:rPr>
        <w:t xml:space="preserve">.   </w:t>
      </w: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 דנן שוכנעתי כי קיימות ראיות רבות שיש בהן כדי לסייע לעדות ינקו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איני סבור כי היעדר תיעוד חזותי של חקירותיו גרם למערער לעיוות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מן הנמנע כי בנסיבות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יהיה במחדל חקירה מסוג זה כדי להטות את הכף לזכות המערער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43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31.12.2012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לנוכח עדותו המהימנה של עד המדינה</w:t>
      </w:r>
      <w:r>
        <w:rPr>
          <w:rtl w:val="true"/>
        </w:rPr>
        <w:t xml:space="preserve">, </w:t>
      </w:r>
      <w:r>
        <w:rPr>
          <w:rtl w:val="true"/>
        </w:rPr>
        <w:t>אשר נמצאו לה ראיות סיוע רבות בהתנהגותו המפלילה של המערער</w:t>
      </w:r>
      <w:r>
        <w:rPr>
          <w:rtl w:val="true"/>
        </w:rPr>
        <w:t xml:space="preserve">; </w:t>
      </w:r>
      <w:r>
        <w:rPr>
          <w:rtl w:val="true"/>
        </w:rPr>
        <w:t>במישור הסיגינטי</w:t>
      </w:r>
      <w:r>
        <w:rPr>
          <w:rtl w:val="true"/>
        </w:rPr>
        <w:t xml:space="preserve">; </w:t>
      </w:r>
      <w:r>
        <w:rPr>
          <w:rtl w:val="true"/>
        </w:rPr>
        <w:t>במניעי המערער לפגוע במתלונן</w:t>
      </w:r>
      <w:r>
        <w:rPr>
          <w:rtl w:val="true"/>
        </w:rPr>
        <w:t xml:space="preserve">; </w:t>
      </w:r>
      <w:r>
        <w:rPr>
          <w:rtl w:val="true"/>
        </w:rPr>
        <w:t>ובהיעדר מהימנותו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בכל הנוגע למערכת היחסים שלו עם ינקו </w:t>
      </w:r>
      <w:r>
        <w:rPr>
          <w:rtl w:val="true"/>
        </w:rPr>
        <w:t>–</w:t>
      </w:r>
      <w:r>
        <w:rPr>
          <w:rtl w:val="true"/>
        </w:rPr>
        <w:t xml:space="preserve"> בדין הרשיע בית המשפט המחוזי את המערער במיוחס לו</w:t>
      </w:r>
      <w:r>
        <w:rPr>
          <w:rtl w:val="true"/>
        </w:rPr>
        <w:t xml:space="preserve">, </w:t>
      </w:r>
      <w:r>
        <w:rPr>
          <w:rtl w:val="true"/>
        </w:rPr>
        <w:t>ואין להתערב בהכרעת דינו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טענתו המרכזית של</w:t>
      </w:r>
      <w:r>
        <w:rPr>
          <w:rFonts w:ascii="Century" w:hAnsi="Century" w:cs="Century"/>
          <w:rtl w:val="true"/>
        </w:rPr>
        <w:t xml:space="preserve">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כי שגה בית המשפט המחוזי כאשר השווה </w:t>
      </w:r>
      <w:r>
        <w:rPr>
          <w:rFonts w:ascii="Century" w:hAnsi="Century" w:cs="Century"/>
          <w:rtl w:val="true"/>
        </w:rPr>
        <w:t>את עונשו לעונשם של יתר המעורבים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שאף לפי עדות ינקו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הסתפק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בשבירת ידו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שהתוקפים החליטו מטעמיהם לפגוע בו באורח קשה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מוצדק להטיל עליהם עונש חמור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</w:t>
      </w:r>
      <w:r>
        <w:rPr>
          <w:rFonts w:ascii="Century" w:hAnsi="Century" w:cs="Century"/>
          <w:rtl w:val="true"/>
        </w:rPr>
        <w:t xml:space="preserve"> מצידה מלינה על קביעתו של בית המשפט המחוזי בגזר דינו כי מתחם העונש שנקבע ליתר התוקפים הולם אף את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שהמערער יזם את</w:t>
      </w:r>
      <w:r>
        <w:rPr>
          <w:rFonts w:ascii="Century" w:hAnsi="Century" w:cs="Century"/>
          <w:rtl w:val="true"/>
        </w:rPr>
        <w:t xml:space="preserve">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לסלק</w:t>
      </w:r>
      <w:r>
        <w:rPr>
          <w:rFonts w:ascii="Century" w:hAnsi="Century" w:cs="Century"/>
          <w:rtl w:val="true"/>
        </w:rPr>
        <w:t xml:space="preserve"> תחרות עסקית בכוח הזרוע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 להצדיק החמרה נוספת בעונשו מעבר לעונש שנגזר על שותפיו לעבירה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tl w:val="true"/>
        </w:rPr>
        <w:t xml:space="preserve">, </w:t>
      </w:r>
      <w:r>
        <w:rPr>
          <w:rtl w:val="true"/>
        </w:rPr>
        <w:t>הדגשתי את החומרה הרבה במסכת האירועים האלימה של תקיפת המתלונן</w:t>
      </w:r>
      <w:r>
        <w:rPr>
          <w:rtl w:val="true"/>
        </w:rPr>
        <w:t xml:space="preserve">, </w:t>
      </w:r>
      <w:r>
        <w:rPr>
          <w:rtl w:val="true"/>
        </w:rPr>
        <w:t>במיוחד על רקע ניצול טוב ליבו ומסירותו של המתלונן לעבודתו כווטרינר אשר נכון היה לצאת מביתו באישון לילה על מנת לסייע לחיה פצועה במצוקתה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tl w:val="true"/>
        </w:rPr>
        <w:t xml:space="preserve">, </w:t>
      </w:r>
      <w:r>
        <w:rPr>
          <w:rtl w:val="true"/>
        </w:rPr>
        <w:t xml:space="preserve">כי שכירי החרב שנשלחו לתקוף את המתלונן </w:t>
      </w:r>
      <w:r>
        <w:rPr>
          <w:rtl w:val="true"/>
        </w:rPr>
        <w:t>"</w:t>
      </w:r>
      <w:r>
        <w:rPr>
          <w:rtl w:val="true"/>
        </w:rPr>
        <w:t>לא גילו אף קורטוב מאותה חמלה ורגישות אנושית שהפגין</w:t>
      </w:r>
      <w:r>
        <w:rPr>
          <w:rtl w:val="true"/>
        </w:rPr>
        <w:t xml:space="preserve">, </w:t>
      </w:r>
      <w:r>
        <w:rPr>
          <w:rtl w:val="true"/>
        </w:rPr>
        <w:t>אלא להיפך</w:t>
      </w:r>
      <w:r>
        <w:rPr>
          <w:rtl w:val="true"/>
        </w:rPr>
        <w:t xml:space="preserve">, </w:t>
      </w:r>
      <w:r>
        <w:rPr>
          <w:rtl w:val="true"/>
        </w:rPr>
        <w:t>חבטו בו ללא רחם</w:t>
      </w:r>
      <w:r>
        <w:rPr>
          <w:rtl w:val="true"/>
        </w:rPr>
        <w:t xml:space="preserve">, </w:t>
      </w:r>
      <w:r>
        <w:rPr>
          <w:rtl w:val="true"/>
        </w:rPr>
        <w:t>היכו אותו עד זוב דם ושברו את עצמותיו</w:t>
      </w:r>
      <w:r>
        <w:rPr>
          <w:rtl w:val="true"/>
        </w:rPr>
        <w:t xml:space="preserve">, </w:t>
      </w:r>
      <w:r>
        <w:rPr>
          <w:rtl w:val="true"/>
        </w:rPr>
        <w:t>עד כדי כך שרעייתו התקשתה לזהותו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דנן הוא היוזם והמחולל של מזימה אכזרית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מצאתי טעם רב בטענת המשיבה כי נסיבות עניינו של המערער חמורות מאלה של יתר התוקפים</w:t>
      </w:r>
      <w:r>
        <w:rPr>
          <w:rtl w:val="true"/>
        </w:rPr>
        <w:t xml:space="preserve">, </w:t>
      </w:r>
      <w:r>
        <w:rPr>
          <w:rtl w:val="true"/>
        </w:rPr>
        <w:t>וזאת על אף שהמערער לא היכה את המתלונן באגרופיו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להמעיט מחומרת המעשים המיוחסים לשותפיו של המערער</w:t>
      </w:r>
      <w:r>
        <w:rPr>
          <w:rtl w:val="true"/>
        </w:rPr>
        <w:t xml:space="preserve">, </w:t>
      </w:r>
      <w:r>
        <w:rPr>
          <w:rtl w:val="true"/>
        </w:rPr>
        <w:t>אשר פעלו כ</w:t>
      </w:r>
      <w:r>
        <w:rPr>
          <w:rtl w:val="true"/>
        </w:rPr>
        <w:t>"</w:t>
      </w:r>
      <w:r>
        <w:rPr>
          <w:rtl w:val="true"/>
        </w:rPr>
        <w:t>שכירי חרב</w:t>
      </w:r>
      <w:r>
        <w:rPr>
          <w:rtl w:val="true"/>
        </w:rPr>
        <w:t xml:space="preserve">" </w:t>
      </w:r>
      <w:r>
        <w:rPr>
          <w:rtl w:val="true"/>
        </w:rPr>
        <w:t xml:space="preserve">והיכו את המתלונן באכזריות רבה בכל חלקי גופו </w:t>
      </w:r>
      <w:r>
        <w:rPr>
          <w:rtl w:val="true"/>
        </w:rPr>
        <w:t>(</w:t>
      </w:r>
      <w:r>
        <w:rPr>
          <w:rtl w:val="true"/>
        </w:rPr>
        <w:t xml:space="preserve">וראו בענין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tl w:val="true"/>
        </w:rPr>
        <w:t xml:space="preserve"> בפסקאות </w:t>
      </w:r>
      <w:r>
        <w:rPr/>
        <w:t>10</w:t>
      </w:r>
      <w:r>
        <w:rPr>
          <w:rFonts w:cs="FrankRuehl;Times New Roman" w:ascii="FrankRuehl;Times New Roman" w:hAnsi="FrankRuehl;Times New Roman"/>
          <w:rtl w:val="true"/>
        </w:rPr>
        <w:t>–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לטעמי נסיבות עניינו של המערער יש בהן משום חומרה מיוחדת</w:t>
      </w:r>
      <w:r>
        <w:rPr>
          <w:rtl w:val="true"/>
        </w:rPr>
        <w:t xml:space="preserve">, </w:t>
      </w:r>
      <w:r>
        <w:rPr>
          <w:rtl w:val="true"/>
        </w:rPr>
        <w:t xml:space="preserve">הן לנוכח היותו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 xml:space="preserve">מאחורי התקיפה הן בשל ניסיונותיו החוזרים ונשנים לשכנע את ינקו להוציאה אל הפועל </w:t>
      </w:r>
      <w:r>
        <w:rPr>
          <w:rtl w:val="true"/>
        </w:rPr>
        <w:t>(</w:t>
      </w:r>
      <w:r>
        <w:rPr>
          <w:rtl w:val="true"/>
        </w:rPr>
        <w:t>שכן כזכור</w:t>
      </w:r>
      <w:r>
        <w:rPr>
          <w:rtl w:val="true"/>
        </w:rPr>
        <w:t xml:space="preserve">, </w:t>
      </w:r>
      <w:r>
        <w:rPr>
          <w:rtl w:val="true"/>
        </w:rPr>
        <w:t xml:space="preserve">כבר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ביקש המערער להיעזר בינקו לצורך כך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ומדויקת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 xml:space="preserve">" </w:t>
      </w:r>
      <w:r>
        <w:rPr>
          <w:rtl w:val="true"/>
        </w:rPr>
        <w:t>שיפגעו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כירורגית</w:t>
      </w:r>
      <w:r>
        <w:rPr>
          <w:rtl w:val="true"/>
        </w:rPr>
        <w:t xml:space="preserve">",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הזמין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לדחות את הערעור </w:t>
      </w:r>
      <w:r>
        <w:rPr>
          <w:b/>
          <w:b/>
          <w:spacing w:val="0"/>
          <w:rtl w:val="true"/>
        </w:rPr>
        <w:t>ב</w:t>
      </w:r>
      <w:r>
        <w:rPr>
          <w:b/>
          <w:b/>
          <w:spacing w:val="0"/>
          <w:rtl w:val="true"/>
        </w:rPr>
        <w:t>ע</w:t>
      </w:r>
      <w:r>
        <w:rPr>
          <w:b/>
          <w:spacing w:val="0"/>
          <w:rtl w:val="true"/>
        </w:rPr>
        <w:t>"</w:t>
      </w:r>
      <w:r>
        <w:rPr>
          <w:b/>
          <w:b/>
          <w:spacing w:val="0"/>
          <w:rtl w:val="true"/>
        </w:rPr>
        <w:t>פ</w:t>
      </w:r>
      <w:r>
        <w:rPr>
          <w:b/>
          <w:b/>
          <w:spacing w:val="0"/>
          <w:rtl w:val="true"/>
        </w:rPr>
        <w:t xml:space="preserve"> </w:t>
      </w:r>
      <w:r>
        <w:rPr>
          <w:b/>
          <w:spacing w:val="0"/>
        </w:rPr>
        <w:t>3037/19</w:t>
      </w:r>
      <w:r>
        <w:rPr>
          <w:b/>
          <w:spacing w:val="0"/>
          <w:rtl w:val="true"/>
        </w:rPr>
        <w:t xml:space="preserve"> </w:t>
      </w:r>
      <w:r>
        <w:rPr>
          <w:b/>
          <w:b/>
          <w:spacing w:val="0"/>
          <w:rtl w:val="true"/>
        </w:rPr>
        <w:t>על שני חלקיו</w:t>
      </w:r>
      <w:r>
        <w:rPr>
          <w:b/>
          <w:spacing w:val="0"/>
          <w:rtl w:val="true"/>
        </w:rPr>
        <w:t xml:space="preserve">, </w:t>
      </w:r>
      <w:r>
        <w:rPr>
          <w:b/>
          <w:b/>
          <w:spacing w:val="0"/>
          <w:rtl w:val="true"/>
        </w:rPr>
        <w:t>ולקבל את הערעור ב</w:t>
      </w:r>
      <w:r>
        <w:rPr>
          <w:b/>
          <w:b/>
          <w:spacing w:val="0"/>
          <w:rtl w:val="true"/>
        </w:rPr>
        <w:t>ע</w:t>
      </w:r>
      <w:r>
        <w:rPr>
          <w:b/>
          <w:spacing w:val="0"/>
          <w:rtl w:val="true"/>
        </w:rPr>
        <w:t>"</w:t>
      </w:r>
      <w:r>
        <w:rPr>
          <w:b/>
          <w:b/>
          <w:spacing w:val="0"/>
          <w:rtl w:val="true"/>
        </w:rPr>
        <w:t>פ</w:t>
      </w:r>
      <w:r>
        <w:rPr>
          <w:b/>
          <w:b/>
          <w:spacing w:val="0"/>
          <w:rtl w:val="true"/>
        </w:rPr>
        <w:t xml:space="preserve"> </w:t>
      </w:r>
      <w:r>
        <w:rPr>
          <w:b/>
          <w:spacing w:val="0"/>
        </w:rPr>
        <w:t>2947/19</w:t>
      </w:r>
      <w:r>
        <w:rPr>
          <w:rtl w:val="true"/>
        </w:rPr>
        <w:t xml:space="preserve"> </w:t>
      </w:r>
      <w:r>
        <w:rPr>
          <w:rtl w:val="true"/>
        </w:rPr>
        <w:t xml:space="preserve">כך שיושת על המערער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יתר רכיבי הענישה יוותרו על 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;Times New Roman"/>
          <w:spacing w:val="10"/>
          <w:sz w:val="22"/>
          <w:szCs w:val="28"/>
        </w:rPr>
      </w:pPr>
      <w:r>
        <w:rPr>
          <w:rFonts w:cs="Miriam"/>
          <w:spacing w:val="10"/>
          <w:sz w:val="24"/>
          <w:sz w:val="24"/>
          <w:u w:val="single"/>
          <w:rtl w:val="true"/>
        </w:rPr>
        <w:t>השופט</w:t>
      </w:r>
      <w:r>
        <w:rPr>
          <w:rFonts w:cs="Times New Roman;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ע</w:t>
      </w:r>
      <w:r>
        <w:rPr>
          <w:rFonts w:cs="Miriam"/>
          <w:spacing w:val="10"/>
          <w:sz w:val="24"/>
          <w:u w:val="single"/>
          <w:rtl w:val="true"/>
        </w:rPr>
        <w:t xml:space="preserve">' </w:t>
      </w:r>
      <w:r>
        <w:rPr>
          <w:rFonts w:cs="Miriam"/>
          <w:spacing w:val="10"/>
          <w:sz w:val="24"/>
          <w:sz w:val="24"/>
          <w:u w:val="single"/>
          <w:rtl w:val="true"/>
        </w:rPr>
        <w:t>גרוסקופף</w:t>
      </w:r>
      <w:r>
        <w:rPr>
          <w:rFonts w:cs="Miriam"/>
          <w:b/>
          <w:bCs/>
          <w:spacing w:val="10"/>
          <w:sz w:val="24"/>
          <w:rtl w:val="true"/>
        </w:rPr>
        <w:t>:</w:t>
      </w:r>
      <w:r>
        <w:rPr>
          <w:rFonts w:cs="FrankRuehl;Times New Roman"/>
          <w:b/>
          <w:bCs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;Times New Roman"/>
          <w:spacing w:val="10"/>
          <w:sz w:val="22"/>
          <w:szCs w:val="28"/>
        </w:rPr>
      </w:pPr>
      <w:r>
        <w:rPr>
          <w:rFonts w:cs="FrankRuehl;Times New Roman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cs="FrankRuehl;Times New Roman"/>
          <w:spacing w:val="10"/>
          <w:sz w:val="22"/>
          <w:szCs w:val="28"/>
        </w:rPr>
      </w:pPr>
      <w:r>
        <w:rPr>
          <w:rFonts w:cs="FrankRuehl;Times New Roman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;Times New Roman"/>
          <w:spacing w:val="10"/>
          <w:sz w:val="24"/>
          <w:szCs w:val="28"/>
        </w:rPr>
      </w:pP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מצטרף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חברי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יוסף</w:t>
      </w:r>
      <w:r>
        <w:rPr>
          <w:rFonts w:cs="Times New Roman;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אלרון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הקשור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נאלץ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לחלוק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גינוי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יריב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ובזויה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ומרתיעה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שיתלוו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לנכויות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הפי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והמנטליות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הזמנתו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הנגבה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ממושכת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אומנם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נתקלים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לצערנו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בשגרה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מאפייניו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ספונטני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מהתחממות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שהתדרדר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באלימות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שתוכננה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והוזמנה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במתחרה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ועסקיו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לצנינים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בעיניו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שבמניע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הפוגענית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תוקפים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שגרתיים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בחומרתו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ייחודו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שדרשה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התוקפים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שיוחסה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התוקפים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עקרונית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לחלוק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בבואנו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פרשיה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שותפיו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ובכללם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התוקפים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התוקפים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לחובתם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בהביאי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נחצה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להצטרף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ולחדד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למחדלי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ציטוט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הנכוחים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מנחם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פינקלשטיין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השיפוט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בלוד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המתייחסים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חקירות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ולסיכונים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בהפרתה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David;Times New Roman" w:hAnsi="David;Times New Roman" w:cs="David;Times New Roman"/>
          <w:b/>
          <w:bCs/>
          <w:spacing w:val="10"/>
          <w:sz w:val="24"/>
          <w:szCs w:val="28"/>
        </w:rPr>
      </w:pPr>
      <w:r>
        <w:rPr>
          <w:rFonts w:cs="David;Times New Roman" w:ascii="David;Times New Roman" w:hAnsi="David;Times New Roman"/>
          <w:b/>
          <w:bCs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למרבית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אורכן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.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חשיפתו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מובנת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חשיפתו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5"/>
        <w:ind w:end="1282"/>
        <w:jc w:val="both"/>
        <w:rPr>
          <w:rFonts w:ascii="Calibri;Times New Roman" w:hAnsi="Calibri;Times New Roman" w:eastAsia="Calibri;Times New Roman" w:cs="Arial;Arial"/>
          <w:szCs w:val="20"/>
        </w:rPr>
      </w:pPr>
      <w:r>
        <w:rPr>
          <w:rFonts w:eastAsia="Calibri;Times New Roman" w:cs="Arial;Arial" w:ascii="Calibri;Times New Roman" w:hAnsi="Calibri;Times New Roman"/>
          <w:szCs w:val="20"/>
          <w:rtl w:val="true"/>
        </w:rPr>
      </w:r>
    </w:p>
    <w:p>
      <w:pPr>
        <w:pStyle w:val="Ruller5"/>
        <w:ind w:end="1282"/>
        <w:jc w:val="both"/>
        <w:rPr>
          <w:rFonts w:ascii="FrankRuehl;Times New Roman" w:hAnsi="FrankRuehl;Times New Roman" w:cs="FrankRuehl;Times New Roman"/>
          <w:color w:val="000000"/>
          <w:sz w:val="28"/>
        </w:rPr>
      </w:pP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hyperlink r:id="rId29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מרכז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10101-11-09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>פסקה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</w:rPr>
        <w:t>530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</w:rPr>
        <w:t>29.11.2015</w:t>
      </w:r>
      <w:r>
        <w:rPr>
          <w:rFonts w:cs="FrankRuehl;Times New Roman" w:ascii="FrankRuehl;Times New Roman" w:hAnsi="FrankRuehl;Times New Roman"/>
          <w:sz w:val="28"/>
          <w:rtl w:val="true"/>
        </w:rPr>
        <w:t>)).</w:t>
      </w:r>
    </w:p>
    <w:p>
      <w:pPr>
        <w:pStyle w:val="Normal"/>
        <w:ind w:start="1644" w:end="1276"/>
        <w:jc w:val="both"/>
        <w:rPr>
          <w:rFonts w:ascii="Arial TUR;Arial" w:hAnsi="Arial TUR;Arial" w:cs="FrankRuehl;Times New Roman"/>
          <w:color w:val="000000"/>
          <w:spacing w:val="10"/>
          <w:sz w:val="22"/>
          <w:szCs w:val="28"/>
        </w:rPr>
      </w:pPr>
      <w:r>
        <w:rPr>
          <w:rFonts w:cs="FrankRuehl;Times New Roman" w:ascii="Arial TUR;Arial" w:hAnsi="Arial TUR;Arial"/>
          <w:color w:val="00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ובשינויים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המתאימים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כמתחייב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חשוד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ההופך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שותפיו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לחתימת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נדרשת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ומבססות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ומסירות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החוקרות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יסיקו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לאלתר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הלקחים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המתחייבים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ויקפידו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הקפדה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ומתבקשת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end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</w:p>
    <w:p>
      <w:pPr>
        <w:pStyle w:val="BODYVERDICT"/>
        <w:ind w:end="0"/>
        <w:jc w:val="start"/>
        <w:rPr>
          <w:rFonts w:ascii="Arial TUR;Arial" w:hAnsi="Arial TUR;Arial" w:cs="Miriam"/>
          <w:spacing w:val="10"/>
          <w:sz w:val="24"/>
          <w:szCs w:val="24"/>
          <w:u w:val="single"/>
        </w:rPr>
      </w:pPr>
      <w:r>
        <w:rPr>
          <w:rFonts w:cs="Miriam" w:ascii="Arial TUR;Arial" w:hAnsi="Arial TUR;Arial"/>
          <w:spacing w:val="10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מצרפת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הסכמתי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י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אלרון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שא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ממעשהו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תשלום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שכירי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חרב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מדינה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להוצי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זממו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במתלונן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חטאו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מתחרה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רופאים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וטרינרים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התוקפים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שנשכרו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זימנו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מבודד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באמתלת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שווא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הפליאו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והשליכו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אבנים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שמאל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ומתווספת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טראומטי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והתעוזה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שבמעשים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השפלות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והאלימות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7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גרוסקופף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והולם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בפרשה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יוותרו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בעינם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;Times New Roman" w:cs="Miriam"/>
          <w:b/>
          <w:spacing w:val="10"/>
          <w:sz w:val="22"/>
          <w:szCs w:val="28"/>
        </w:rPr>
      </w:pPr>
      <w:r>
        <w:rPr>
          <w:rFonts w:eastAsia="Calibri;Times New Roman"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1"/>
        <w:ind w:end="0"/>
        <w:jc w:val="end"/>
        <w:rPr>
          <w:rFonts w:eastAsia="Calibri;Times New Roman"/>
        </w:rPr>
      </w:pPr>
      <w:r>
        <w:rPr>
          <w:rFonts w:eastAsia="Calibri;Times New Roman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;Times New Roman"/>
          <w:rtl w:val="true"/>
        </w:rPr>
        <w:t>ת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;Times New Roman" w:cs="Miriam"/>
          <w:b/>
          <w:sz w:val="22"/>
        </w:rPr>
      </w:pPr>
      <w:r>
        <w:rPr>
          <w:rFonts w:eastAsia="Calibri;Times New Roman" w:cs="Miriam" w:ascii="Century" w:hAnsi="Century"/>
          <w:b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;Times New Roman" w:cs="Miriam"/>
          <w:b/>
          <w:sz w:val="22"/>
        </w:rPr>
      </w:pP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דבר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י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אלרון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3037/19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ברון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ע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גרוסקופף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י</w:t>
      </w:r>
      <w:r>
        <w:rPr>
          <w:rFonts w:eastAsia="Calibri;Times New Roman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;Times New Roman" w:cs="Miriam"/>
          <w:b/>
          <w:b/>
          <w:sz w:val="22"/>
          <w:sz w:val="22"/>
          <w:rtl w:val="true"/>
        </w:rPr>
        <w:t>אלרון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2947/19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bookmarkStart w:id="17" w:name="Nitan"/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היום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בכסלו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התשפ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>(‏</w:t>
      </w:r>
      <w:r>
        <w:rPr>
          <w:rFonts w:eastAsia="Calibri;Times New Roman" w:cs="FrankRuehl;Times New Roman" w:ascii="Century" w:hAnsi="Century"/>
          <w:spacing w:val="10"/>
          <w:sz w:val="22"/>
          <w:szCs w:val="28"/>
        </w:rPr>
        <w:t>3.12.2020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bookmarkEnd w:id="17"/>
    </w:p>
    <w:p>
      <w:pPr>
        <w:pStyle w:val="Normal"/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;Times New Roman" w:cs="FrankRuehl;Times New Roman"/>
          <w:spacing w:val="10"/>
          <w:sz w:val="22"/>
          <w:szCs w:val="28"/>
        </w:rPr>
      </w:pPr>
      <w:r>
        <w:rPr>
          <w:rFonts w:eastAsia="Calibri;Times New Roman" w:cs="FrankRuehl;Times New Roman" w:ascii="Century" w:hAnsi="Century"/>
          <w:color w:val="FFFFFF"/>
          <w:spacing w:val="10"/>
          <w:sz w:val="2"/>
          <w:szCs w:val="2"/>
        </w:rPr>
        <w:t>5129371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ת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ab/>
        <w:tab/>
        <w:tab/>
        <w:t xml:space="preserve"> </w:t>
        <w:tab/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ab/>
        <w:tab/>
        <w:tab/>
        <w:tab/>
      </w:r>
      <w:r>
        <w:rPr>
          <w:rFonts w:eastAsia="Calibri;Times New Roman" w:cs="FrankRuehl;Times New Roman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;Times New Roman" w:cs="FrankRuehl;Times New Roman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overflowPunct w:val="true"/>
        <w:autoSpaceDE w:val="true"/>
        <w:spacing w:lineRule="auto" w:line="360" w:before="0" w:after="160"/>
        <w:ind w:firstLine="720" w:end="0"/>
        <w:jc w:val="both"/>
        <w:textAlignment w:val="auto"/>
        <w:rPr>
          <w:rFonts w:ascii="Century" w:hAnsi="Century" w:eastAsia="Calibri;Times New Roman" w:cs="FrankRuehl;Times New Roman"/>
          <w:color w:val="FFFFFF"/>
          <w:spacing w:val="10"/>
          <w:sz w:val="2"/>
          <w:szCs w:val="2"/>
        </w:rPr>
      </w:pPr>
      <w:r>
        <w:rPr>
          <w:rFonts w:eastAsia="Calibri;Times New Roman" w:cs="FrankRuehl;Times New Roman" w:ascii="Century" w:hAnsi="Century"/>
          <w:color w:val="FFFFFF"/>
          <w:spacing w:val="10"/>
          <w:sz w:val="2"/>
          <w:szCs w:val="2"/>
        </w:rPr>
        <w:t>54678313</w:t>
      </w:r>
    </w:p>
    <w:p>
      <w:pPr>
        <w:pStyle w:val="Ruller41"/>
        <w:ind w:end="0"/>
        <w:jc w:val="both"/>
        <w:rPr>
          <w:rFonts w:ascii="Century" w:hAnsi="Century" w:eastAsia="Calibri;Times New Roman" w:cs="FrankRuehl;Times New Roman"/>
          <w:color w:val="FFFFFF"/>
          <w:spacing w:val="10"/>
          <w:sz w:val="2"/>
          <w:szCs w:val="2"/>
        </w:rPr>
      </w:pPr>
      <w:r>
        <w:rPr>
          <w:rFonts w:eastAsia="Calibri;Times New Roman" w:cs="FrankRuehl;Times New Roman" w:ascii="Century" w:hAnsi="Century"/>
          <w:color w:val="FFFFFF"/>
          <w:spacing w:val="10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szCs w:val="16"/>
          <w:rtl w:val="true"/>
        </w:rPr>
        <w:t>________</w:t>
      </w:r>
      <w:r>
        <w:rPr>
          <w:szCs w:val="16"/>
          <w:rtl w:val="true"/>
        </w:rPr>
        <w:t>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19029470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rtl w:val="true"/>
        </w:rPr>
        <w:t>+</w:t>
      </w:r>
      <w:r>
        <w:rPr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54678313-2947/19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24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2947/19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יונתן לטוין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24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643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54a.a" TargetMode="External"/><Relationship Id="rId9" Type="http://schemas.openxmlformats.org/officeDocument/2006/relationships/hyperlink" Target="http://www.nevo.co.il/law/98639" TargetMode="External"/><Relationship Id="rId10" Type="http://schemas.openxmlformats.org/officeDocument/2006/relationships/hyperlink" Target="http://www.nevo.co.il/law/98639/7.1" TargetMode="External"/><Relationship Id="rId11" Type="http://schemas.openxmlformats.org/officeDocument/2006/relationships/hyperlink" Target="http://www.nevo.co.il/case/20964377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305595" TargetMode="External"/><Relationship Id="rId16" Type="http://schemas.openxmlformats.org/officeDocument/2006/relationships/hyperlink" Target="http://www.nevo.co.il/law/70301/3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151033" TargetMode="External"/><Relationship Id="rId19" Type="http://schemas.openxmlformats.org/officeDocument/2006/relationships/hyperlink" Target="http://www.nevo.co.il/case/5995049" TargetMode="External"/><Relationship Id="rId20" Type="http://schemas.openxmlformats.org/officeDocument/2006/relationships/hyperlink" Target="http://www.nevo.co.il/law/98569/54a.a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case/5716667" TargetMode="External"/><Relationship Id="rId23" Type="http://schemas.openxmlformats.org/officeDocument/2006/relationships/hyperlink" Target="http://www.nevo.co.il/case/23855492" TargetMode="External"/><Relationship Id="rId24" Type="http://schemas.openxmlformats.org/officeDocument/2006/relationships/hyperlink" Target="http://www.nevo.co.il/case/20911395" TargetMode="External"/><Relationship Id="rId25" Type="http://schemas.openxmlformats.org/officeDocument/2006/relationships/hyperlink" Target="http://www.nevo.co.il/law/98639/7.1" TargetMode="External"/><Relationship Id="rId26" Type="http://schemas.openxmlformats.org/officeDocument/2006/relationships/hyperlink" Target="http://www.nevo.co.il/law/98639" TargetMode="External"/><Relationship Id="rId27" Type="http://schemas.openxmlformats.org/officeDocument/2006/relationships/hyperlink" Target="http://www.nevo.co.il/case/5939887" TargetMode="External"/><Relationship Id="rId28" Type="http://schemas.openxmlformats.org/officeDocument/2006/relationships/hyperlink" Target="http://www.nevo.co.il/case/5984379" TargetMode="External"/><Relationship Id="rId29" Type="http://schemas.openxmlformats.org/officeDocument/2006/relationships/hyperlink" Target="http://www.nevo.co.il/case/5179186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2020-12-06T08:45:00Z</dcterms:created>
  <dc:creator>h4</dc:creator>
  <dc:description/>
  <cp:keywords/>
  <dc:language>en-IL</dc:language>
  <cp:lastModifiedBy>orly</cp:lastModifiedBy>
  <cp:lastPrinted>2020-12-03T09:07:00Z</cp:lastPrinted>
  <dcterms:modified xsi:type="dcterms:W3CDTF">2020-12-06T08:45:00Z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יונתן לטוין;פלוני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20964377:2;25305595;6151033;5995049;5716667;23855492;20911395;5939887;5984379;5179186</vt:lpwstr>
  </property>
  <property fmtid="{D5CDD505-2E9C-101B-9397-08002B2CF9AE}" pid="9" name="CITY">
    <vt:lpwstr/>
  </property>
  <property fmtid="{D5CDD505-2E9C-101B-9397-08002B2CF9AE}" pid="10" name="DATE">
    <vt:lpwstr>20201203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אלרון;ע' גרוסקופף</vt:lpwstr>
  </property>
  <property fmtid="{D5CDD505-2E9C-101B-9397-08002B2CF9AE}" pid="14" name="LAWLISTTMP1">
    <vt:lpwstr>70301/329.a.1;029;329</vt:lpwstr>
  </property>
  <property fmtid="{D5CDD505-2E9C-101B-9397-08002B2CF9AE}" pid="15" name="LAWLISTTMP2">
    <vt:lpwstr>98569/054a.a</vt:lpwstr>
  </property>
  <property fmtid="{D5CDD505-2E9C-101B-9397-08002B2CF9AE}" pid="16" name="LAWLISTTMP3">
    <vt:lpwstr>98639/007.1</vt:lpwstr>
  </property>
  <property fmtid="{D5CDD505-2E9C-101B-9397-08002B2CF9AE}" pid="17" name="LAWYER">
    <vt:lpwstr>אלי כץ;עמוס לוי;נורית הרצמן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77;77;77;89;89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סיוע</vt:lpwstr>
  </property>
  <property fmtid="{D5CDD505-2E9C-101B-9397-08002B2CF9AE}" pid="44" name="NOSE25">
    <vt:lpwstr>מהימנות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1446;1446;1446;1651;1635</vt:lpwstr>
  </property>
  <property fmtid="{D5CDD505-2E9C-101B-9397-08002B2CF9AE}" pid="50" name="NOSE31">
    <vt:lpwstr>מדיניות ענישה: עבירות אלימות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לעדות עד מדינה</vt:lpwstr>
  </property>
  <property fmtid="{D5CDD505-2E9C-101B-9397-08002B2CF9AE}" pid="55" name="NOSE35">
    <vt:lpwstr>בחינתה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8984;8982;8994;10352;10195</vt:lpwstr>
  </property>
  <property fmtid="{D5CDD505-2E9C-101B-9397-08002B2CF9AE}" pid="61" name="PADIDATE">
    <vt:lpwstr>20201206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2947;3037</vt:lpwstr>
  </property>
  <property fmtid="{D5CDD505-2E9C-101B-9397-08002B2CF9AE}" pid="67" name="PROCYEAR">
    <vt:lpwstr>19;19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410120201203</vt:lpwstr>
  </property>
  <property fmtid="{D5CDD505-2E9C-101B-9397-08002B2CF9AE}" pid="71" name="TYPE_N_DATE">
    <vt:lpwstr>41020201203</vt:lpwstr>
  </property>
  <property fmtid="{D5CDD505-2E9C-101B-9397-08002B2CF9AE}" pid="72" name="VOLUME">
    <vt:lpwstr/>
  </property>
  <property fmtid="{D5CDD505-2E9C-101B-9397-08002B2CF9AE}" pid="73" name="WORDNUMPAGES">
    <vt:lpwstr>21</vt:lpwstr>
  </property>
</Properties>
</file>