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2965/18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אביב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יפו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 </w:t>
            </w:r>
            <w:r>
              <w:rPr>
                <w:rFonts w:cs="Miriam" w:ascii="Century" w:hAnsi="Century"/>
                <w:b/>
                <w:szCs w:val="24"/>
              </w:rPr>
              <w:t>029919-09-15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30.10.20017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22.03.2018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נויטל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והשופטים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: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ט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חיימוביץ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גונטובניק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29.04.2019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אהרון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נדחה ערעור על הרשעת המערער בשתי עבירות של מעשה מגונה בידי בן משפחה בקטינה מתחת לגיל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לאחר דחיית טענותיו ביחס למִתאם בין גרסת המתלוננת לגרסאות בני משפחתה וחברותיה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ביחס למהימנות המתלוננת וביחס להיותו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בן משפחתה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נדחה הערעור על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שכן אין להעניק משקל לנסיבות האישיות של המערער או לחלוף הזמן מאז שהוטל עליו עונש המאסר המותנה ועד להפעלתו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מעבר למשקל שכבר ניתן להם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עבירות – מעשה מגונה בקטין בן 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עדות – סתירות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מהימנות – 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הרשעת המערער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בדעת רוב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בשתי עבירות של מעשה מגונה בידי בן משפחה בקטינה מתחת לגיל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סעיפים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351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348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345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אותן ביצע בבתה הקטינה של בת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זוגו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גזר על המערער עונש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שני עונשים מותנים ופיצוי בסך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הפעיל עונש מאסר בן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 שהיה תלוי ועומד נגד המערער בגין הרשעתו בביצוע עבירות מין בקטינים אחרים בתוך המשפחה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כך שבסך הכל ירצה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אלרון ובהסכמת המשנה לנשיאה מלצר והשופט מינץ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לטענת המערער לפער בין גרסת המתלוננת לגרסאות בני משפחתה וחברותיה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פסק כי למעט גרסת האב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קיים דמיון רב בין גרסת המתלוננת לגרסאות של חברותיה ואחיותיה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 השינויים המסוימים שקיימים בין הגרסאות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גם את הפער בין גרסת האב לגרסת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 לתלות בפרשנות האישית שהעניקו לסיפור חברותיה ובני משפחתה של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בחלוף הזמן מאז שסיפרה להם את הדברים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נמצא כי קיימים פערים מהותיים בין הגרסאות שהיה בהם כדי לעורר ספק באשר למהימנות גרסתה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יתה עקבית וקוהרנטית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מצא כי גרסאות האחיות והחברות חיזקו את גרסת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אם בחלקן תוארו מעשים שונים מאלו שתיארה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בכולן מצוי אותו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גרעין קשה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אירועים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טענות המערער להיעדר מהימנות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נדחו בהעדר מקום להתערב בקביעת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שמצא את עדות המתלוננת מהימנה וקוהרנטית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בעוד שעדות המערער נמצאה בלתי מהימנה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לשאלה האם המערער נחשב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בן משפחתה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של המתלוננת לעניין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351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351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זה מורה כי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בן משפחה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ייחשב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בן זוגו של הורה אף אם אינו נשוי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הלכה היא כי לצורך הכרעה בשאלה האם נאשם שהוא בן זוגו של הורה לקטין קרבן העבירה נחשב לבן משפחתו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לבחון את מהות היחסים בין בני הזוג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ובמקרה בו מעידה מהות זו על קיומה של מערכת זוגית וקשר בלתי אמצעי ויום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יומי בין בן הזוג לילדיה של בת הזוג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די בכך כדי לקיים את היסוד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בן זוג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לצורך הסעיף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טיבו ואיכותו של הקשר בין הקטין לבין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בן זוגו של ההורה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הם אשר עומדים למבחן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 מעמדו הפורמאלי של אותו בן זוג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מחומר הראיות עולה כי המערער ואֵם המתלוננת היו בני זוג הן בעיני עצמם הן בעיני סביבתם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ואין לייחס משמעות לשאלת המועד בו החלו השניים לקיים יחסי מין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אם המערער לא ניהל עם אמה של המתלוננת משק בית משותף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 שילם את חלקו עבור מגורים בדירת אֵם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אם הקשר הזוגי בין המערער לאֵם לא נמשך תקופה ארוכה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בדין נקבע כי המערער נחשב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בן זוגה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אם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לצורך מבחני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351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לערעור על 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חלוף הזמן הרב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מאז המועד בו הוטל העונש המותנה על המערער ועד למועד גזר הדין נכלל בשיקולי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ומכל מקום כנגד נסיבה מקלה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עומדת החומרה היתירה שיש לייחס למעשי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בשל כך שהעבירות בהן הורשע בהליך זה בוצעו חודשים ספורים לאחר ששוחרר ממאסר שריצה בגין ביצוע עבירות דומות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חומרה מיוחדת יש לייחס לפגיעה בקטינים בתוך המסגרת המשפחתית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תקופת המאסר שריצה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גם עונש המאסר התלוי ועומד נגדו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הרתיעו את המערער מלשוב ולבצע את העבירות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וגם עובדה זו נלקחה בשיקולי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בכל שלושת המקרים נמנע המערער מלקבל אחריות על מעשיו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ובכך הביא לניהול הליכים משפטיים בהם נאלצו המתלוננים להעיד על חוויותיהם הקשות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להעניק משקל לנסיבות האישיות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לחלוף הזמן מאז שהוטל עליו עונש המאסר המותנה ועד להפעלתו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מעבר למשקל שכבר ניתן להם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2000-2001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: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ברגליה</w:t>
      </w:r>
      <w:r>
        <w:rPr>
          <w:rtl w:val="true"/>
        </w:rPr>
        <w:t xml:space="preserve">, </w:t>
      </w:r>
      <w:r>
        <w:rPr>
          <w:rtl w:val="true"/>
        </w:rPr>
        <w:t>בגבה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",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tl w:val="true"/>
        </w:rPr>
        <w:t xml:space="preserve">"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30.10.2017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22.3.2018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391/92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27.4.1994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tl w:val="true"/>
        </w:rPr>
        <w:t xml:space="preserve">, 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ארד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לגרסאות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וחברותיה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הגדולות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מובהקות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tl w:val="true"/>
        </w:rPr>
        <w:t xml:space="preserve">, </w:t>
      </w:r>
      <w:r>
        <w:rPr>
          <w:rtl w:val="true"/>
        </w:rPr>
        <w:t>המייחסים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"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והסתירה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].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; </w:t>
      </w:r>
      <w:r>
        <w:rPr>
          <w:rtl w:val="true"/>
        </w:rPr>
        <w:t>הפשטת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לנשיקה</w:t>
      </w:r>
      <w:r>
        <w:rPr>
          <w:rtl w:val="true"/>
        </w:rPr>
        <w:t xml:space="preserve">;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באוזן</w:t>
      </w:r>
      <w:r>
        <w:rPr>
          <w:rtl w:val="true"/>
        </w:rPr>
        <w:t xml:space="preserve">;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15-16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ומשהמתלוננת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נבראו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לגרסאותיהן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ואחיותיה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מקורביה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הטלויזיה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בצהריים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... </w:t>
      </w:r>
      <w:r>
        <w:rPr>
          <w:rtl w:val="true"/>
        </w:rPr>
        <w:t>ישבנו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טלויזיה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בערבים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תכופה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מהצהרתה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tl w:val="true"/>
        </w:rPr>
        <w:t>: "</w:t>
      </w:r>
      <w:r>
        <w:rPr>
          <w:rtl w:val="true"/>
        </w:rPr>
        <w:t>באיזו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?" </w:t>
      </w:r>
      <w:r>
        <w:rPr>
          <w:rtl w:val="true"/>
        </w:rPr>
        <w:t>והשיבה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 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שחקוקים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במהימנותה</w:t>
      </w:r>
      <w:r>
        <w:rPr>
          <w:rtl w:val="true"/>
        </w:rPr>
        <w:t xml:space="preserve">. </w:t>
      </w:r>
      <w:r>
        <w:rPr>
          <w:rtl w:val="true"/>
        </w:rPr>
        <w:t>לתחושתה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  <w:r>
        <w:rPr>
          <w:rtl w:val="true"/>
        </w:rPr>
        <w:t>דוחף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, </w:t>
      </w:r>
      <w:r>
        <w:rPr>
          <w:rtl w:val="true"/>
        </w:rPr>
        <w:t>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האינטימיים</w:t>
      </w:r>
      <w:r>
        <w:rPr>
          <w:rtl w:val="true"/>
        </w:rPr>
        <w:t xml:space="preserve">.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כחולים</w:t>
      </w:r>
      <w:r>
        <w:rPr>
          <w:rtl w:val="true"/>
        </w:rPr>
        <w:t xml:space="preserve">",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"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). </w:t>
      </w:r>
      <w:r>
        <w:rPr>
          <w:rtl w:val="true"/>
        </w:rPr>
        <w:br/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כחולים</w:t>
      </w:r>
      <w:r>
        <w:rPr>
          <w:rtl w:val="true"/>
        </w:rPr>
        <w:t xml:space="preserve">";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"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, </w:t>
      </w:r>
      <w:r>
        <w:rPr>
          <w:rtl w:val="true"/>
        </w:rPr>
        <w:t>מילותיה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 "</w:t>
      </w:r>
      <w:r>
        <w:rPr>
          <w:rtl w:val="true"/>
        </w:rPr>
        <w:t>דוחף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" </w:t>
      </w:r>
      <w:r>
        <w:rPr>
          <w:rtl w:val="true"/>
        </w:rPr>
        <w:t>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...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ל</w:t>
      </w:r>
      <w:r>
        <w:rPr>
          <w:rtl w:val="true"/>
        </w:rPr>
        <w:t xml:space="preserve">']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התעסק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ושאלתי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 "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הירכיים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בפות</w:t>
      </w:r>
      <w:r>
        <w:rPr>
          <w:rtl w:val="true"/>
        </w:rPr>
        <w:t xml:space="preserve">,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94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ובנימוקיה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 (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</w:t>
      </w:r>
      <w:r>
        <w:rPr>
          <w:rtl w:val="true"/>
        </w:rPr>
        <w:t xml:space="preserve">'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היסודי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tl w:val="true"/>
        </w:rPr>
        <w:t xml:space="preserve">, </w:t>
      </w:r>
      <w:r>
        <w:rPr>
          <w:rtl w:val="true"/>
        </w:rPr>
        <w:t>ושזה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 ... 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]. ...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97-98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). </w:t>
      </w:r>
      <w:r>
        <w:rPr>
          <w:rtl w:val="true"/>
        </w:rPr>
        <w:t>משהוצג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35-36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שסילפתי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 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100-101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הפשיט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ארוכה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צורה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המציאה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שביארתי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במעורפל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",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בבגרותה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נפתחה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הבייביסיטר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"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ערב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כשהוצג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שהבנתי</w:t>
      </w:r>
      <w:r>
        <w:rPr>
          <w:rtl w:val="true"/>
        </w:rPr>
        <w:t>.</w:t>
      </w:r>
      <w:r>
        <w:rPr>
          <w:rtl w:val="true"/>
        </w:rPr>
        <w:t xml:space="preserve"> ... </w:t>
      </w:r>
      <w:r>
        <w:rPr>
          <w:rtl w:val="true"/>
        </w:rPr>
        <w:t>פרספקטיבה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</w:t>
      </w:r>
      <w:r>
        <w:rPr>
          <w:rtl w:val="true"/>
        </w:rPr>
        <w:t>י</w:t>
      </w:r>
      <w:r>
        <w:rPr>
          <w:rtl w:val="true"/>
        </w:rPr>
        <w:t>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שזכרתי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מהמתלוננת</w:t>
      </w:r>
      <w:r>
        <w:rPr>
          <w:rtl w:val="true"/>
        </w:rPr>
        <w:t xml:space="preserve">] </w:t>
      </w:r>
      <w:r>
        <w:rPr>
          <w:rtl w:val="true"/>
        </w:rPr>
        <w:t>למיטב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אומרת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ששמעתי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שתרגמתי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המזעזעים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תרגם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מחשבתו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</w:t>
      </w:r>
      <w:r>
        <w:rPr>
          <w:rtl w:val="true"/>
        </w:rPr>
        <w:t>דו</w:t>
      </w:r>
      <w:r>
        <w:rPr>
          <w:rtl w:val="true"/>
        </w:rPr>
        <w:t>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tl w:val="true"/>
        </w:rPr>
        <w:t xml:space="preserve">: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וקוהרנטית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האחיות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כתכופה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והמִתאם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; </w:t>
      </w:r>
      <w:r>
        <w:rPr>
          <w:rtl w:val="true"/>
        </w:rPr>
        <w:t>ומהתנהלותה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העקבית</w:t>
      </w:r>
      <w:r>
        <w:rPr>
          <w:rtl w:val="true"/>
        </w:rPr>
        <w:t xml:space="preserve">, </w:t>
      </w:r>
      <w:r>
        <w:rPr>
          <w:rtl w:val="true"/>
        </w:rPr>
        <w:t>הברורה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ועדים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הגיון</w:t>
      </w:r>
      <w:r>
        <w:rPr>
          <w:rtl w:val="true"/>
        </w:rPr>
        <w:t xml:space="preserve">, </w:t>
      </w:r>
      <w:r>
        <w:rPr>
          <w:rtl w:val="true"/>
        </w:rPr>
        <w:t>תמהיות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סתמיות</w:t>
      </w:r>
      <w:r>
        <w:rPr>
          <w:rtl w:val="true"/>
        </w:rPr>
        <w:t xml:space="preserve">, </w:t>
      </w:r>
      <w:r>
        <w:rPr>
          <w:rtl w:val="true"/>
        </w:rPr>
        <w:t>וניסיונות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ומספקים</w:t>
      </w:r>
      <w:r>
        <w:rPr>
          <w:rtl w:val="true"/>
        </w:rPr>
        <w:t xml:space="preserve">, </w:t>
      </w:r>
      <w:r>
        <w:rPr>
          <w:rtl w:val="true"/>
        </w:rPr>
        <w:t>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בגירסתו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>' (</w:t>
      </w:r>
      <w:r>
        <w:rPr>
          <w:rtl w:val="true"/>
        </w:rPr>
        <w:t>כביכול</w:t>
      </w:r>
      <w:r>
        <w:rPr>
          <w:rtl w:val="true"/>
        </w:rPr>
        <w:t xml:space="preserve">)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, </w:t>
      </w:r>
      <w:r>
        <w:rPr>
          <w:rtl w:val="true"/>
        </w:rPr>
        <w:t>ונטענו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88-89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המינימלית</w:t>
      </w:r>
      <w:r>
        <w:rPr>
          <w:rtl w:val="true"/>
        </w:rPr>
        <w:t xml:space="preserve">"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וביתה</w:t>
      </w:r>
      <w:r>
        <w:rPr>
          <w:rtl w:val="true"/>
        </w:rPr>
        <w:t>, "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שומעיה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התלהמה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לדייק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ולהבדיל</w:t>
      </w:r>
      <w:r>
        <w:rPr>
          <w:rtl w:val="true"/>
        </w:rPr>
        <w:t xml:space="preserve">,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הגבולית</w:t>
      </w:r>
      <w:r>
        <w:rPr>
          <w:rtl w:val="true"/>
        </w:rPr>
        <w:t xml:space="preserve">"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בסיטואציה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לאמרותיהם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";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צפיה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בפשטות</w:t>
      </w:r>
      <w:r>
        <w:rPr>
          <w:rtl w:val="true"/>
        </w:rPr>
        <w:t xml:space="preserve">, </w:t>
      </w:r>
      <w:r>
        <w:rPr>
          <w:rtl w:val="true"/>
        </w:rPr>
        <w:t>בבהירות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התלהמות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ובעקביות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ובבהירות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בגללך</w:t>
      </w:r>
      <w:r>
        <w:rPr>
          <w:rtl w:val="true"/>
        </w:rPr>
        <w:t>";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בגללך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2-3</w:t>
      </w:r>
      <w:r>
        <w:rPr>
          <w:rtl w:val="true"/>
        </w:rPr>
        <w:t>); "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נדפקתי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ופסיכיאטרי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...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יקירי</w:t>
      </w:r>
      <w:r>
        <w:rPr>
          <w:rtl w:val="true"/>
        </w:rPr>
        <w:t xml:space="preserve">.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מהמשקעים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א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ולניסיונותיה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האובדניים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התחושות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, </w:t>
      </w:r>
      <w:r>
        <w:rPr>
          <w:rtl w:val="true"/>
        </w:rPr>
        <w:t>התחושות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לטריגר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לדעתך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]?",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בבהירות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האִם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>: "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>?"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נוקטת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בפעולה</w:t>
      </w:r>
      <w:r>
        <w:rPr>
          <w:rtl w:val="true"/>
        </w:rPr>
        <w:t xml:space="preserve">"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, </w:t>
      </w:r>
      <w:r>
        <w:rPr>
          <w:rtl w:val="true"/>
        </w:rPr>
        <w:t>חשדה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עזב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מפחדת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חושדת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באמינותה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'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20.6.2013</w:t>
      </w:r>
      <w:r>
        <w:rPr>
          <w:rtl w:val="true"/>
        </w:rPr>
        <w:t xml:space="preserve">).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'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תהייה</w:t>
      </w:r>
      <w:r>
        <w:rPr>
          <w:rtl w:val="true"/>
        </w:rPr>
        <w:t xml:space="preserve">", </w:t>
      </w:r>
      <w:r>
        <w:rPr>
          <w:rtl w:val="true"/>
        </w:rPr>
        <w:t>הפוגמת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מהמציאות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>,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84-83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  <w:r>
        <w:rPr>
          <w:rtl w:val="true"/>
        </w:rPr>
        <w:t>משעדותה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טקטיים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וסביר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351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2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".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ייחשב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, 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'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ההורה</w:t>
      </w:r>
      <w:r>
        <w:rPr>
          <w:rtl w:val="true"/>
        </w:rPr>
        <w:t xml:space="preserve">'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9187/03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26.9.2005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והמתלוננת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23-24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אצלי</w:t>
      </w:r>
      <w:r>
        <w:rPr>
          <w:rtl w:val="true"/>
        </w:rPr>
        <w:t xml:space="preserve">,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נסענו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...</w:t>
      </w:r>
      <w:r>
        <w:rPr>
          <w:rtl w:val="true"/>
        </w:rPr>
        <w:t>אחותי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...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לישוב</w:t>
      </w:r>
      <w:r>
        <w:rPr>
          <w:rtl w:val="true"/>
        </w:rPr>
        <w:t xml:space="preserve">...,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מהמשפחה</w:t>
      </w:r>
      <w:r>
        <w:rPr>
          <w:rtl w:val="true"/>
        </w:rPr>
        <w:t xml:space="preserve">,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...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...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56-57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וציינה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וקרבה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וכואבות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... </w:t>
      </w:r>
      <w:r>
        <w:rPr>
          <w:rtl w:val="true"/>
        </w:rPr>
        <w:t>פתחתי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האמנתי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שבמבצר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ובבטחון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יתעלל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והיינו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המשתמע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משדחיתי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למִתאם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וחברותיה</w:t>
      </w:r>
      <w:r>
        <w:rPr>
          <w:rtl w:val="true"/>
        </w:rPr>
        <w:t xml:space="preserve">;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מתעצמת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אדמות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עבורן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שבחוץ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החוזרות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</w:t>
      </w:r>
      <w:r>
        <w:rPr>
          <w:rtl w:val="true"/>
        </w:rPr>
        <w:t xml:space="preserve">, </w:t>
      </w:r>
      <w:r>
        <w:rPr>
          <w:rtl w:val="true"/>
        </w:rPr>
        <w:t>הפשוט</w:t>
      </w:r>
      <w:r>
        <w:rPr>
          <w:rtl w:val="true"/>
        </w:rPr>
        <w:t xml:space="preserve">, </w:t>
      </w:r>
      <w:r>
        <w:rPr>
          <w:rtl w:val="true"/>
        </w:rPr>
        <w:t>שנתנו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לתקון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(</w:t>
      </w:r>
      <w:r>
        <w:rPr/>
        <w:t>7.3.2018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tl w:val="true"/>
        </w:rPr>
        <w:t xml:space="preserve">, 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ארד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tl w:val="true"/>
        </w:rPr>
        <w:t>"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ירושלים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391/92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27.4.1994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הביולוגי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משהוכח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להפעלתו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2.7.2019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</w:t>
      </w:r>
      <w:r>
        <w:rPr>
          <w:rtl w:val="true"/>
        </w:rPr>
        <w:t>המעצר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12.6.2019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18029650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מינץ </w:t>
      </w:r>
      <w:r>
        <w:rPr>
          <w:rFonts w:cs="David;Times New Roman" w:ascii="David;Times New Roman" w:hAnsi="David;Times New Roman"/>
          <w:color w:val="000000"/>
          <w:szCs w:val="22"/>
        </w:rPr>
        <w:t>54678313-2965/18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2965/18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48.a" TargetMode="External"/><Relationship Id="rId5" Type="http://schemas.openxmlformats.org/officeDocument/2006/relationships/hyperlink" Target="http://www.nevo.co.il/law/70301/351" TargetMode="External"/><Relationship Id="rId6" Type="http://schemas.openxmlformats.org/officeDocument/2006/relationships/hyperlink" Target="http://www.nevo.co.il/law/70301/351.c" TargetMode="External"/><Relationship Id="rId7" Type="http://schemas.openxmlformats.org/officeDocument/2006/relationships/hyperlink" Target="http://www.nevo.co.il/law/70301/351.c.1" TargetMode="External"/><Relationship Id="rId8" Type="http://schemas.openxmlformats.org/officeDocument/2006/relationships/hyperlink" Target="http://www.nevo.co.il/law/70301/351.e" TargetMode="External"/><Relationship Id="rId9" Type="http://schemas.openxmlformats.org/officeDocument/2006/relationships/hyperlink" Target="http://www.nevo.co.il/law/70301/jCeS" TargetMode="External"/><Relationship Id="rId10" Type="http://schemas.openxmlformats.org/officeDocument/2006/relationships/hyperlink" Target="http://www.nevo.co.il/law/70301/351.c.1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law/70301/345.a.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5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jCeS" TargetMode="External"/><Relationship Id="rId19" Type="http://schemas.openxmlformats.org/officeDocument/2006/relationships/hyperlink" Target="http://www.nevo.co.il/law/70301/35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5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51.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51.e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239943" TargetMode="External"/><Relationship Id="rId28" Type="http://schemas.openxmlformats.org/officeDocument/2006/relationships/hyperlink" Target="http://www.nevo.co.il/law/70301/35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5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3613030" TargetMode="External"/><Relationship Id="rId33" Type="http://schemas.openxmlformats.org/officeDocument/2006/relationships/hyperlink" Target="http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2019-06-13T08:56:00Z</dcterms:created>
  <dc:creator>h4</dc:creator>
  <dc:description/>
  <cp:keywords/>
  <dc:language>en-IL</dc:language>
  <cp:lastModifiedBy>orly</cp:lastModifiedBy>
  <cp:lastPrinted>2019-06-12T09:03:00Z</cp:lastPrinted>
  <dcterms:modified xsi:type="dcterms:W3CDTF">2019-06-13T08:56:00Z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6239943;23613030</vt:lpwstr>
  </property>
  <property fmtid="{D5CDD505-2E9C-101B-9397-08002B2CF9AE}" pid="9" name="CITY">
    <vt:lpwstr/>
  </property>
  <property fmtid="{D5CDD505-2E9C-101B-9397-08002B2CF9AE}" pid="10" name="DATE">
    <vt:lpwstr>20190612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אלרון;ח' מלצר</vt:lpwstr>
  </property>
  <property fmtid="{D5CDD505-2E9C-101B-9397-08002B2CF9AE}" pid="14" name="LAWLISTTMP1">
    <vt:lpwstr>70301/351.c.1;348.a;345.a.3;351:5;jCeS:2;351.c;351.e</vt:lpwstr>
  </property>
  <property fmtid="{D5CDD505-2E9C-101B-9397-08002B2CF9AE}" pid="15" name="LAWYER">
    <vt:lpwstr>רוני זלושינסקי;טלי גוטליב;אביאל אהרון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ראיות</vt:lpwstr>
  </property>
  <property fmtid="{D5CDD505-2E9C-101B-9397-08002B2CF9AE}" pid="31" name="NOSE15">
    <vt:lpwstr>ראיות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77;77;77;89;89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עדות</vt:lpwstr>
  </property>
  <property fmtid="{D5CDD505-2E9C-101B-9397-08002B2CF9AE}" pid="42" name="NOSE25">
    <vt:lpwstr>מהימנות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1443;1446;1446;1654;1635</vt:lpwstr>
  </property>
  <property fmtid="{D5CDD505-2E9C-101B-9397-08002B2CF9AE}" pid="48" name="NOSE31">
    <vt:lpwstr>מעשה מגונה בקטין בן 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במשפחה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סתירות</vt:lpwstr>
  </property>
  <property fmtid="{D5CDD505-2E9C-101B-9397-08002B2CF9AE}" pid="53" name="NOSE35">
    <vt:lpwstr>התערבות ערכאת 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18167;16241;8995;10405;10199</vt:lpwstr>
  </property>
  <property fmtid="{D5CDD505-2E9C-101B-9397-08002B2CF9AE}" pid="59" name="PADIDATE">
    <vt:lpwstr>20190613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2965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410120190612</vt:lpwstr>
  </property>
  <property fmtid="{D5CDD505-2E9C-101B-9397-08002B2CF9AE}" pid="69" name="TYPE_N_DATE">
    <vt:lpwstr>41020190612</vt:lpwstr>
  </property>
  <property fmtid="{D5CDD505-2E9C-101B-9397-08002B2CF9AE}" pid="70" name="VOLUME">
    <vt:lpwstr/>
  </property>
  <property fmtid="{D5CDD505-2E9C-101B-9397-08002B2CF9AE}" pid="71" name="WORDNUMPAGES">
    <vt:lpwstr>25</vt:lpwstr>
  </property>
</Properties>
</file>