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2981/20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יזמות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הימן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עפמ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38517-01-20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לפסול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עצמו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מלדון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בעניינה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cs="Miriam" w:ascii="Century" w:hAnsi="Century"/>
                <w:b/>
                <w:szCs w:val="24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rFonts w:ascii="Century" w:hAnsi="Century" w:cs="FrankRuehl"/>
                <w:spacing w:val="10"/>
              </w:rPr>
            </w:pP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17.6.2020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זלושינסקי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נשיאת העליון פסלה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שופט </w:t>
      </w:r>
      <w:r>
        <w:rPr>
          <w:rFonts w:ascii="Times New Roman" w:hAnsi="Times New Roman" w:cs="Times New Roman"/>
          <w:spacing w:val="0"/>
          <w:szCs w:val="26"/>
          <w:rtl w:val="true"/>
        </w:rPr>
        <w:t>מלדון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בעניין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צו 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הקביעות שקבע בדחותו את הבקשה לעיכוב ביצוע צו ההריסה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גורפות ונחרצות וזאת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שהשופט התייחס בהחלטה לסיכויי הערעור או למאזן הנוחות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מעוררים קושי בייחוד משום שהריסת הבנייה יוצרת מצב בלתי הפיך ומייתרת למעשה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אין כדי לומר כי בכל מקרה שבו מוגש ערעור על הריסת בניה יש להיעתר לבקשה לעיכוב ביצוע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בהחלט ראוי כי החלטה הדוחה בקשה כזו תהא מפורטת ותבהיר את הטעמים לכך עפ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המבחנים הנוהגים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שופטים – פסילה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 ובנייה – צו הריסה מינהלי – עיכוב ביצוע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 ובנייה – צו הריסה –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 ובנייה – הריסה – ביצועה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פסלות שופט – טעמי הפסלות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הימן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לפסול עצמו מלדון בערעור בעניינה של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הוציאה צו הריסה מינהלי לנכס בבעלות 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 מצדה הגישה בקשה לביטול צו ההריסה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נדחתה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לעניינים מקומיים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החלטה זו הגישה המערערת ערעור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ובמקביל הגישה בקשה לעכב את ביצוע צו ההריסה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הימן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הבקשה לעיכוב ביצוע באומרו כי לאחר עיון במסמכי התיק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מצאתי להפנות למושכלי יסוד שמא נשכחו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לבנות כמשמעות המושג בנייה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בהיתר בנייה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התכנון והבנייה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מורה אותנו תכלית ודרך ביצוע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בנייה בלתי חוקית תיהרס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העולה מהחלטת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הנסמכת על מסמכי התיק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שמדובר בבניה בלתי חוקית שיש להרוס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האמור בהחלטה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המעידים לשיטת המערערת כי דעתו של המותב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ננעלה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הוא גמר בדעתו לפסוק לרעתה ביקשה המערערת כי המותב יפסול עצמו מלדון בערעור לגופו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הבקשה נדחתה ומכאן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כפי שכבר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הכריע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בהחלטת ביניים אינן מקימ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כשלעצמ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חשש ממשי למשוא 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שיש בו כדי למנוע מן המותב לדון בהליך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עניין הקביעות שקבע המותב בהחלטתו בדחותו את הבקשה לעיכוב ביצוע צו ההריסה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גורפות ונחרצות וזאת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התייחס בהחלטה לסיכויי הערעור או למאזן הנוחות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מעוררים קושי בייחוד משום שהריסת הבנייה יוצרת מצב בלתי הפיך ומייתרת למעשה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אין כדי לומר כי בכל מקרה שבו מוגש ערעור על הריסת בניה יש להיעתר לבקשה לעיכוב ביצוע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בהחלט מן הראוי כי החלטה הדוחה בקשה לעיכוב בנסיבות אלה תהא מפורטת ותבהיר את הטעמים לכך על פי המבחנים הנוהגים עימנו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האמור לעיל סבורה הנשיאה כי מוטב שהדיון בערעור יישמע בפני מותב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במסקנה זו משום הבעת דעה כלשהי לגופו של הערעור או לגופן של הטענות המועלות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  <w:bookmarkStart w:id="12" w:name="Writer_Name"/>
      <w:bookmarkStart w:id="13" w:name="Writer_Name"/>
      <w:bookmarkEnd w:id="13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8.3.2020</w:t>
      </w:r>
      <w:r>
        <w:rPr>
          <w:rtl w:val="true"/>
        </w:rPr>
        <w:t xml:space="preserve"> </w:t>
      </w:r>
      <w:r>
        <w:rPr>
          <w:rtl w:val="true"/>
        </w:rPr>
        <w:t>בעפמ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/>
        <w:t>38517-01-20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ההריסה</w:t>
      </w:r>
      <w:r>
        <w:rPr>
          <w:rtl w:val="true"/>
        </w:rPr>
        <w:t xml:space="preserve">). 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/>
        <w:t>51176-10-19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16.1.2020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נשכחו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תיהרס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להרוס</w:t>
      </w:r>
      <w:r>
        <w:rPr>
          <w:rtl w:val="true"/>
        </w:rPr>
        <w:t xml:space="preserve">".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2.2.2020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ננעלה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14" w:name="Seif2"/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bookmarkEnd w:id="14"/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3.2.2020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יזמות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765/20</w:t>
        </w:r>
      </w:hyperlink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8.3.2020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ascii="FrankRuehl" w:hAnsi="FrankRuehl"/>
          <w:sz w:val="28"/>
          <w:sz w:val="28"/>
          <w:rtl w:val="true"/>
        </w:rPr>
        <w:t xml:space="preserve"> ברירת המחדל היא שביצוע של צווי הריסה לא יעוכב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בהקשר זה הוסיף בית המשפט כי על פני הדברים סיכויי הערעור הם נמוכים ביותר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ועל כן נפסק שאין מקום להורות על עיכוב ביצוע צו ההריסה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הוטעם כי לפי הגיונה של הבקשה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כל דחייה של בקשה לעיכוב ביצוע צו הריסה תגבש עילת פסלות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לבסוף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המותב הוסיף וקבע כי עומדת למערערת הזכות להשמיע את טענותיה בדיון בערעור לגופו ולנסות לשכנע בצדקתן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bookmarkStart w:id="15" w:name="Seif3"/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למאזן</w:t>
      </w:r>
      <w:r>
        <w:rPr>
          <w:rFonts w:eastAsia="Arial TUR;Arial" w:cs="Arial TUR;Arial"/>
          <w:rtl w:val="true"/>
        </w:rPr>
        <w:t xml:space="preserve"> </w:t>
      </w:r>
      <w:bookmarkEnd w:id="15"/>
      <w:r>
        <w:rPr>
          <w:rtl w:val="true"/>
        </w:rPr>
        <w:t>הנוחות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 טוענת מנגד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החלטת המותב שלא להורות על עיכוב ביצוע צו ההריסה הייתה מוצדקת ועלתה בקנה אחד עם הוראות הדין</w:t>
      </w:r>
      <w:r>
        <w:rPr>
          <w:rtl w:val="true"/>
        </w:rPr>
        <w:t xml:space="preserve">, </w:t>
      </w:r>
      <w:r>
        <w:rPr>
          <w:rtl w:val="true"/>
        </w:rPr>
        <w:t>הקובעות כי ברירת המחדל הינה שביצוע צו הריסה מינהלי שהוצא לא יעוכב</w:t>
      </w:r>
      <w:r>
        <w:rPr>
          <w:rtl w:val="true"/>
        </w:rPr>
        <w:t xml:space="preserve">. </w:t>
      </w:r>
      <w:r>
        <w:rPr>
          <w:rtl w:val="true"/>
        </w:rPr>
        <w:t xml:space="preserve">עוד מציינת המשיבה כי הסכמתה לעיכוב ביצוע הצו במסגרת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765/20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ניתנה אך בשל העובדה שהערעור נושא ההליך דנן היה צפוי להישמע שלושה ימים לאחר מכן</w:t>
      </w:r>
      <w:r>
        <w:rPr>
          <w:rtl w:val="true"/>
        </w:rPr>
        <w:t xml:space="preserve">, </w:t>
      </w:r>
      <w:r>
        <w:rPr>
          <w:rtl w:val="true"/>
        </w:rPr>
        <w:t>ולא משום שסברה כי נפלה שגגה בהחלטת המותב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לנוכח הבהרותיו של בית המשפט בהחלטת הפסלות כי הוא נכון לשמוע כל טענה שתעלה המערערת</w:t>
      </w:r>
      <w:r>
        <w:rPr>
          <w:rtl w:val="true"/>
        </w:rPr>
        <w:t xml:space="preserve">, </w:t>
      </w:r>
      <w:r>
        <w:rPr>
          <w:rtl w:val="true"/>
        </w:rPr>
        <w:t>לא מתעורר חשש ממשי למשוא פנים אשר מצדיק פסילתו מלדון בערעור לגופו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6</w:t>
      </w:r>
      <w:r>
        <w:rPr>
          <w:rtl w:val="true"/>
        </w:rPr>
        <w:t xml:space="preserve">. </w:t>
        <w:tab/>
      </w:r>
      <w:r>
        <w:rPr>
          <w:rFonts w:ascii="FrankRuehl" w:hAnsi="FrankRuehl"/>
          <w:sz w:val="28"/>
          <w:sz w:val="28"/>
          <w:rtl w:val="true"/>
        </w:rPr>
        <w:t>עיינתי בערעור על נספחיו</w:t>
      </w:r>
      <w:r>
        <w:rPr>
          <w:rFonts w:ascii="FrankRuehl" w:hAnsi="FrankRuehl"/>
          <w:sz w:val="28"/>
          <w:sz w:val="28"/>
          <w:rtl w:val="true"/>
        </w:rPr>
        <w:t xml:space="preserve"> ובתשובת המשיבה</w:t>
      </w:r>
      <w:r>
        <w:rPr>
          <w:rFonts w:ascii="FrankRuehl" w:hAnsi="FrankRuehl"/>
          <w:sz w:val="28"/>
          <w:sz w:val="28"/>
          <w:rtl w:val="true"/>
        </w:rPr>
        <w:t xml:space="preserve"> ובאתי לידי מסקנה כי דינו לה</w:t>
      </w:r>
      <w:r>
        <w:rPr>
          <w:rFonts w:ascii="FrankRuehl" w:hAnsi="FrankRuehl"/>
          <w:sz w:val="28"/>
          <w:sz w:val="28"/>
          <w:rtl w:val="true"/>
        </w:rPr>
        <w:t>תקבל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העובדה שבית המשפט הכריע </w:t>
      </w:r>
      <w:r>
        <w:rPr>
          <w:rFonts w:ascii="FrankRuehl" w:hAnsi="FrankRuehl"/>
          <w:sz w:val="28"/>
          <w:sz w:val="28"/>
          <w:rtl w:val="true"/>
        </w:rPr>
        <w:t>בהחלטת ביניים אינן מקימ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 כשלעצמ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 חשש ממשי למשוא פנים</w:t>
      </w:r>
      <w:r>
        <w:rPr>
          <w:rFonts w:ascii="Century" w:hAnsi="Century" w:cs="Century"/>
          <w:rtl w:val="true"/>
        </w:rPr>
        <w:t xml:space="preserve"> שיש בו כדי למנוע מן המותב לדון בהליך העיקרי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7068/15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bookmarkStart w:id="16" w:name="Seif1"/>
      <w:r>
        <w:rPr>
          <w:rFonts w:ascii="Century" w:hAnsi="Century" w:cs="Century"/>
          <w:rtl w:val="true"/>
        </w:rPr>
        <w:t xml:space="preserve">פסקה </w:t>
      </w:r>
      <w:bookmarkEnd w:id="16"/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25.10.2015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עניין הקביעות שקבע המותב בהחלטתו בדחותו את הבקשה לעיכוב ביצוע צו ההריסה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גורפות ונחרצות וזאת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שבית המשפט התייחס בהחלטה לסיכויי הערעור או למאזן הנוחות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מעוררים קושי בייחוד משום שהריסת הבנייה יוצרת מצב בלתי הפיך ומייתרת למעשה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 אין כדי לומר כי בכל מקרה שבו מוגש ערעור על הריסת בניה יש להיעתר לבקשה לעיכוב ביצוע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בהחלט מן הראוי כי החלטה הדוחה בקשה לעיכוב בנסיבות אלה תהא מפורטת ותבהיר את הטעמים לכך על פי המבחנים הנוהגים עימנו בהקשר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בהינתן האמור לעיל אני סבורה כי מוטב שהדיון בערעור יישמע בפני מותב אחר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ויודגש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במסקנתי זו משום הבעת דעה כלשהי לגופו של הערעור או לגופן של הטענות המועלות בו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 מתקבל והדיון בערעור יועבר למותב אחר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Nitan"/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>, ‏</w:t>
      </w:r>
      <w:r>
        <w:rPr>
          <w:rFonts w:ascii="Arial TUR;Arial" w:hAnsi="Arial TUR;Arial" w:cs="Arial TUR;Arial"/>
          <w:rtl w:val="true"/>
        </w:rPr>
        <w:t>א</w:t>
      </w:r>
      <w:r>
        <w:rPr>
          <w:rFonts w:cs="Arial TUR;Arial" w:ascii="Arial TUR;Arial" w:hAnsi="Arial TUR;Arial"/>
          <w:rtl w:val="true"/>
        </w:rPr>
        <w:t xml:space="preserve">' </w:t>
      </w:r>
      <w:r>
        <w:rPr>
          <w:rFonts w:ascii="Arial TUR;Arial" w:hAnsi="Arial TUR;Arial" w:cs="Arial TUR;Arial"/>
          <w:rtl w:val="true"/>
        </w:rPr>
        <w:t>בתמוז התש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ף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23.6.2020</w:t>
      </w:r>
      <w:r>
        <w:rPr>
          <w:rFonts w:cs="Arial TUR;Arial" w:ascii="Arial TUR;Arial" w:hAnsi="Arial TUR;Arial"/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20029810</w:t>
      </w:r>
      <w:r>
        <w:rPr>
          <w:sz w:val="16"/>
          <w:rtl w:val="true"/>
        </w:rPr>
        <w:t>_</w:t>
      </w:r>
      <w:r>
        <w:rPr>
          <w:sz w:val="16"/>
        </w:rPr>
        <w:t>V03.docx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54678313-2981/20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2981/20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תל גנים יזמות לבניה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עיריית רמת גן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91073" TargetMode="External"/><Relationship Id="rId5" Type="http://schemas.openxmlformats.org/officeDocument/2006/relationships/hyperlink" Target="http://www.nevo.co.il/case/26404572" TargetMode="External"/><Relationship Id="rId6" Type="http://schemas.openxmlformats.org/officeDocument/2006/relationships/hyperlink" Target="http://www.nevo.co.il/case/26404572" TargetMode="External"/><Relationship Id="rId7" Type="http://schemas.openxmlformats.org/officeDocument/2006/relationships/hyperlink" Target="http://www.nevo.co.il/case/26404572" TargetMode="External"/><Relationship Id="rId8" Type="http://schemas.openxmlformats.org/officeDocument/2006/relationships/hyperlink" Target="http://www.nevo.co.il/case/20649719" TargetMode="External"/><Relationship Id="rId9" Type="http://schemas.openxmlformats.org/officeDocument/2006/relationships/hyperlink" Target="http://supreme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2020-06-25T11:26:00Z</dcterms:created>
  <dc:creator>h4</dc:creator>
  <dc:description/>
  <cp:keywords/>
  <dc:language>en-IL</dc:language>
  <cp:lastModifiedBy>orly</cp:lastModifiedBy>
  <cp:lastPrinted>2020-06-23T17:36:00Z</cp:lastPrinted>
  <dcterms:modified xsi:type="dcterms:W3CDTF">2020-06-25T11:26:00Z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תל גנים יזמות לבניה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עיריית רמת גן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26404572:3;20649719</vt:lpwstr>
  </property>
  <property fmtid="{D5CDD505-2E9C-101B-9397-08002B2CF9AE}" pid="9" name="CITY">
    <vt:lpwstr/>
  </property>
  <property fmtid="{D5CDD505-2E9C-101B-9397-08002B2CF9AE}" pid="10" name="DATE">
    <vt:lpwstr>20200623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91073</vt:lpwstr>
  </property>
  <property fmtid="{D5CDD505-2E9C-101B-9397-08002B2CF9AE}" pid="15" name="LAWYER">
    <vt:lpwstr>רוני זלושינסקי;ליאור רוב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תכנון ובנייה</vt:lpwstr>
  </property>
  <property fmtid="{D5CDD505-2E9C-101B-9397-08002B2CF9AE}" pid="29" name="NOSE13">
    <vt:lpwstr>תכנון ובנייה</vt:lpwstr>
  </property>
  <property fmtid="{D5CDD505-2E9C-101B-9397-08002B2CF9AE}" pid="30" name="NOSE14">
    <vt:lpwstr>תכנון ובנייה</vt:lpwstr>
  </property>
  <property fmtid="{D5CDD505-2E9C-101B-9397-08002B2CF9AE}" pid="31" name="NOSE15">
    <vt:lpwstr>בתי-משפט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14;103;103;103;14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צו הריסה מינהלי</vt:lpwstr>
  </property>
  <property fmtid="{D5CDD505-2E9C-101B-9397-08002B2CF9AE}" pid="40" name="NOSE23">
    <vt:lpwstr>צו הריסה</vt:lpwstr>
  </property>
  <property fmtid="{D5CDD505-2E9C-101B-9397-08002B2CF9AE}" pid="41" name="NOSE24">
    <vt:lpwstr>הריסה</vt:lpwstr>
  </property>
  <property fmtid="{D5CDD505-2E9C-101B-9397-08002B2CF9AE}" pid="42" name="NOSE25">
    <vt:lpwstr>פסלות שופט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341;17421;15120;1811;336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עיכוב ביצוע</vt:lpwstr>
  </property>
  <property fmtid="{D5CDD505-2E9C-101B-9397-08002B2CF9AE}" pid="51" name="NOSE33">
    <vt:lpwstr>ערעור</vt:lpwstr>
  </property>
  <property fmtid="{D5CDD505-2E9C-101B-9397-08002B2CF9AE}" pid="52" name="NOSE34">
    <vt:lpwstr>ביצועה</vt:lpwstr>
  </property>
  <property fmtid="{D5CDD505-2E9C-101B-9397-08002B2CF9AE}" pid="53" name="NOSE35">
    <vt:lpwstr>טעמי הפסלות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2803;17711;17878;11115;2758</vt:lpwstr>
  </property>
  <property fmtid="{D5CDD505-2E9C-101B-9397-08002B2CF9AE}" pid="59" name="PADIDATE">
    <vt:lpwstr>20200625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2981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410120200623</vt:lpwstr>
  </property>
  <property fmtid="{D5CDD505-2E9C-101B-9397-08002B2CF9AE}" pid="69" name="TYPE_N_DATE">
    <vt:lpwstr>41020200623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