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2983/19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2" w:name="FirstAppellant"/>
            <w:bookmarkEnd w:id="2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סאלח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פחמאוי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באומגרט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עפ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37721-03-19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2.4.2019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  <w:t>תאריך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בסיון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(</w:t>
      </w:r>
      <w:r>
        <w:rPr/>
        <w:t>17.6.2019</w:t>
      </w:r>
      <w:r>
        <w:rPr>
          <w:rtl w:val="true"/>
        </w:rPr>
        <w:t>)</w:t>
      </w:r>
    </w:p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אסדי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ראפת</w:t>
      </w:r>
    </w:p>
    <w:p>
      <w:pPr>
        <w:pStyle w:val="Ruller31"/>
        <w:ind w:end="0"/>
        <w:jc w:val="start"/>
        <w:rPr/>
      </w:pPr>
      <w:bookmarkStart w:id="3" w:name="FirstLawyer"/>
      <w:r>
        <w:rPr>
          <w:rtl w:val="true"/>
        </w:rPr>
        <w:t>בשם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המשיב</w:t>
      </w:r>
      <w:bookmarkEnd w:id="3"/>
      <w:r>
        <w:rPr>
          <w:rtl w:val="true"/>
        </w:rPr>
        <w:t>ה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נגה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סידי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4" w:name="LawTable"/>
      <w:bookmarkStart w:id="5" w:name="LawTable"/>
      <w:bookmarkEnd w:id="5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1961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54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4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1982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201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6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תקנות סדר הדין הפלילי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44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;Times New Roman" w:hAnsi="Times New Roman;Times New Roman" w:cs="Times New Roman;Times New Roman"/>
          <w:spacing w:val="0"/>
          <w:szCs w:val="26"/>
        </w:rPr>
      </w:pPr>
      <w:bookmarkStart w:id="8" w:name="ABSTRACT_START"/>
      <w:bookmarkEnd w:id="8"/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/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נדחה ערעור על החלטה שדחתה את בקשת המערער להארכת מועד להגשת ערעור על החלטת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השלום לתעבורה שלא לבטל את פסק דינו בו הורשע המערער בעבירת תעבורה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נפסק כי בקשה להארכת מועד תיבחן תוך שקלול הסיבות לאיחור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משך תקופת הארכה המבוקשת והאם עלול להיגרם עיוות דין אם הבקשה תידחה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וכי במקרה זה לא מתקיים אף אחד מהשיקולים העשויים להצדיק אישור הארכת מועד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דיון פלילי – הארכת מועד – להגשת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ערעור על החלטת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בה נדחתה בקשת המערער להארכת מועד להגשת ערעור על החלטת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השלום לתעבורה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שלא לבטל את פסק דינו במסגרתו הורשע המערער בעבירה של נהיגה במהירות העולה על המהירות המותרת בחוק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וגזר עליו קנס בסך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1,000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₪.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השופט 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מזוז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201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לחסד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פ מסמיך את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לבקשת 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להרשות הגשת ערעור או בקשה לרשות ערעור לאחר שעברו התקופות הקבועות בחוק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הסעיף אינו מפרט מהם השיקולים שעל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לשקול בבואו להחליט אם להאריך את המועד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בפסיקה נקבע כי בשונה מההליך האזרחי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בהליך פלילי אין דרישה 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טעמים מיוחדים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לשם הארכת מועד להגשת ערעור או בקשת רשות לערער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אך אין משמעות הדבר כי בקשות להארכת מועד יינתנו כדבר בשגרה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ונקבע כי הארכת מועד תינתן רק אם המבקש יצביע על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טעם ממשי המניח את הדעת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לאיחור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כן נקבע כי ככל שמשך האיחור ארוך יותר כן יגבר משקלם של הנימוקים הנוטים לדחיית הבקשה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ככלל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ניתן לומר כי בקשה להארכת מועד תיבחן בשקלול שבין שלושה פרמטרים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הסיבות בעטיין איחר המבקש להגיש את הערעור או את בקשת הרשות לערער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משך תקופת הארכה המבוקשת והאם עלול להיגרם עיוות דין אם הבקשה תידחה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הנסיבות בענייננו הן כאלה שלא מתקיים אף אחד מהשיקולים העשויים להצדיק אישור הארכת מועד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44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 לתקנות סדר הדין הפלילי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קיימת בעבירות תעבורה חזקת מסירה אותה המערער לא הפריך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 לא הצביע על כל נימוק של ממש לישיבתו בחיבוק ידיים משך כשלוש שנים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ואף אם לגרסתו נודע לו על פסק הדין רק כעבור כשנה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בכך הסבר לשיהוי של שנתיים נוספות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מדובר גם בפסק דין בעבירת תעבורה בגינה נידון 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1,000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₪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קנס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כך שהחשש לעיוות דין אינו ממשי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נראה שהטעם 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התעוררות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 להגיש בקשה להארכת מועד הוא החלטת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השלום בעכו בע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נין בדראן שפסל דו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חות שצולמו במצלמות מהירות 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ומספר החלטות שניתנו לטענת המערער בעקבות כך בבקשות להארכת מועד להגשת ערעור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ואולם בתי המשפט המחוזיים כבר הבהירו במספר פסקי דין בהם דחו ערעורים על דחיית בקשות להארכת מועד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כי פסק הדין בענ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ין בדראן לא פסל את מצלמות 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ומכל מקום פסק דין זה אינו בגדר תקדים מחייב ואף לא הלכה מנחה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9" w:name="ABSTRACT_END"/>
      <w:bookmarkStart w:id="10" w:name="ABSTRACT_END"/>
      <w:bookmarkEnd w:id="10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Writer_Name"/>
      <w:bookmarkStart w:id="15" w:name="Writer_Name"/>
      <w:bookmarkEnd w:id="15"/>
    </w:p>
    <w:p>
      <w:pPr>
        <w:pStyle w:val="Ruller42"/>
        <w:numPr>
          <w:ilvl w:val="0"/>
          <w:numId w:val="1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bookmarkStart w:id="16" w:name="Start_Write"/>
      <w:bookmarkEnd w:id="16"/>
      <w:r>
        <w:rPr>
          <w:rtl w:val="true"/>
        </w:rPr>
        <w:t xml:space="preserve">ערעור על החלטת בית המשפט המחוזי בחיפה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באומגרט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2.4.2019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בתיק </w:t>
      </w:r>
      <w:r>
        <w:rPr>
          <w:rFonts w:ascii="Century" w:hAnsi="Century" w:cs="Century"/>
          <w:sz w:val="22"/>
          <w:sz w:val="22"/>
          <w:rtl w:val="true"/>
        </w:rPr>
        <w:t>עפ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37721-03-19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בה נדחתה בקשה של המערער להארכת מועד להגשת ערעור על החלטתו של בית משפט השלום לתעבורה בחיפה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לתעבורה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שלא לבטל את פסק דינו במסגרתו הורשע המערער בעבירה של נהיגה במהירות העולה על המהירות המותרת בחוק </w:t>
      </w:r>
      <w:r>
        <w:rPr>
          <w:rFonts w:cs="Century" w:ascii="Century" w:hAnsi="Century"/>
          <w:sz w:val="22"/>
          <w:rtl w:val="true"/>
        </w:rPr>
        <w:t>(</w:t>
      </w:r>
      <w:hyperlink r:id="rId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תת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6440-01-16</w:t>
        </w:r>
      </w:hyperlink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]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overflowPunct w:val="true"/>
        <w:autoSpaceDE w:val="true"/>
        <w:ind w:hanging="0" w:start="0" w:end="0"/>
        <w:jc w:val="both"/>
        <w:textAlignment w:val="auto"/>
        <w:rPr/>
      </w:pPr>
      <w:r>
        <w:rPr>
          <w:rtl w:val="true"/>
        </w:rPr>
        <w:t xml:space="preserve">ביום </w:t>
      </w:r>
      <w:r>
        <w:rPr/>
        <w:t>14.3.2016</w:t>
      </w:r>
      <w:r>
        <w:rPr>
          <w:rtl w:val="true"/>
        </w:rPr>
        <w:t xml:space="preserve"> </w:t>
      </w:r>
      <w:r>
        <w:rPr>
          <w:rtl w:val="true"/>
        </w:rPr>
        <w:t>הורשע המערער בבית משפט השלום לתעבורה</w:t>
      </w:r>
      <w:r>
        <w:rPr>
          <w:rtl w:val="true"/>
        </w:rPr>
        <w:t xml:space="preserve">, </w:t>
      </w:r>
      <w:r>
        <w:rPr>
          <w:rtl w:val="true"/>
        </w:rPr>
        <w:t>בהעדרו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נהיגה ברכב בדרך עירונית המסומנת בתמרור </w:t>
      </w:r>
      <w:r>
        <w:rPr/>
        <w:t>426</w:t>
      </w:r>
      <w:r>
        <w:rPr>
          <w:rtl w:val="true"/>
        </w:rPr>
        <w:t xml:space="preserve"> </w:t>
      </w:r>
      <w:r>
        <w:rPr>
          <w:rtl w:val="true"/>
        </w:rPr>
        <w:t>במהירות העולה על המהירות המותרת הקבועה בתמרור</w:t>
      </w:r>
      <w:r>
        <w:rPr>
          <w:rtl w:val="true"/>
        </w:rPr>
        <w:t xml:space="preserve">, </w:t>
      </w:r>
      <w:r>
        <w:rPr>
          <w:rtl w:val="true"/>
        </w:rPr>
        <w:t xml:space="preserve">בניגוד </w:t>
      </w:r>
      <w:hyperlink r:id="rId9">
        <w:r>
          <w:rPr>
            <w:rStyle w:val="Hyperlink"/>
            <w:color w:val="0000FF"/>
            <w:u w:val="single"/>
            <w:rtl w:val="true"/>
          </w:rPr>
          <w:t>לתקנה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, </w:t>
      </w:r>
      <w:r>
        <w:rPr>
          <w:rtl w:val="true"/>
        </w:rPr>
        <w:t xml:space="preserve">וגזר עליו קנס בסך </w:t>
      </w:r>
      <w:r>
        <w:rPr/>
        <w:t>1,000</w:t>
      </w:r>
      <w:r>
        <w:rPr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rtl w:val="true"/>
        </w:rPr>
        <w:t>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overflowPunct w:val="true"/>
        <w:autoSpaceDE w:val="true"/>
        <w:ind w:firstLine="720" w:start="0" w:end="0"/>
        <w:jc w:val="both"/>
        <w:textAlignment w:val="auto"/>
        <w:rPr/>
      </w:pPr>
      <w:r>
        <w:rPr>
          <w:rtl w:val="true"/>
        </w:rPr>
        <w:t xml:space="preserve">ביום </w:t>
      </w:r>
      <w:r>
        <w:rPr/>
        <w:t>5.3.2017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לאחר מתן פסק הדין</w:t>
      </w:r>
      <w:r>
        <w:rPr>
          <w:rtl w:val="true"/>
        </w:rPr>
        <w:t xml:space="preserve">, </w:t>
      </w:r>
      <w:r>
        <w:rPr>
          <w:rtl w:val="true"/>
        </w:rPr>
        <w:t>הגיש המערער לבית משפט השלום לתעבורה בקשה לביטול פסק דינו</w:t>
      </w:r>
      <w:r>
        <w:rPr>
          <w:rtl w:val="true"/>
        </w:rPr>
        <w:t xml:space="preserve">, </w:t>
      </w:r>
      <w:r>
        <w:rPr>
          <w:rtl w:val="true"/>
        </w:rPr>
        <w:t>בנימוק שלא קיבל לידיו את הזימון למשפט</w:t>
      </w:r>
      <w:r>
        <w:rPr>
          <w:rtl w:val="true"/>
        </w:rPr>
        <w:t xml:space="preserve">, </w:t>
      </w:r>
      <w:r>
        <w:rPr>
          <w:rtl w:val="true"/>
        </w:rPr>
        <w:t>ומשכך לא ניתנה לו ההזדמנות לטעון לחפותו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29.3.2017</w:t>
      </w:r>
      <w:r>
        <w:rPr>
          <w:rtl w:val="true"/>
        </w:rPr>
        <w:t xml:space="preserve"> </w:t>
      </w:r>
      <w:r>
        <w:rPr>
          <w:rtl w:val="true"/>
        </w:rPr>
        <w:t>דחה בית המשפט את הבקשה</w:t>
      </w:r>
      <w:r>
        <w:rPr>
          <w:rtl w:val="true"/>
        </w:rPr>
        <w:t xml:space="preserve">, </w:t>
      </w:r>
      <w:r>
        <w:rPr>
          <w:rtl w:val="true"/>
        </w:rPr>
        <w:t>בקבעו כי המערער לא הצליח לסתור את חזקת המסירה</w:t>
      </w:r>
      <w:r>
        <w:rPr>
          <w:rtl w:val="true"/>
        </w:rPr>
        <w:t xml:space="preserve">, </w:t>
      </w:r>
      <w:r>
        <w:rPr>
          <w:rtl w:val="true"/>
        </w:rPr>
        <w:t xml:space="preserve">שכן אישור המסירה לדיון בעניינו חזר בציון </w:t>
      </w:r>
      <w:r>
        <w:rPr>
          <w:rtl w:val="true"/>
        </w:rPr>
        <w:t>"</w:t>
      </w:r>
      <w:r>
        <w:rPr>
          <w:rtl w:val="true"/>
        </w:rPr>
        <w:t>לא נדרש</w:t>
      </w:r>
      <w:r>
        <w:rPr>
          <w:rtl w:val="true"/>
        </w:rPr>
        <w:t xml:space="preserve">", </w:t>
      </w:r>
      <w:r>
        <w:rPr>
          <w:rtl w:val="true"/>
        </w:rPr>
        <w:t>והמערער גם לא טרח לפרט בבקשתו כיצד בסופו של יום נודע לו אודות פסק הדין</w:t>
      </w:r>
      <w:r>
        <w:rPr>
          <w:rtl w:val="true"/>
        </w:rPr>
        <w:t xml:space="preserve">, </w:t>
      </w:r>
      <w:r>
        <w:rPr>
          <w:rtl w:val="true"/>
        </w:rPr>
        <w:t>ולא הוכח גם כי ייגרם לו עיוות דין כתוצאה מהותרת פסק הדין על כנו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overflowPunct w:val="true"/>
        <w:autoSpaceDE w:val="true"/>
        <w:ind w:firstLine="720" w:start="0" w:end="0"/>
        <w:jc w:val="both"/>
        <w:textAlignment w:val="auto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overflowPunct w:val="true"/>
        <w:autoSpaceDE w:val="true"/>
        <w:ind w:firstLine="720" w:start="0" w:end="0"/>
        <w:jc w:val="both"/>
        <w:textAlignment w:val="auto"/>
        <w:rPr/>
      </w:pPr>
      <w:r>
        <w:rPr>
          <w:rtl w:val="true"/>
        </w:rPr>
        <w:t xml:space="preserve">ביום </w:t>
      </w:r>
      <w:r>
        <w:rPr/>
        <w:t>28.2.2019</w:t>
      </w:r>
      <w:r>
        <w:rPr>
          <w:rtl w:val="true"/>
        </w:rPr>
        <w:t xml:space="preserve">, </w:t>
      </w:r>
      <w:r>
        <w:rPr>
          <w:rtl w:val="true"/>
        </w:rPr>
        <w:t xml:space="preserve">בחלוף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כשנתיים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הגיש המערער לבית משפט בקשה נוספת לביטול פסק הדין</w:t>
      </w:r>
      <w:r>
        <w:rPr>
          <w:rtl w:val="true"/>
        </w:rPr>
        <w:t xml:space="preserve">, </w:t>
      </w:r>
      <w:r>
        <w:rPr>
          <w:rtl w:val="true"/>
        </w:rPr>
        <w:t xml:space="preserve">אשר נדחתה בהחלטה מיום </w:t>
      </w:r>
      <w:r>
        <w:rPr/>
        <w:t>3.3.2019</w:t>
      </w:r>
      <w:r>
        <w:rPr>
          <w:rtl w:val="true"/>
        </w:rPr>
        <w:t xml:space="preserve">, </w:t>
      </w:r>
      <w:r>
        <w:rPr>
          <w:rtl w:val="true"/>
        </w:rPr>
        <w:t xml:space="preserve">במסגרתה הפנה בית המשפט להחלטתו המנומקת מיום </w:t>
      </w:r>
      <w:r>
        <w:rPr/>
        <w:t>29.3.2017</w:t>
      </w:r>
      <w:r>
        <w:rPr>
          <w:rtl w:val="true"/>
        </w:rPr>
        <w:t xml:space="preserve"> </w:t>
      </w:r>
      <w:r>
        <w:rPr>
          <w:rtl w:val="true"/>
        </w:rPr>
        <w:t>וציין כי משכך סיים מלאכתו בתיק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overflowPunct w:val="true"/>
        <w:autoSpaceDE w:val="true"/>
        <w:ind w:hanging="0" w:start="0" w:end="0"/>
        <w:jc w:val="both"/>
        <w:textAlignment w:val="auto"/>
        <w:rPr/>
      </w:pPr>
      <w:r>
        <w:rPr>
          <w:rtl w:val="true"/>
        </w:rPr>
        <w:t xml:space="preserve">ביום </w:t>
      </w:r>
      <w:r>
        <w:rPr/>
        <w:t>18.3.2019</w:t>
      </w:r>
      <w:r>
        <w:rPr>
          <w:rtl w:val="true"/>
        </w:rPr>
        <w:t xml:space="preserve"> </w:t>
      </w:r>
      <w:r>
        <w:rPr>
          <w:rtl w:val="true"/>
        </w:rPr>
        <w:t xml:space="preserve">הגיש המערער ערעור לבית המשפט המחוזי </w:t>
      </w:r>
      <w:r>
        <w:rPr>
          <w:rtl w:val="true"/>
        </w:rPr>
        <w:t>(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 </w:t>
      </w:r>
      <w:r>
        <w:rPr/>
        <w:t>37721-03-19</w:t>
      </w:r>
      <w:r>
        <w:rPr>
          <w:rtl w:val="true"/>
        </w:rPr>
        <w:t xml:space="preserve">), </w:t>
      </w:r>
      <w:r>
        <w:rPr>
          <w:rtl w:val="true"/>
        </w:rPr>
        <w:t>בו טען כי בית משפט השלום לתעבורה התעלם מטענותיו בעניין אישור המסירה ועיוות הדין שייגרם לו</w:t>
      </w:r>
      <w:r>
        <w:rPr>
          <w:rtl w:val="true"/>
        </w:rPr>
        <w:t xml:space="preserve">. </w:t>
      </w:r>
      <w:r>
        <w:rPr>
          <w:rtl w:val="true"/>
        </w:rPr>
        <w:t>כן הפנה המערער להחלטה של מותב אחר אשר קיבל בקשה דומה שלו לביטול פסק דין אחר בעניינו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2.4.2019</w:t>
      </w:r>
      <w:r>
        <w:rPr>
          <w:rtl w:val="true"/>
        </w:rPr>
        <w:t xml:space="preserve"> </w:t>
      </w:r>
      <w:r>
        <w:rPr>
          <w:rtl w:val="true"/>
        </w:rPr>
        <w:t>דחה בית המשפט המחוזי את הבקשה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 xml:space="preserve">כי בהתאם להלכה הפסוקה נדרש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טעם ממשי המניח את הדעת</w:t>
      </w:r>
      <w:r>
        <w:rPr>
          <w:rFonts w:cs="Century" w:ascii="Century" w:hAnsi="Century"/>
          <w:sz w:val="22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לשם מתן ארכה להגשת ערעור בהליך פלילי</w:t>
      </w:r>
      <w:r>
        <w:rPr>
          <w:rtl w:val="true"/>
        </w:rPr>
        <w:t xml:space="preserve">, </w:t>
      </w:r>
      <w:r>
        <w:rPr>
          <w:rtl w:val="true"/>
        </w:rPr>
        <w:t>וכי במקרה דנן אין בידי המערער כל טעם ממשי המצדיק את הארכת המועד לתקופה כה ממושכת</w:t>
      </w:r>
      <w:r>
        <w:rPr>
          <w:rtl w:val="true"/>
        </w:rPr>
        <w:t xml:space="preserve">. </w:t>
      </w:r>
      <w:r>
        <w:rPr>
          <w:rtl w:val="true"/>
        </w:rPr>
        <w:t>בית המשפט ציין כי דומה שהסיבה העיקרית ש</w:t>
      </w:r>
      <w:r>
        <w:rPr>
          <w:rtl w:val="true"/>
        </w:rPr>
        <w:t>"</w:t>
      </w:r>
      <w:r>
        <w:rPr>
          <w:rtl w:val="true"/>
        </w:rPr>
        <w:t>העירה</w:t>
      </w:r>
      <w:r>
        <w:rPr>
          <w:rtl w:val="true"/>
        </w:rPr>
        <w:t xml:space="preserve">" </w:t>
      </w:r>
      <w:r>
        <w:rPr>
          <w:rtl w:val="true"/>
        </w:rPr>
        <w:t>את המערער הן ההחלטות שניתנו בנוגע לדו</w:t>
      </w:r>
      <w:r>
        <w:rPr>
          <w:rtl w:val="true"/>
        </w:rPr>
        <w:t>"</w:t>
      </w:r>
      <w:r>
        <w:rPr>
          <w:rtl w:val="true"/>
        </w:rPr>
        <w:t>חות מהירות המוגשים על יסוד המצלמה בה צולם</w:t>
      </w:r>
      <w:r>
        <w:rPr>
          <w:rtl w:val="true"/>
        </w:rPr>
        <w:t xml:space="preserve">. </w:t>
      </w:r>
      <w:r>
        <w:rPr>
          <w:rtl w:val="true"/>
        </w:rPr>
        <w:t>נקבע כי המערער קפא על שמריו תקופה ארוכה</w:t>
      </w:r>
      <w:r>
        <w:rPr>
          <w:rtl w:val="true"/>
        </w:rPr>
        <w:t xml:space="preserve">, </w:t>
      </w:r>
      <w:r>
        <w:rPr>
          <w:rtl w:val="true"/>
        </w:rPr>
        <w:t>כי הוא פונה לבתי משפט בבקשות שונות כאשר חפץ ליבו</w:t>
      </w:r>
      <w:r>
        <w:rPr>
          <w:rtl w:val="true"/>
        </w:rPr>
        <w:t xml:space="preserve">, </w:t>
      </w:r>
      <w:r>
        <w:rPr>
          <w:rtl w:val="true"/>
        </w:rPr>
        <w:t>וכי הפרוצדורה אכן אינה מיטת סדום</w:t>
      </w:r>
      <w:r>
        <w:rPr>
          <w:rtl w:val="true"/>
        </w:rPr>
        <w:t xml:space="preserve">, </w:t>
      </w:r>
      <w:r>
        <w:rPr>
          <w:rtl w:val="true"/>
        </w:rPr>
        <w:t>כטענתו</w:t>
      </w:r>
      <w:r>
        <w:rPr>
          <w:rtl w:val="true"/>
        </w:rPr>
        <w:t xml:space="preserve">, </w:t>
      </w:r>
      <w:r>
        <w:rPr>
          <w:rtl w:val="true"/>
        </w:rPr>
        <w:t xml:space="preserve">אולם </w:t>
      </w:r>
      <w:r>
        <w:rPr>
          <w:rtl w:val="true"/>
        </w:rPr>
        <w:t>"</w:t>
      </w:r>
      <w:r>
        <w:rPr>
          <w:rtl w:val="true"/>
        </w:rPr>
        <w:t>נקבע גם לא אחת</w:t>
      </w:r>
      <w:r>
        <w:rPr>
          <w:rtl w:val="true"/>
        </w:rPr>
        <w:t xml:space="preserve">, </w:t>
      </w:r>
      <w:r>
        <w:rPr>
          <w:rtl w:val="true"/>
        </w:rPr>
        <w:t xml:space="preserve">כי אינה </w:t>
      </w:r>
      <w:r>
        <w:rPr>
          <w:rtl w:val="true"/>
        </w:rPr>
        <w:t>'</w:t>
      </w:r>
      <w:r>
        <w:rPr>
          <w:rtl w:val="true"/>
        </w:rPr>
        <w:t>מזרן</w:t>
      </w:r>
      <w:r>
        <w:rPr>
          <w:rtl w:val="true"/>
        </w:rPr>
        <w:t xml:space="preserve">' </w:t>
      </w:r>
      <w:r>
        <w:rPr>
          <w:rtl w:val="true"/>
        </w:rPr>
        <w:t>סתם שאדם מקפלו וזורקו ממקום למקום</w:t>
      </w:r>
      <w:r>
        <w:rPr>
          <w:rtl w:val="true"/>
        </w:rPr>
        <w:t xml:space="preserve">".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משלא הוכיח המערער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טעם ממשי המניח את הדעת</w:t>
      </w:r>
      <w:r>
        <w:rPr>
          <w:rFonts w:cs="Century" w:ascii="Century" w:hAnsi="Century"/>
          <w:sz w:val="22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לאיחור המשמעותי בהגשת הבקשה להארכת מועד להגשת ערעור</w:t>
      </w:r>
      <w:r>
        <w:rPr>
          <w:rtl w:val="true"/>
        </w:rPr>
        <w:t xml:space="preserve">, </w:t>
      </w:r>
      <w:r>
        <w:rPr>
          <w:rtl w:val="true"/>
        </w:rPr>
        <w:t>דין הערעור להידחות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/>
      </w:pPr>
      <w:r>
        <w:rPr>
          <w:rtl w:val="true"/>
        </w:rPr>
        <w:t>החלטה זו היא מושא הערעור שלפני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overflowPunct w:val="true"/>
        <w:autoSpaceDE w:val="true"/>
        <w:ind w:hanging="0" w:start="0" w:end="0"/>
        <w:jc w:val="both"/>
        <w:textAlignment w:val="auto"/>
        <w:rPr/>
      </w:pPr>
      <w:r>
        <w:rPr>
          <w:rtl w:val="true"/>
        </w:rPr>
        <w:t>בכתב הערעור חזר המערער על הטענות שהעלה כאמור בערכאות קמא</w:t>
      </w:r>
      <w:r>
        <w:rPr>
          <w:rtl w:val="true"/>
        </w:rPr>
        <w:t xml:space="preserve">. </w:t>
      </w:r>
      <w:r>
        <w:rPr>
          <w:rtl w:val="true"/>
        </w:rPr>
        <w:t>נטען כי אישור המסירה שהוגש לבית המשפט היה פגום ולקוני ביותר</w:t>
      </w:r>
      <w:r>
        <w:rPr>
          <w:rtl w:val="true"/>
        </w:rPr>
        <w:t xml:space="preserve">, </w:t>
      </w:r>
      <w:r>
        <w:rPr>
          <w:rtl w:val="true"/>
        </w:rPr>
        <w:t xml:space="preserve">כי לא סומן ברובריקה שלא היה איש בביתו של המערער עת </w:t>
      </w:r>
      <w:r>
        <w:rPr>
          <w:rtl w:val="true"/>
        </w:rPr>
        <w:t>"</w:t>
      </w:r>
      <w:r>
        <w:rPr>
          <w:rtl w:val="true"/>
        </w:rPr>
        <w:t>ביקר</w:t>
      </w:r>
      <w:r>
        <w:rPr>
          <w:rtl w:val="true"/>
        </w:rPr>
        <w:t xml:space="preserve">" </w:t>
      </w:r>
      <w:r>
        <w:rPr>
          <w:rtl w:val="true"/>
        </w:rPr>
        <w:t>הדוור בכתובתו וכי לא ברור באיזה תאריך ובאיזו שעה נערך ביקורו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סבור המערער כי ראוי היה לבטל את פסק הדין בשל חוסר הבהירות השוררת בעניין מצלמות המהירות</w:t>
      </w:r>
      <w:r>
        <w:rPr>
          <w:rtl w:val="true"/>
        </w:rPr>
        <w:t xml:space="preserve">, </w:t>
      </w:r>
      <w:r>
        <w:rPr>
          <w:rtl w:val="true"/>
        </w:rPr>
        <w:t>כאשר לטענתו בתי המשפט אימצו מדיניות חדשה בנוגע לתיקי המצלמה א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בה צולם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נטען כי  בעקבות </w:t>
      </w:r>
      <w:r>
        <w:rPr>
          <w:rtl w:val="true"/>
        </w:rPr>
        <w:t>"</w:t>
      </w:r>
      <w:r>
        <w:rPr>
          <w:rtl w:val="true"/>
        </w:rPr>
        <w:t>פסק הדין העקרוני אשר קבע כי המצלמות אינן אמינות</w:t>
      </w:r>
      <w:r>
        <w:rPr>
          <w:rtl w:val="true"/>
        </w:rPr>
        <w:t xml:space="preserve">" </w:t>
      </w:r>
      <w:r>
        <w:rPr>
          <w:rtl w:val="true"/>
        </w:rPr>
        <w:t>ניתנו החלטות שעניינן בהארכות מועד בגין דוחות שניתנו על יסוד המצלמה האמורה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בדיון לפני מיקד בא כוח המערער את טיעונו בפגמים שנפלו לדבריו באישור המסירה אשר בעטיים פסק הדין בענייננו ניתן בחוסר סמכות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 xml:space="preserve">העובדה שהמערער </w:t>
      </w:r>
      <w:r>
        <w:rPr>
          <w:rtl w:val="true"/>
        </w:rPr>
        <w:t>"</w:t>
      </w:r>
      <w:r>
        <w:rPr>
          <w:rtl w:val="true"/>
        </w:rPr>
        <w:t>ישן על זכויותיו</w:t>
      </w:r>
      <w:r>
        <w:rPr>
          <w:rtl w:val="true"/>
        </w:rPr>
        <w:t xml:space="preserve">" </w:t>
      </w:r>
      <w:r>
        <w:rPr>
          <w:rtl w:val="true"/>
        </w:rPr>
        <w:t>אין בה כדי לרפא את הפגמים באישור המסירה</w:t>
      </w:r>
      <w:r>
        <w:rPr>
          <w:rtl w:val="true"/>
        </w:rPr>
        <w:t xml:space="preserve">. </w:t>
      </w:r>
      <w:r>
        <w:rPr>
          <w:rtl w:val="true"/>
        </w:rPr>
        <w:t>לצד זאת הבהיר כי אינו עומד עוד על טענתו לעיוות 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tl w:val="true"/>
        </w:rPr>
        <w:t xml:space="preserve">", </w:t>
      </w:r>
      <w:r>
        <w:rPr>
          <w:rtl w:val="true"/>
        </w:rPr>
        <w:t>וקיימת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מסירה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4745-08-13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בדראן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6.9.2018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ענין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בדראן</w:t>
      </w:r>
      <w:r>
        <w:rPr>
          <w:rFonts w:cs="Century" w:ascii="Century" w:hAnsi="Century"/>
          <w:rtl w:val="true"/>
        </w:rPr>
        <w:t>)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שניתן </w:t>
      </w:r>
      <w:r>
        <w:rPr>
          <w:rFonts w:ascii="Century" w:hAnsi="Century" w:cs="Century"/>
          <w:rtl w:val="true"/>
        </w:rPr>
        <w:t>על ידי</w:t>
      </w:r>
      <w:r>
        <w:rPr>
          <w:rFonts w:ascii="Century" w:hAnsi="Century" w:cs="Century"/>
          <w:rtl w:val="true"/>
        </w:rPr>
        <w:t xml:space="preserve"> בית משפט השלום לתעבורה בעכו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פסל 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חות שצולמו במצלמות א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מחוזיים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שהבהירו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בדראן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שניתן </w:t>
      </w:r>
      <w:r>
        <w:rPr>
          <w:rFonts w:ascii="Century" w:hAnsi="Century" w:cs="Century"/>
          <w:rtl w:val="true"/>
        </w:rPr>
        <w:t>על ידי</w:t>
      </w:r>
      <w:r>
        <w:rPr>
          <w:rFonts w:ascii="Century" w:hAnsi="Century" w:cs="Century"/>
          <w:rtl w:val="true"/>
        </w:rPr>
        <w:t xml:space="preserve"> בית משפט שלום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מנחה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בערעור זה אין כל ממש ודינו 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hyperlink r:id="rId1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201</w:t>
        </w:r>
      </w:hyperlink>
      <w:r>
        <w:rPr>
          <w:rStyle w:val="default"/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1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הפלילי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נוסח משולב</w:t>
      </w:r>
      <w:r>
        <w:rPr>
          <w:rFonts w:cs="Century" w:ascii="Century" w:hAnsi="Century"/>
          <w:sz w:val="22"/>
          <w:rtl w:val="true"/>
        </w:rPr>
        <w:t xml:space="preserve">], </w:t>
      </w:r>
      <w:r>
        <w:rPr>
          <w:rFonts w:ascii="Century" w:hAnsi="Century" w:cs="Century"/>
          <w:sz w:val="22"/>
          <w:sz w:val="22"/>
          <w:rtl w:val="true"/>
        </w:rPr>
        <w:t>התשמ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1982</w:t>
      </w:r>
      <w:r>
        <w:rPr>
          <w:rStyle w:val="default"/>
          <w:rFonts w:cs="Century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מסמיך את בית המשפט</w:t>
      </w:r>
      <w:r>
        <w:rPr>
          <w:rStyle w:val="default"/>
          <w:rFonts w:cs="Century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לבקשת מערער</w:t>
      </w:r>
      <w:r>
        <w:rPr>
          <w:rStyle w:val="default"/>
          <w:rFonts w:cs="Century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להרשות הגשת ערעור או בקשה לרשות ערעור לאחר שעברו התקופות הקבועות בחוק</w:t>
      </w:r>
      <w:r>
        <w:rPr>
          <w:rStyle w:val="default"/>
          <w:rFonts w:cs="Century" w:ascii="Century" w:hAnsi="Century"/>
          <w:sz w:val="22"/>
          <w:rtl w:val="true"/>
        </w:rPr>
        <w:t xml:space="preserve">. </w:t>
      </w:r>
      <w:r>
        <w:rPr>
          <w:sz w:val="28"/>
          <w:sz w:val="28"/>
          <w:rtl w:val="true"/>
        </w:rPr>
        <w:t>הסעיף אינו מפרט מהם השיקולים שעל בית המשפט לשקול בבואו להחליט אם להאריך את המועד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 xml:space="preserve">בפסיקתו של בית משפט זה נקבע כי </w:t>
      </w:r>
      <w:r>
        <w:rPr>
          <w:rtl w:val="true"/>
        </w:rPr>
        <w:t>אמנם</w:t>
      </w:r>
      <w:r>
        <w:rPr>
          <w:sz w:val="28"/>
          <w:sz w:val="28"/>
          <w:rtl w:val="true"/>
        </w:rPr>
        <w:t xml:space="preserve"> בשונה מההליך האזרחי</w:t>
      </w:r>
      <w:r>
        <w:rPr>
          <w:sz w:val="28"/>
          <w:rtl w:val="true"/>
        </w:rPr>
        <w:t xml:space="preserve">, </w:t>
      </w:r>
      <w:r>
        <w:rPr>
          <w:rtl w:val="true"/>
        </w:rPr>
        <w:t xml:space="preserve">בהליך פלילי </w:t>
      </w:r>
      <w:r>
        <w:rPr>
          <w:sz w:val="28"/>
          <w:sz w:val="28"/>
          <w:rtl w:val="true"/>
        </w:rPr>
        <w:t>אין דרישה 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טעמים מיוחדים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 xml:space="preserve">לשם הארכת מועד </w:t>
      </w:r>
      <w:r>
        <w:rPr>
          <w:rtl w:val="true"/>
        </w:rPr>
        <w:t>להגשת ערעור או בקשת רשות לערער</w:t>
      </w:r>
      <w:r>
        <w:rPr>
          <w:rtl w:val="true"/>
        </w:rPr>
        <w:t xml:space="preserve">, </w:t>
      </w:r>
      <w:r>
        <w:rPr>
          <w:rtl w:val="true"/>
        </w:rPr>
        <w:t>אך אין משמעות הדבר כי בקשות להארכת מועד יינתנו כדבר בשגרה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 עיקרון סופיות ההליכים</w:t>
      </w:r>
      <w:r>
        <w:rPr>
          <w:rtl w:val="true"/>
        </w:rPr>
        <w:t xml:space="preserve">, </w:t>
      </w:r>
      <w:r>
        <w:rPr>
          <w:rtl w:val="true"/>
        </w:rPr>
        <w:t xml:space="preserve">האינטרס הציבורי ביציבות ובוודאות משפטית ולאור </w:t>
      </w:r>
      <w:r>
        <w:rPr>
          <w:sz w:val="28"/>
          <w:sz w:val="28"/>
          <w:rtl w:val="true"/>
        </w:rPr>
        <w:t>הקשיים הכרוכים בניהול דיון בערעור שהוגש באיחור</w:t>
      </w:r>
      <w:r>
        <w:rPr>
          <w:rtl w:val="true"/>
        </w:rPr>
        <w:t xml:space="preserve">. </w:t>
      </w:r>
      <w:r>
        <w:rPr>
          <w:rtl w:val="true"/>
        </w:rPr>
        <w:t xml:space="preserve">על כן נקבע כי הארכת מועד תינתן רק אם המבקש יצביע על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הדעת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 xml:space="preserve">לאיחור </w:t>
      </w:r>
      <w:r>
        <w:rPr>
          <w:rFonts w:cs="Century" w:ascii="Century" w:hAnsi="Century"/>
          <w:sz w:val="22"/>
          <w:rtl w:val="true"/>
        </w:rPr>
        <w:t>(</w:t>
      </w:r>
      <w:hyperlink r:id="rId1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5988/06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25.07.2006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נגר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 xml:space="preserve">כן נקבע לענין זה כי </w:t>
      </w:r>
      <w:r>
        <w:rPr>
          <w:sz w:val="28"/>
          <w:sz w:val="28"/>
          <w:rtl w:val="true"/>
        </w:rPr>
        <w:t xml:space="preserve">ככל שמשך האיחור ארוך יותר כן יגבר משקלם של הנימוקים הנוטים לדחיית הבקשה </w:t>
      </w:r>
      <w:r>
        <w:rPr>
          <w:rFonts w:cs="Century" w:ascii="Century" w:hAnsi="Century"/>
          <w:sz w:val="22"/>
          <w:rtl w:val="true"/>
        </w:rPr>
        <w:t>(</w:t>
      </w:r>
      <w:hyperlink r:id="rId1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ש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230/86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, 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947/85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עצמון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353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1986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7754/06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15.10.2006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 xml:space="preserve">ענין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נגר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בהכללה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בשקלול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פרמטרים</w:t>
      </w:r>
      <w:r>
        <w:rPr>
          <w:rtl w:val="true"/>
        </w:rPr>
        <w:t xml:space="preserve">: </w:t>
      </w:r>
      <w:r>
        <w:rPr>
          <w:rtl w:val="true"/>
        </w:rPr>
        <w:t>הסיבות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לערער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תידחה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הנסיבות בענייננו הן כאלה שלא מתקיים אף אחד מהשיקולים העשויים להצדיק אישור הארכת מועד</w:t>
      </w:r>
      <w:r>
        <w:rPr>
          <w:rtl w:val="true"/>
        </w:rPr>
        <w:t xml:space="preserve">. </w:t>
      </w:r>
      <w:r>
        <w:rPr>
          <w:rtl w:val="true"/>
        </w:rPr>
        <w:t xml:space="preserve">בהתאם </w:t>
      </w:r>
      <w:hyperlink r:id="rId17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</w:t>
      </w:r>
      <w:hyperlink r:id="rId18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1974</w:t>
      </w:r>
      <w:r>
        <w:rPr>
          <w:rtl w:val="true"/>
        </w:rPr>
        <w:t xml:space="preserve"> </w:t>
      </w:r>
      <w:r>
        <w:rPr>
          <w:rtl w:val="true"/>
        </w:rPr>
        <w:t xml:space="preserve">קיימת </w:t>
      </w:r>
      <w:r>
        <w:rPr>
          <w:rStyle w:val="default"/>
          <w:rtl w:val="true"/>
        </w:rPr>
        <w:t>בעבירות תעבורה חזקת מסירה אותה לא השכיל המערער להפריך</w:t>
      </w:r>
      <w:r>
        <w:rPr>
          <w:rStyle w:val="default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המערער לא הצביע על כל נימוק של ממש לישיבתו בחיבוק ידיים משך כשלוש שנים</w:t>
      </w:r>
      <w:r>
        <w:rPr>
          <w:rtl w:val="true"/>
        </w:rPr>
        <w:t xml:space="preserve">, </w:t>
      </w:r>
      <w:r>
        <w:rPr>
          <w:rtl w:val="true"/>
        </w:rPr>
        <w:t>ואף אם לגרסתו נודע לו על פסק הדין רק כעבור כשנה</w:t>
      </w:r>
      <w:r>
        <w:rPr>
          <w:rtl w:val="true"/>
        </w:rPr>
        <w:t xml:space="preserve">, </w:t>
      </w:r>
      <w:r>
        <w:rPr>
          <w:rtl w:val="true"/>
        </w:rPr>
        <w:t>אין בכך הסבר לשיהוי של השנתיים הנוספות</w:t>
      </w:r>
      <w:r>
        <w:rPr>
          <w:rtl w:val="true"/>
        </w:rPr>
        <w:t xml:space="preserve">. </w:t>
      </w:r>
      <w:r>
        <w:rPr>
          <w:rtl w:val="true"/>
        </w:rPr>
        <w:t>המדובר גם בפסק דין בעבירת תעבורה בגינה נידון ל</w:t>
      </w:r>
      <w:r>
        <w:rPr>
          <w:rtl w:val="true"/>
        </w:rPr>
        <w:t xml:space="preserve">- </w:t>
      </w:r>
      <w:r>
        <w:rPr/>
        <w:t>1,000</w:t>
      </w:r>
      <w:r>
        <w:rPr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כך שגם החשש לעיוות דין אינו ממשי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כפי שציין </w:t>
      </w:r>
      <w:r>
        <w:rPr>
          <w:rtl w:val="true"/>
        </w:rPr>
        <w:t>בית משפט קמא</w:t>
      </w:r>
      <w:r>
        <w:rPr>
          <w:rtl w:val="true"/>
        </w:rPr>
        <w:t xml:space="preserve">, </w:t>
      </w:r>
      <w:r>
        <w:rPr>
          <w:rtl w:val="true"/>
        </w:rPr>
        <w:t>נראה שהטעם ל</w:t>
      </w:r>
      <w:r>
        <w:rPr>
          <w:rtl w:val="true"/>
        </w:rPr>
        <w:t>"</w:t>
      </w:r>
      <w:r>
        <w:rPr>
          <w:rtl w:val="true"/>
        </w:rPr>
        <w:t>התעוררות</w:t>
      </w:r>
      <w:r>
        <w:rPr>
          <w:rtl w:val="true"/>
        </w:rPr>
        <w:t xml:space="preserve">" </w:t>
      </w:r>
      <w:r>
        <w:rPr>
          <w:rtl w:val="true"/>
        </w:rPr>
        <w:t xml:space="preserve">של המערער להגיש בקשה להארכת מועד הוא החלטת בית משפט השלום בעכו בענין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בדראן</w:t>
      </w:r>
      <w:r>
        <w:rPr>
          <w:rtl w:val="true"/>
        </w:rPr>
        <w:t xml:space="preserve"> ומספר החלטות שניתנו לטענת המערער בעקבות כך בבקשות להארכת מועד להגשת ערעור</w:t>
      </w:r>
      <w:r>
        <w:rPr>
          <w:rtl w:val="true"/>
        </w:rPr>
        <w:t xml:space="preserve">. </w:t>
      </w:r>
      <w:r>
        <w:rPr>
          <w:rtl w:val="true"/>
        </w:rPr>
        <w:t>ואולם בתי המשפט המחוזיים כבר הבהירו במספר פסקי דין בהם דחו ערעורים על דחיית בקשות להארכת מועד</w:t>
      </w:r>
      <w:r>
        <w:rPr>
          <w:rtl w:val="true"/>
        </w:rPr>
        <w:t xml:space="preserve">, </w:t>
      </w:r>
      <w:r>
        <w:rPr>
          <w:rtl w:val="true"/>
        </w:rPr>
        <w:t xml:space="preserve">כי  פסק הדין בענין </w:t>
      </w:r>
      <w:r>
        <w:rPr>
          <w:rFonts w:ascii="Century" w:hAnsi="Century" w:cs="Century"/>
          <w:sz w:val="22"/>
          <w:sz w:val="22"/>
          <w:rtl w:val="true"/>
        </w:rPr>
        <w:t>בדראן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 פסל את מצלמות 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ומכל מקום פסק דין זה </w:t>
      </w:r>
      <w:r>
        <w:rPr>
          <w:rtl w:val="true"/>
        </w:rPr>
        <w:t xml:space="preserve">אינו בגדר תקדים מחייב ואף לא הלכה מנחה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51857-11-18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חמדאן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3.12.2018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2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י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-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ם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)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7334-12-18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26.12.2018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2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י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-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ם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) 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46562-12-18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אטיאס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14.3.2019</w:t>
      </w:r>
      <w:r>
        <w:rPr>
          <w:rFonts w:cs="Century" w:ascii="Century" w:hAnsi="Century"/>
          <w:sz w:val="22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 דין הערעור 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18.6.2019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ind w:end="0"/>
              <w:jc w:val="both"/>
              <w:rPr/>
            </w:pPr>
            <w:bookmarkStart w:id="17" w:name="Nitan"/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  <w:bookmarkEnd w:id="17"/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19029830</w:t>
      </w:r>
      <w:r>
        <w:rPr>
          <w:sz w:val="16"/>
          <w:rtl w:val="true"/>
        </w:rPr>
        <w:t>_</w:t>
      </w:r>
      <w:r>
        <w:rPr>
          <w:sz w:val="16"/>
        </w:rPr>
        <w:t>B06.docx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מ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מזוז </w:t>
      </w:r>
      <w:r>
        <w:rPr>
          <w:rFonts w:cs="David;Times New Roman" w:ascii="David;Times New Roman" w:hAnsi="David;Times New Roman"/>
          <w:color w:val="000000"/>
          <w:szCs w:val="22"/>
        </w:rPr>
        <w:t>54678313-2983/19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800" w:right="1800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2983/19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סאלח פחמאוי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default">
    <w:name w:val="defaul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4274" TargetMode="External"/><Relationship Id="rId3" Type="http://schemas.openxmlformats.org/officeDocument/2006/relationships/hyperlink" Target="http://www.nevo.co.il/law/74274/54.a" TargetMode="External"/><Relationship Id="rId4" Type="http://schemas.openxmlformats.org/officeDocument/2006/relationships/hyperlink" Target="http://www.nevo.co.il/law/74903" TargetMode="External"/><Relationship Id="rId5" Type="http://schemas.openxmlformats.org/officeDocument/2006/relationships/hyperlink" Target="http://www.nevo.co.il/law/74903/201" TargetMode="External"/><Relationship Id="rId6" Type="http://schemas.openxmlformats.org/officeDocument/2006/relationships/hyperlink" Target="http://www.nevo.co.il/law/74912" TargetMode="External"/><Relationship Id="rId7" Type="http://schemas.openxmlformats.org/officeDocument/2006/relationships/hyperlink" Target="http://www.nevo.co.il/law/74912/44a" TargetMode="External"/><Relationship Id="rId8" Type="http://schemas.openxmlformats.org/officeDocument/2006/relationships/hyperlink" Target="http://www.nevo.co.il/case/20902392" TargetMode="External"/><Relationship Id="rId9" Type="http://schemas.openxmlformats.org/officeDocument/2006/relationships/hyperlink" Target="http://www.nevo.co.il/law/74274/54.a" TargetMode="External"/><Relationship Id="rId10" Type="http://schemas.openxmlformats.org/officeDocument/2006/relationships/hyperlink" Target="http://www.nevo.co.il/law/74274" TargetMode="External"/><Relationship Id="rId11" Type="http://schemas.openxmlformats.org/officeDocument/2006/relationships/hyperlink" Target="http://www.nevo.co.il/case/7948619" TargetMode="External"/><Relationship Id="rId12" Type="http://schemas.openxmlformats.org/officeDocument/2006/relationships/hyperlink" Target="http://www.nevo.co.il/law/74903/201" TargetMode="External"/><Relationship Id="rId13" Type="http://schemas.openxmlformats.org/officeDocument/2006/relationships/hyperlink" Target="http://www.nevo.co.il/law/74903" TargetMode="External"/><Relationship Id="rId14" Type="http://schemas.openxmlformats.org/officeDocument/2006/relationships/hyperlink" Target="http://www.nevo.co.il/case/5898544" TargetMode="External"/><Relationship Id="rId15" Type="http://schemas.openxmlformats.org/officeDocument/2006/relationships/hyperlink" Target="http://www.nevo.co.il/case/17945666" TargetMode="External"/><Relationship Id="rId16" Type="http://schemas.openxmlformats.org/officeDocument/2006/relationships/hyperlink" Target="http://www.nevo.co.il/case/6112144" TargetMode="External"/><Relationship Id="rId17" Type="http://schemas.openxmlformats.org/officeDocument/2006/relationships/hyperlink" Target="http://www.nevo.co.il/law/74912/44a" TargetMode="External"/><Relationship Id="rId18" Type="http://schemas.openxmlformats.org/officeDocument/2006/relationships/hyperlink" Target="http://www.nevo.co.il/law/74912" TargetMode="External"/><Relationship Id="rId19" Type="http://schemas.openxmlformats.org/officeDocument/2006/relationships/hyperlink" Target="http://www.nevo.co.il/case/25168077" TargetMode="External"/><Relationship Id="rId20" Type="http://schemas.openxmlformats.org/officeDocument/2006/relationships/hyperlink" Target="http://www.nevo.co.il/case/25200200" TargetMode="External"/><Relationship Id="rId21" Type="http://schemas.openxmlformats.org/officeDocument/2006/relationships/hyperlink" Target="http://www.nevo.co.il/case/25247104" TargetMode="External"/><Relationship Id="rId22" Type="http://schemas.openxmlformats.org/officeDocument/2006/relationships/hyperlink" Target="http://supreme.court.gov.il/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2019-06-19T11:23:00Z</dcterms:created>
  <dc:creator>h4</dc:creator>
  <dc:description/>
  <cp:keywords/>
  <dc:language>en-IL</dc:language>
  <cp:lastModifiedBy>orly</cp:lastModifiedBy>
  <cp:lastPrinted>2019-06-18T10:32:00Z</cp:lastPrinted>
  <dcterms:modified xsi:type="dcterms:W3CDTF">2019-06-19T11:23:00Z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סאלח פחמאוי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20902392;7948619;5898544;17945666;6112144;25168077;25200200;25247104</vt:lpwstr>
  </property>
  <property fmtid="{D5CDD505-2E9C-101B-9397-08002B2CF9AE}" pid="9" name="CITY">
    <vt:lpwstr/>
  </property>
  <property fmtid="{D5CDD505-2E9C-101B-9397-08002B2CF9AE}" pid="10" name="DATE">
    <vt:lpwstr>20190618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מ' מזוז</vt:lpwstr>
  </property>
  <property fmtid="{D5CDD505-2E9C-101B-9397-08002B2CF9AE}" pid="14" name="LAWLISTTMP1">
    <vt:lpwstr>74274/054.a</vt:lpwstr>
  </property>
  <property fmtid="{D5CDD505-2E9C-101B-9397-08002B2CF9AE}" pid="15" name="LAWLISTTMP2">
    <vt:lpwstr>74903/201</vt:lpwstr>
  </property>
  <property fmtid="{D5CDD505-2E9C-101B-9397-08002B2CF9AE}" pid="16" name="LAWLISTTMP3">
    <vt:lpwstr>74912/044a</vt:lpwstr>
  </property>
  <property fmtid="{D5CDD505-2E9C-101B-9397-08002B2CF9AE}" pid="17" name="LAWYER">
    <vt:lpwstr>נגה בן סידי;אסדי ראפת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דיון פלילי</vt:lpwstr>
  </property>
  <property fmtid="{D5CDD505-2E9C-101B-9397-08002B2CF9AE}" pid="29" name="NOSE110">
    <vt:lpwstr/>
  </property>
  <property fmtid="{D5CDD505-2E9C-101B-9397-08002B2CF9AE}" pid="30" name="NOSE12">
    <vt:lpwstr/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18</vt:lpwstr>
  </property>
  <property fmtid="{D5CDD505-2E9C-101B-9397-08002B2CF9AE}" pid="39" name="NOSE21">
    <vt:lpwstr>הארכת מועד</vt:lpwstr>
  </property>
  <property fmtid="{D5CDD505-2E9C-101B-9397-08002B2CF9AE}" pid="40" name="NOSE210">
    <vt:lpwstr/>
  </property>
  <property fmtid="{D5CDD505-2E9C-101B-9397-08002B2CF9AE}" pid="41" name="NOSE22">
    <vt:lpwstr/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454</vt:lpwstr>
  </property>
  <property fmtid="{D5CDD505-2E9C-101B-9397-08002B2CF9AE}" pid="50" name="NOSE31">
    <vt:lpwstr>להגשת ערעור</vt:lpwstr>
  </property>
  <property fmtid="{D5CDD505-2E9C-101B-9397-08002B2CF9AE}" pid="51" name="NOSE310">
    <vt:lpwstr/>
  </property>
  <property fmtid="{D5CDD505-2E9C-101B-9397-08002B2CF9AE}" pid="52" name="NOSE32">
    <vt:lpwstr/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3590</vt:lpwstr>
  </property>
  <property fmtid="{D5CDD505-2E9C-101B-9397-08002B2CF9AE}" pid="61" name="PADIDATE">
    <vt:lpwstr>20190619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2983</vt:lpwstr>
  </property>
  <property fmtid="{D5CDD505-2E9C-101B-9397-08002B2CF9AE}" pid="67" name="PROCYEAR">
    <vt:lpwstr>19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410120190618</vt:lpwstr>
  </property>
  <property fmtid="{D5CDD505-2E9C-101B-9397-08002B2CF9AE}" pid="71" name="TYPE_N_DATE">
    <vt:lpwstr>41020190618</vt:lpwstr>
  </property>
  <property fmtid="{D5CDD505-2E9C-101B-9397-08002B2CF9AE}" pid="72" name="VOLUME">
    <vt:lpwstr/>
  </property>
  <property fmtid="{D5CDD505-2E9C-101B-9397-08002B2CF9AE}" pid="73" name="WORDNUMPAGES">
    <vt:lpwstr>6</vt:lpwstr>
  </property>
</Properties>
</file>