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3011/17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מיכה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מכלוף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3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1353-07-14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אברהם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תמר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2.1.19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שורר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וחזר ועמד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החשיבות העליונה של מיגור תופעת האלימות נגד נשים על ידי בני זוגן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השאר באמצעות ענישה מחמירה ובלתי מתפשרת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השנים חולפות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לדאבון הלב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בתחום האלימות נגד נשים מצד בני זוגן וקרוביהן עולם כעוולתו נוהג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 דברים זה ענישה מחמירה נגד בני זוג אלימים הייתה ועודנה צורך השעה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ועובדה מצערת זו מפחיתה את המשקל שניתן לייחס לשיקולי ענישה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כדוגמת נסיבותיו האישיות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ניסיון לרצח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אלימות במשפחה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בגדרו הושתו על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 הרשעתו בשורה ארוכה של עבירות אלימות שביצע כלפי בת זוגו לשעבר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לרבות ניסיון לרצח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עונש של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 למשך שלוש 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ופיצוי למתלוננת בסך של </w:t>
      </w:r>
      <w:r>
        <w:rPr>
          <w:rFonts w:cs="Times New Roman" w:ascii="Times New Roman" w:hAnsi="Times New Roman"/>
          <w:spacing w:val="0"/>
          <w:szCs w:val="26"/>
        </w:rPr>
        <w:t>70,000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גרוסקופף בהסכמת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>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הנדל 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מושרשת 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ערכאת הערעור אינה נוטה להתערב בעונש שנקבע על 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נפלה טעות מהותית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כשמדובר בסטייה ממדיניות הענישה המקובלת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העונש שנגזר על המערער חורג בצורה מהותית מרמת הענישה המקובלת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אמנם העונש שנפסק למערער הוא עונש 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במיוחד בהתחשב בגילו הצעיר יחסית ובכך שהוא נעדר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זה הולם את חומרת מעשיו ועולה בקנה אחד עם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במשך רוב תקופת הזוגיות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התעלל המערער במתלוננת דרך 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לבסוף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ניסה לרצוח אותה בצורה אכזרית כאשר דקר אותה דקירות מרובות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חנק אותה ולבסוף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השליך אותה מרכבו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והותיר אותה להתבוסס בדמה במקום מבודד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וחזר ועמד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החשיבות העליונה של מיגור תופעת האלימות נגד נשים על ידי בני זוגן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השאר באמצעות ענישה מחמירה ובלתי מתפשרת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השנים חולפות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לדאבון הלב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בתחום האלימות נגד נשים מצד בני זוגן וקרוביהן עולם כעוולתו נוהג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 דברים זה ענישה מחמירה נגד בני זוג אלימים הייתה ועודנה צורך השעה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ועובדה מצערת זו מפחיתה את המשקל שניתן לייחס לשיקולי ענישה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כדוגמת נסיבותיו האישיות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התייחס בגזר דינו לעברו ולנסיבותיו המשפחתיות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למצבו הנפשי ולהיעדר עברו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אלה נלקחו בחשבון כראוי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הצדקה להתערב באיזון שנקבע על 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לטענת המערער בדבר שימושו בסמים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 זו איננה מצדיקה התערבות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 של שימוש קבוע בסמים או באלכוהול היא חרב פיפיות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מחד גיסא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מצביעה על פני הדברים על חוסר שליטה חלקי של המערער על ענייניו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העשוי לכאורה להצדיק הקלה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מאידך גיסא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חלילה לנו מלתמרץ נטילה של סמים ושימוש מופרז באלכוהול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דרך של הפיכתם לנסיבה מקלה המבטיחה ענישה מופחתת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חולק כי בתקופה הרלוונטית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נהגו להשתמש בסמים קשים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מסוכנים וכמובן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בלתי חוקיים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לחומרת המעשים בהם 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ולהתמשכותם על פני תקופה ארוכה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עניין זה אינו מפחית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בוודאי שלא באופן 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מאחריות המערער למעשים הקשים שביצע במתלוננת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ובמכלול שיקולי המדיניות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ספק אם הוא מהווה נסיבה שראוי להתחשב בה לקולא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 xml:space="preserve">לפנינו ערעור על גזר דינו של בית המשפט המחוזי חיפה מיום </w:t>
      </w:r>
      <w:r>
        <w:rPr/>
        <w:t>22.2.2017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1353-07-14</w:t>
      </w:r>
      <w:r>
        <w:rPr>
          <w:rtl w:val="true"/>
        </w:rPr>
        <w:t xml:space="preserve"> </w:t>
      </w:r>
      <w:r>
        <w:rPr>
          <w:rtl w:val="true"/>
        </w:rPr>
        <w:t>שניתן על ידי כב</w:t>
      </w:r>
      <w:r>
        <w:rPr>
          <w:rtl w:val="true"/>
        </w:rPr>
        <w:t xml:space="preserve">' </w:t>
      </w:r>
      <w:r>
        <w:rPr>
          <w:rtl w:val="true"/>
        </w:rPr>
        <w:t xml:space="preserve">השופטים סגן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שפירא</w:t>
      </w:r>
      <w:r>
        <w:rPr>
          <w:rtl w:val="true"/>
        </w:rPr>
        <w:t xml:space="preserve">, 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הורשע בשורה ארוכה של עבירות אלימות שביצע כלפי בת זוגו לשעבר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ניסיון לרצח </w:t>
      </w:r>
      <w:r>
        <w:rPr>
          <w:rFonts w:cs="Century" w:ascii="Century" w:hAnsi="Century"/>
          <w:rtl w:val="true"/>
        </w:rPr>
        <w:t>(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)); </w:t>
      </w:r>
      <w:r>
        <w:rPr>
          <w:rFonts w:ascii="Century" w:hAnsi="Century" w:cs="Century"/>
          <w:rtl w:val="true"/>
        </w:rPr>
        <w:t xml:space="preserve">גרימת חבלה בנסיבות מחמירות </w:t>
      </w:r>
      <w:r>
        <w:rPr>
          <w:rFonts w:cs="Century" w:ascii="Century" w:hAnsi="Century"/>
          <w:rtl w:val="true"/>
        </w:rPr>
        <w:t>(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8">
        <w:r>
          <w:rPr>
            <w:rStyle w:val="Hyperlink"/>
            <w:rFonts w:cs="Century" w:ascii="Century" w:hAnsi="Century"/>
          </w:rPr>
          <w:t>335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שלוש עבירות של תקיפה בנסיבות מחמירות </w:t>
      </w:r>
      <w:r>
        <w:rPr>
          <w:rFonts w:cs="Century" w:ascii="Century" w:hAnsi="Century"/>
          <w:rtl w:val="true"/>
        </w:rPr>
        <w:t>(</w:t>
      </w:r>
      <w:hyperlink r:id="rId19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380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0">
        <w:r>
          <w:rPr>
            <w:rStyle w:val="Hyperlink"/>
            <w:rFonts w:cs="Century" w:ascii="Century" w:hAnsi="Century"/>
            <w:color w:val="0000FF"/>
            <w:u w:val="single"/>
          </w:rPr>
          <w:t>382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לפי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2">
        <w:r>
          <w:rPr>
            <w:rStyle w:val="Hyperlink"/>
            <w:rFonts w:cs="Century" w:ascii="Century" w:hAnsi="Century"/>
          </w:rPr>
          <w:t>379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שתי עבירות של איומים </w:t>
      </w:r>
      <w:r>
        <w:rPr>
          <w:rFonts w:cs="Century" w:ascii="Century" w:hAnsi="Century"/>
          <w:rtl w:val="true"/>
        </w:rPr>
        <w:t>(</w:t>
      </w:r>
      <w:hyperlink r:id="rId2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192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כליאת שווא </w:t>
      </w:r>
      <w:r>
        <w:rPr>
          <w:rFonts w:cs="Century" w:ascii="Century" w:hAnsi="Century"/>
          <w:rtl w:val="true"/>
        </w:rPr>
        <w:t>(</w:t>
      </w:r>
      <w:hyperlink r:id="rId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377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החזקת סכין שלא כדין </w:t>
      </w:r>
      <w:r>
        <w:rPr>
          <w:rFonts w:cs="Century" w:ascii="Century" w:hAnsi="Century"/>
          <w:rtl w:val="true"/>
        </w:rPr>
        <w:t>(</w:t>
      </w:r>
      <w:hyperlink r:id="rId2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186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והיזק בזדון </w:t>
      </w:r>
      <w:r>
        <w:rPr>
          <w:rFonts w:cs="Century" w:ascii="Century" w:hAnsi="Century"/>
          <w:rtl w:val="true"/>
        </w:rPr>
        <w:t>(</w:t>
      </w:r>
      <w:hyperlink r:id="rId2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452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בגין עבירות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נגזר עליו עונש של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 למשך שלוש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ופיצוי למשיבה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בסך של </w:t>
      </w:r>
      <w:r>
        <w:rPr>
          <w:rFonts w:cs="Century" w:ascii="Century" w:hAnsi="Century"/>
        </w:rPr>
        <w:t>70,000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>
          <w:rtl w:val="true"/>
        </w:rPr>
        <w:t>(</w:t>
      </w:r>
      <w:r>
        <w:rPr>
          <w:rtl w:val="true"/>
        </w:rPr>
        <w:t xml:space="preserve">יליד שנת </w:t>
      </w:r>
      <w:r>
        <w:rPr/>
        <w:t>1984</w:t>
      </w:r>
      <w:r>
        <w:rPr>
          <w:rtl w:val="true"/>
        </w:rPr>
        <w:t xml:space="preserve">) </w:t>
      </w:r>
      <w:r>
        <w:rPr>
          <w:rtl w:val="true"/>
        </w:rPr>
        <w:t xml:space="preserve">והמתלוננת </w:t>
      </w:r>
      <w:r>
        <w:rPr>
          <w:rtl w:val="true"/>
        </w:rPr>
        <w:t>(</w:t>
      </w:r>
      <w:r>
        <w:rPr>
          <w:rtl w:val="true"/>
        </w:rPr>
        <w:t xml:space="preserve">ילידת שנת </w:t>
      </w:r>
      <w:r>
        <w:rPr/>
        <w:t>1992</w:t>
      </w:r>
      <w:r>
        <w:rPr>
          <w:rtl w:val="true"/>
        </w:rPr>
        <w:t xml:space="preserve">) </w:t>
      </w:r>
      <w:r>
        <w:rPr>
          <w:rtl w:val="true"/>
        </w:rPr>
        <w:t xml:space="preserve">היו בני זוג למשך תקופה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מתחילת שנת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 xml:space="preserve">ועד מחצית שנת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במשך רוב תקופת הזוגיות המערער והמתלוננת התגוררו יחדיו</w:t>
      </w:r>
      <w:r>
        <w:rPr>
          <w:rtl w:val="true"/>
        </w:rPr>
        <w:t xml:space="preserve">, </w:t>
      </w:r>
      <w:r>
        <w:rPr>
          <w:rtl w:val="true"/>
        </w:rPr>
        <w:t>תחילה במשך שנה בדירה בטירת הכרמל</w:t>
      </w:r>
      <w:r>
        <w:rPr>
          <w:rtl w:val="true"/>
        </w:rPr>
        <w:t xml:space="preserve">, </w:t>
      </w:r>
      <w:r>
        <w:rPr>
          <w:rtl w:val="true"/>
        </w:rPr>
        <w:t>ולאחר מכן בשתי דירות בחיפה</w:t>
      </w:r>
      <w:r>
        <w:rPr>
          <w:rtl w:val="true"/>
        </w:rPr>
        <w:t xml:space="preserve">, </w:t>
      </w:r>
      <w:r>
        <w:rPr>
          <w:rtl w:val="true"/>
        </w:rPr>
        <w:t>לתקופות קצרות יותר</w:t>
      </w:r>
      <w:r>
        <w:rPr>
          <w:rtl w:val="true"/>
        </w:rPr>
        <w:t xml:space="preserve">. </w:t>
      </w:r>
      <w:r>
        <w:rPr>
          <w:rtl w:val="true"/>
        </w:rPr>
        <w:t>מערכת היחסים בין המערער והמתלוננת החלה כמערכת יחסים תקינה</w:t>
      </w:r>
      <w:r>
        <w:rPr>
          <w:rtl w:val="true"/>
        </w:rPr>
        <w:t xml:space="preserve">, </w:t>
      </w:r>
      <w:r>
        <w:rPr>
          <w:rtl w:val="true"/>
        </w:rPr>
        <w:t>אך ככל שחלפו החודשים</w:t>
      </w:r>
      <w:r>
        <w:rPr>
          <w:rtl w:val="true"/>
        </w:rPr>
        <w:t xml:space="preserve">, </w:t>
      </w:r>
      <w:r>
        <w:rPr>
          <w:rtl w:val="true"/>
        </w:rPr>
        <w:t>הפכה לרוויית אלימות מצד המערער כלפי המתלוננת</w:t>
      </w:r>
      <w:r>
        <w:rPr>
          <w:rtl w:val="true"/>
        </w:rPr>
        <w:t xml:space="preserve">, </w:t>
      </w:r>
      <w:r>
        <w:rPr>
          <w:rtl w:val="true"/>
        </w:rPr>
        <w:t>אשר עוצמתה החריפה עם חלוף הזמן</w:t>
      </w:r>
      <w:r>
        <w:rPr>
          <w:rtl w:val="true"/>
        </w:rPr>
        <w:t xml:space="preserve">. </w:t>
      </w:r>
      <w:r>
        <w:rPr>
          <w:rtl w:val="true"/>
        </w:rPr>
        <w:t>במשך רוב תקופת הזוגיות</w:t>
      </w:r>
      <w:r>
        <w:rPr>
          <w:rtl w:val="true"/>
        </w:rPr>
        <w:t xml:space="preserve">, </w:t>
      </w:r>
      <w:r>
        <w:rPr>
          <w:rtl w:val="true"/>
        </w:rPr>
        <w:t>חיה המתלוננת בצל תקיפות אלימות חוזרות ונשנות מצד המערער</w:t>
      </w:r>
      <w:r>
        <w:rPr>
          <w:rtl w:val="true"/>
        </w:rPr>
        <w:t xml:space="preserve">, </w:t>
      </w:r>
      <w:r>
        <w:rPr>
          <w:rtl w:val="true"/>
        </w:rPr>
        <w:t>שהגיעו לשיאן בניסיון רצח</w:t>
      </w:r>
      <w:r>
        <w:rPr>
          <w:rtl w:val="true"/>
        </w:rPr>
        <w:t xml:space="preserve">. </w:t>
      </w:r>
      <w:r>
        <w:rPr>
          <w:rtl w:val="true"/>
        </w:rPr>
        <w:t>אפרט להלן את עיקר האירועים האלימים בגינם הורשע המערער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בתאריכים </w:t>
      </w:r>
      <w:r>
        <w:rPr/>
        <w:t>28.8.2013-22.8.2013</w:t>
      </w:r>
      <w:r>
        <w:rPr>
          <w:rtl w:val="true"/>
        </w:rPr>
        <w:t xml:space="preserve"> </w:t>
      </w:r>
      <w:r>
        <w:rPr>
          <w:rtl w:val="true"/>
        </w:rPr>
        <w:t>בעת שהות בחופשה ברודוס</w:t>
      </w:r>
      <w:r>
        <w:rPr>
          <w:rtl w:val="true"/>
        </w:rPr>
        <w:t xml:space="preserve">, </w:t>
      </w:r>
      <w:r>
        <w:rPr>
          <w:rtl w:val="true"/>
        </w:rPr>
        <w:t>היכה המערער מכת אגרוף בבטנה של המתלוננת וגרם לה כאב</w:t>
      </w:r>
      <w:r>
        <w:rPr>
          <w:rtl w:val="true"/>
        </w:rPr>
        <w:t xml:space="preserve">; </w:t>
      </w:r>
      <w:r>
        <w:rPr>
          <w:rtl w:val="true"/>
        </w:rPr>
        <w:t xml:space="preserve">ביום </w:t>
      </w:r>
      <w:r>
        <w:rPr/>
        <w:t>20.9.2013</w:t>
      </w:r>
      <w:r>
        <w:rPr>
          <w:rtl w:val="true"/>
        </w:rPr>
        <w:t xml:space="preserve"> </w:t>
      </w:r>
      <w:r>
        <w:rPr>
          <w:rtl w:val="true"/>
        </w:rPr>
        <w:t>היכה המערער את המתלוננת ומנע ממנה מלצאת מדירתם בטירת הכרמל</w:t>
      </w:r>
      <w:r>
        <w:rPr>
          <w:rtl w:val="true"/>
        </w:rPr>
        <w:t xml:space="preserve">; </w:t>
      </w:r>
      <w:r>
        <w:rPr>
          <w:rtl w:val="true"/>
        </w:rPr>
        <w:t xml:space="preserve">ביום </w:t>
      </w:r>
      <w:r>
        <w:rPr/>
        <w:t>14.12.2013</w:t>
      </w:r>
      <w:r>
        <w:rPr>
          <w:rtl w:val="true"/>
        </w:rPr>
        <w:t xml:space="preserve"> </w:t>
      </w:r>
      <w:r>
        <w:rPr>
          <w:rtl w:val="true"/>
        </w:rPr>
        <w:t>תקף המערער את המתלוננת בדירתם</w:t>
      </w:r>
      <w:r>
        <w:rPr>
          <w:rtl w:val="true"/>
        </w:rPr>
        <w:t xml:space="preserve">, </w:t>
      </w:r>
      <w:r>
        <w:rPr>
          <w:rtl w:val="true"/>
        </w:rPr>
        <w:t>נשך את פניה</w:t>
      </w:r>
      <w:r>
        <w:rPr>
          <w:rtl w:val="true"/>
        </w:rPr>
        <w:t xml:space="preserve">, </w:t>
      </w:r>
      <w:r>
        <w:rPr>
          <w:rtl w:val="true"/>
        </w:rPr>
        <w:t>הפיל אותה אל הרצפה</w:t>
      </w:r>
      <w:r>
        <w:rPr>
          <w:rtl w:val="true"/>
        </w:rPr>
        <w:t xml:space="preserve">, </w:t>
      </w:r>
      <w:r>
        <w:rPr>
          <w:rtl w:val="true"/>
        </w:rPr>
        <w:t>דרך על גופה וחנק אותה</w:t>
      </w:r>
      <w:r>
        <w:rPr>
          <w:rtl w:val="true"/>
        </w:rPr>
        <w:t xml:space="preserve">; </w:t>
      </w:r>
      <w:r>
        <w:rPr>
          <w:rtl w:val="true"/>
        </w:rPr>
        <w:t xml:space="preserve">כשבועיים עד שלושה עובר ליום </w:t>
      </w:r>
      <w:r>
        <w:rPr/>
        <w:t>14.12.2013</w:t>
      </w:r>
      <w:r>
        <w:rPr>
          <w:rtl w:val="true"/>
        </w:rPr>
        <w:t xml:space="preserve"> </w:t>
      </w:r>
      <w:r>
        <w:rPr>
          <w:rtl w:val="true"/>
        </w:rPr>
        <w:t>איים המערער לרצוח את המתלוננת ולהתאבד</w:t>
      </w:r>
      <w:r>
        <w:rPr>
          <w:rtl w:val="true"/>
        </w:rPr>
        <w:t xml:space="preserve">; </w:t>
      </w:r>
      <w:r>
        <w:rPr>
          <w:rtl w:val="true"/>
        </w:rPr>
        <w:t xml:space="preserve">ביום </w:t>
      </w:r>
      <w:r>
        <w:rPr/>
        <w:t>10.5.2014</w:t>
      </w:r>
      <w:r>
        <w:rPr>
          <w:rtl w:val="true"/>
        </w:rPr>
        <w:t xml:space="preserve"> </w:t>
      </w:r>
      <w:r>
        <w:rPr>
          <w:rtl w:val="true"/>
        </w:rPr>
        <w:t>חפץ המערער לקיים יחסי מין עם המתלוננת</w:t>
      </w:r>
      <w:r>
        <w:rPr>
          <w:rtl w:val="true"/>
        </w:rPr>
        <w:t xml:space="preserve">, </w:t>
      </w:r>
      <w:r>
        <w:rPr>
          <w:rtl w:val="true"/>
        </w:rPr>
        <w:t>אך זו לא נענתה לו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התיישב המערער על בטנה</w:t>
      </w:r>
      <w:r>
        <w:rPr>
          <w:rtl w:val="true"/>
        </w:rPr>
        <w:t xml:space="preserve">, </w:t>
      </w:r>
      <w:r>
        <w:rPr>
          <w:rtl w:val="true"/>
        </w:rPr>
        <w:t>חנק אותה בחוזקה ולחץ על גרוגרתה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הניח על פניה כרית וישב עליה</w:t>
      </w:r>
      <w:r>
        <w:rPr>
          <w:rtl w:val="true"/>
        </w:rPr>
        <w:t xml:space="preserve">. </w:t>
      </w:r>
      <w:r>
        <w:rPr>
          <w:rtl w:val="true"/>
        </w:rPr>
        <w:t>המתלוננת התקשתה לנשום והתחננה שיחוס על חייה ויחדל ממעשיו</w:t>
      </w:r>
      <w:r>
        <w:rPr>
          <w:rtl w:val="true"/>
        </w:rPr>
        <w:t xml:space="preserve">, </w:t>
      </w:r>
      <w:r>
        <w:rPr>
          <w:rtl w:val="true"/>
        </w:rPr>
        <w:t>תוך שהיא בועטת ברגליה</w:t>
      </w:r>
      <w:r>
        <w:rPr>
          <w:rtl w:val="true"/>
        </w:rPr>
        <w:t xml:space="preserve">. </w:t>
      </w:r>
      <w:r>
        <w:rPr>
          <w:rtl w:val="true"/>
        </w:rPr>
        <w:t>כשחדל ממעשיו</w:t>
      </w:r>
      <w:r>
        <w:rPr>
          <w:rtl w:val="true"/>
        </w:rPr>
        <w:t xml:space="preserve">, </w:t>
      </w:r>
      <w:r>
        <w:rPr>
          <w:rtl w:val="true"/>
        </w:rPr>
        <w:t xml:space="preserve">אמר לה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כתוצאה מהמעשים נגרמה למתלוננת חבלה במיתרי הקול ודימום בפה</w:t>
      </w:r>
      <w:r>
        <w:rPr>
          <w:rtl w:val="true"/>
        </w:rPr>
        <w:t xml:space="preserve">, </w:t>
      </w:r>
      <w:r>
        <w:rPr>
          <w:rtl w:val="true"/>
        </w:rPr>
        <w:t>אשר הביאו לאשפוזה בבית חולים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האירועים האלימים בין המערער והמתלוננת הגיעו לשיאם ביום </w:t>
      </w:r>
      <w:r>
        <w:rPr/>
        <w:t>3.6.2014</w:t>
      </w:r>
      <w:r>
        <w:rPr>
          <w:rtl w:val="true"/>
        </w:rPr>
        <w:t xml:space="preserve">. </w:t>
      </w:r>
      <w:r>
        <w:rPr>
          <w:rtl w:val="true"/>
        </w:rPr>
        <w:t>בשעות הצהריים נפגשו המערער והמתלוננת בחיפה ונסעו ברכב לחוף הים</w:t>
      </w:r>
      <w:r>
        <w:rPr>
          <w:rtl w:val="true"/>
        </w:rPr>
        <w:t xml:space="preserve">. </w:t>
      </w:r>
      <w:r>
        <w:rPr>
          <w:rtl w:val="true"/>
        </w:rPr>
        <w:t>לאחר זמן מה נסעו לטירת הכרמל</w:t>
      </w:r>
      <w:r>
        <w:rPr>
          <w:rtl w:val="true"/>
        </w:rPr>
        <w:t xml:space="preserve">, </w:t>
      </w:r>
      <w:r>
        <w:rPr>
          <w:rtl w:val="true"/>
        </w:rPr>
        <w:t>אז ביקש המערער מהמתלוננת שתסייע בהעברת חפצים מהדירה בטירת הכרמל לדירה אחרת</w:t>
      </w:r>
      <w:r>
        <w:rPr>
          <w:rtl w:val="true"/>
        </w:rPr>
        <w:t xml:space="preserve">, </w:t>
      </w:r>
      <w:r>
        <w:rPr>
          <w:rtl w:val="true"/>
        </w:rPr>
        <w:t>אך זו סירבה ודרשה כי ייקח אותה לבית אמה</w:t>
      </w:r>
      <w:r>
        <w:rPr>
          <w:rtl w:val="true"/>
        </w:rPr>
        <w:t xml:space="preserve">. </w:t>
      </w:r>
      <w:r>
        <w:rPr>
          <w:rtl w:val="true"/>
        </w:rPr>
        <w:t>המערער לא שעה לדרישת המתלוננת</w:t>
      </w:r>
      <w:r>
        <w:rPr>
          <w:rtl w:val="true"/>
        </w:rPr>
        <w:t xml:space="preserve">, </w:t>
      </w:r>
      <w:r>
        <w:rPr>
          <w:rtl w:val="true"/>
        </w:rPr>
        <w:t>נהג לדירה בטירת הכרמל</w:t>
      </w:r>
      <w:r>
        <w:rPr>
          <w:rtl w:val="true"/>
        </w:rPr>
        <w:t xml:space="preserve">, </w:t>
      </w:r>
      <w:r>
        <w:rPr>
          <w:rtl w:val="true"/>
        </w:rPr>
        <w:t>שם ביקש שוב שתסייע לו בהעברת החפצים</w:t>
      </w:r>
      <w:r>
        <w:rPr>
          <w:rtl w:val="true"/>
        </w:rPr>
        <w:t xml:space="preserve">, </w:t>
      </w:r>
      <w:r>
        <w:rPr>
          <w:rtl w:val="true"/>
        </w:rPr>
        <w:t>אולם זו דבקה בסירובה</w:t>
      </w:r>
      <w:r>
        <w:rPr>
          <w:rtl w:val="true"/>
        </w:rPr>
        <w:t xml:space="preserve">. </w:t>
      </w:r>
      <w:r>
        <w:rPr>
          <w:rtl w:val="true"/>
        </w:rPr>
        <w:t>המערער עזב את הרכב לזמן מה</w:t>
      </w:r>
      <w:r>
        <w:rPr>
          <w:rtl w:val="true"/>
        </w:rPr>
        <w:t xml:space="preserve">, </w:t>
      </w:r>
      <w:r>
        <w:rPr>
          <w:rtl w:val="true"/>
        </w:rPr>
        <w:t>וכשחזר גמלה בליבו ההחלטה להמית את המתלוננת</w:t>
      </w:r>
      <w:r>
        <w:rPr>
          <w:rtl w:val="true"/>
        </w:rPr>
        <w:t xml:space="preserve">. </w:t>
      </w:r>
      <w:r>
        <w:rPr>
          <w:rtl w:val="true"/>
        </w:rPr>
        <w:t>הוא אמר לה שהוא יודע שהיא תברח לו</w:t>
      </w:r>
      <w:r>
        <w:rPr>
          <w:rtl w:val="true"/>
        </w:rPr>
        <w:t xml:space="preserve">, </w:t>
      </w:r>
      <w:r>
        <w:rPr>
          <w:rtl w:val="true"/>
        </w:rPr>
        <w:t>ולא ייתן לה לעשות כן</w:t>
      </w:r>
      <w:r>
        <w:rPr>
          <w:rtl w:val="true"/>
        </w:rPr>
        <w:t xml:space="preserve">. </w:t>
      </w:r>
      <w:r>
        <w:rPr>
          <w:rtl w:val="true"/>
        </w:rPr>
        <w:t>המתלוננת בכתה וביקשה שוב כי המערער ייקח אותה לבית אמה</w:t>
      </w:r>
      <w:r>
        <w:rPr>
          <w:rtl w:val="true"/>
        </w:rPr>
        <w:t xml:space="preserve">, </w:t>
      </w:r>
      <w:r>
        <w:rPr>
          <w:rtl w:val="true"/>
        </w:rPr>
        <w:t>אולם הוא המשיך בנסיעתו לכיוון יערות הכרמל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לקח את הטלפון הנייד של המתלוננת בכוח</w:t>
      </w:r>
      <w:r>
        <w:rPr>
          <w:rtl w:val="true"/>
        </w:rPr>
        <w:t xml:space="preserve">, </w:t>
      </w:r>
      <w:r>
        <w:rPr>
          <w:rtl w:val="true"/>
        </w:rPr>
        <w:t>ניתק אותו ושם בכיסו</w:t>
      </w:r>
      <w:r>
        <w:rPr>
          <w:rtl w:val="true"/>
        </w:rPr>
        <w:t xml:space="preserve">. </w:t>
      </w:r>
      <w:r>
        <w:rPr>
          <w:rtl w:val="true"/>
        </w:rPr>
        <w:t>במהלך הנסיעה</w:t>
      </w:r>
      <w:r>
        <w:rPr>
          <w:rtl w:val="true"/>
        </w:rPr>
        <w:t xml:space="preserve">, </w:t>
      </w:r>
      <w:r>
        <w:rPr>
          <w:rtl w:val="true"/>
        </w:rPr>
        <w:t>פתחה המתלוננת את דלת הרכב וניסתה להימלט</w:t>
      </w:r>
      <w:r>
        <w:rPr>
          <w:rtl w:val="true"/>
        </w:rPr>
        <w:t xml:space="preserve">, </w:t>
      </w:r>
      <w:r>
        <w:rPr>
          <w:rtl w:val="true"/>
        </w:rPr>
        <w:t>אך המערער האיץ את מהירות הנסיעה</w:t>
      </w:r>
      <w:r>
        <w:rPr>
          <w:rtl w:val="true"/>
        </w:rPr>
        <w:t xml:space="preserve">, </w:t>
      </w:r>
      <w:r>
        <w:rPr>
          <w:rtl w:val="true"/>
        </w:rPr>
        <w:t>גרם לה לסגור את הדלת</w:t>
      </w:r>
      <w:r>
        <w:rPr>
          <w:rtl w:val="true"/>
        </w:rPr>
        <w:t xml:space="preserve">, </w:t>
      </w:r>
      <w:r>
        <w:rPr>
          <w:rtl w:val="true"/>
        </w:rPr>
        <w:t>נעל את דלתות הרכב והחזיק אותה בידו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עצר את רכבו במקום מבודד ושומם בשול הכביש</w:t>
      </w:r>
      <w:r>
        <w:rPr>
          <w:rtl w:val="true"/>
        </w:rPr>
        <w:t xml:space="preserve">, </w:t>
      </w:r>
      <w:r>
        <w:rPr>
          <w:rtl w:val="true"/>
        </w:rPr>
        <w:t>והחל לדקור את המתלוננת באמצעות סכין שהחזיק ברכב</w:t>
      </w:r>
      <w:r>
        <w:rPr>
          <w:rtl w:val="true"/>
        </w:rPr>
        <w:t xml:space="preserve">. </w:t>
      </w:r>
      <w:r>
        <w:rPr>
          <w:rtl w:val="true"/>
        </w:rPr>
        <w:t xml:space="preserve">המערער דקר את המתלוננת לפחות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דקירות בחזה</w:t>
      </w:r>
      <w:r>
        <w:rPr>
          <w:rtl w:val="true"/>
        </w:rPr>
        <w:t xml:space="preserve">, </w:t>
      </w:r>
      <w:r>
        <w:rPr>
          <w:rtl w:val="true"/>
        </w:rPr>
        <w:t>בצוואר העליון</w:t>
      </w:r>
      <w:r>
        <w:rPr>
          <w:rtl w:val="true"/>
        </w:rPr>
        <w:t xml:space="preserve">, </w:t>
      </w:r>
      <w:r>
        <w:rPr>
          <w:rtl w:val="true"/>
        </w:rPr>
        <w:t>בסנטר</w:t>
      </w:r>
      <w:r>
        <w:rPr>
          <w:rtl w:val="true"/>
        </w:rPr>
        <w:t xml:space="preserve">, </w:t>
      </w:r>
      <w:r>
        <w:rPr>
          <w:rtl w:val="true"/>
        </w:rPr>
        <w:t>בשפה העליונה</w:t>
      </w:r>
      <w:r>
        <w:rPr>
          <w:rtl w:val="true"/>
        </w:rPr>
        <w:t xml:space="preserve">, </w:t>
      </w:r>
      <w:r>
        <w:rPr>
          <w:rtl w:val="true"/>
        </w:rPr>
        <w:t>באפרכסת הימנית ובצוואר העליון האחורי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הטיח ראשה בדלת הרכב וחנק אותה בידיו</w:t>
      </w:r>
      <w:r>
        <w:rPr>
          <w:rtl w:val="true"/>
        </w:rPr>
        <w:t xml:space="preserve">. </w:t>
      </w:r>
      <w:r>
        <w:rPr>
          <w:rtl w:val="true"/>
        </w:rPr>
        <w:t>המתלוננת נאבקה במערער</w:t>
      </w:r>
      <w:r>
        <w:rPr>
          <w:rtl w:val="true"/>
        </w:rPr>
        <w:t xml:space="preserve">, </w:t>
      </w:r>
      <w:r>
        <w:rPr>
          <w:rtl w:val="true"/>
        </w:rPr>
        <w:t>עד שתש כוחה והעמידה פני מתה</w:t>
      </w:r>
      <w:r>
        <w:rPr>
          <w:rtl w:val="true"/>
        </w:rPr>
        <w:t xml:space="preserve">, </w:t>
      </w:r>
      <w:r>
        <w:rPr>
          <w:rtl w:val="true"/>
        </w:rPr>
        <w:t>אז בעט בה המערער והשליכה מרכבו כשהיא חבולה ומדממת</w:t>
      </w:r>
      <w:r>
        <w:rPr>
          <w:rtl w:val="true"/>
        </w:rPr>
        <w:t xml:space="preserve">, </w:t>
      </w:r>
      <w:r>
        <w:rPr>
          <w:rtl w:val="true"/>
        </w:rPr>
        <w:t>ונמלט בנהיגה מהמקום</w:t>
      </w:r>
      <w:r>
        <w:rPr>
          <w:rtl w:val="true"/>
        </w:rPr>
        <w:t xml:space="preserve">. </w:t>
      </w:r>
      <w:r>
        <w:rPr>
          <w:rtl w:val="true"/>
        </w:rPr>
        <w:t>עובר אורח שהבחין במתלוננת הזעיק עזרה רפואית</w:t>
      </w:r>
      <w:r>
        <w:rPr>
          <w:rtl w:val="true"/>
        </w:rPr>
        <w:t xml:space="preserve">, </w:t>
      </w:r>
      <w:r>
        <w:rPr>
          <w:rtl w:val="true"/>
        </w:rPr>
        <w:t>והיא פונתה לבית החולים כשהיא בסכנת חיים</w:t>
      </w:r>
      <w:r>
        <w:rPr>
          <w:rtl w:val="true"/>
        </w:rPr>
        <w:t xml:space="preserve">. </w:t>
      </w:r>
      <w:r>
        <w:rPr>
          <w:rtl w:val="true"/>
        </w:rPr>
        <w:t>המתלוננת אושפזה למשך שלושה ימים</w:t>
      </w:r>
      <w:r>
        <w:rPr>
          <w:rtl w:val="true"/>
        </w:rPr>
        <w:t xml:space="preserve">, </w:t>
      </w:r>
      <w:r>
        <w:rPr>
          <w:rtl w:val="true"/>
        </w:rPr>
        <w:t>במהלכם עברה ניתוחים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בעקבות הדקירות והחתכים נגרמה למתלוננת חבלה עצבית אשר הביאה לביצוע ניתוח נוסף בעין ימין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1.7.2014</w:t>
      </w:r>
      <w:r>
        <w:rPr>
          <w:rtl w:val="true"/>
        </w:rPr>
        <w:t xml:space="preserve"> </w:t>
      </w:r>
      <w:r>
        <w:rPr>
          <w:rtl w:val="true"/>
        </w:rPr>
        <w:t xml:space="preserve">הגישה המשיבה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נגד המערער כתב אישום שמנה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בגין אירועים אלימים מרובים שביצע נגד המתלוננת</w:t>
      </w:r>
      <w:r>
        <w:rPr>
          <w:rtl w:val="true"/>
        </w:rPr>
        <w:t xml:space="preserve">. </w:t>
      </w:r>
      <w:r>
        <w:rPr>
          <w:rtl w:val="true"/>
        </w:rPr>
        <w:t>הליך ההוכחות בתיק כלל את עדויות המתלוננת</w:t>
      </w:r>
      <w:r>
        <w:rPr>
          <w:rtl w:val="true"/>
        </w:rPr>
        <w:t xml:space="preserve">,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חברים ומקורבים</w:t>
      </w:r>
      <w:r>
        <w:rPr>
          <w:rtl w:val="true"/>
        </w:rPr>
        <w:t xml:space="preserve">, </w:t>
      </w:r>
      <w:r>
        <w:rPr>
          <w:rtl w:val="true"/>
        </w:rPr>
        <w:t>הורי המערער</w:t>
      </w:r>
      <w:r>
        <w:rPr>
          <w:rtl w:val="true"/>
        </w:rPr>
        <w:t xml:space="preserve">,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גורמי טיפול ועדים נוספים שבאו במגע עם המתלוננת והמערער</w:t>
      </w:r>
      <w:r>
        <w:rPr>
          <w:rtl w:val="true"/>
        </w:rPr>
        <w:t xml:space="preserve">. </w:t>
      </w:r>
      <w:r>
        <w:rPr>
          <w:rtl w:val="true"/>
        </w:rPr>
        <w:t>בעקבות טענות המערער כי בעת אירוע ניסיון הרצח היה מצוי במצב של אי שפיות ותחת השפעת סמים</w:t>
      </w:r>
      <w:r>
        <w:rPr>
          <w:rtl w:val="true"/>
        </w:rPr>
        <w:t xml:space="preserve">, </w:t>
      </w:r>
      <w:r>
        <w:rPr>
          <w:rtl w:val="true"/>
        </w:rPr>
        <w:t xml:space="preserve">הוגשו חוות דעת מטעם המשיבה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ומטעם המערער בעניין מצבו הנפשי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9.11.2016</w:t>
      </w:r>
      <w:r>
        <w:rPr>
          <w:rtl w:val="true"/>
        </w:rPr>
        <w:t xml:space="preserve"> </w:t>
      </w:r>
      <w:r>
        <w:rPr>
          <w:rtl w:val="true"/>
        </w:rPr>
        <w:t>ניתנה הכרעת דינו של המערער בבית המשפט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בהכרעת הדין צוין כי מערכת היחסים בין המערער והמתלוננת הייתה מורכבת ובעייתית </w:t>
      </w:r>
      <w:r>
        <w:rPr>
          <w:rtl w:val="true"/>
        </w:rPr>
        <w:t>–</w:t>
      </w:r>
      <w:r>
        <w:rPr>
          <w:rtl w:val="true"/>
        </w:rPr>
        <w:t xml:space="preserve"> המערער נהג באלימות כלפי המתלוננת לאורך מרבית הקשר</w:t>
      </w:r>
      <w:r>
        <w:rPr>
          <w:rtl w:val="true"/>
        </w:rPr>
        <w:t xml:space="preserve">, </w:t>
      </w:r>
      <w:r>
        <w:rPr>
          <w:rtl w:val="true"/>
        </w:rPr>
        <w:t>המערער והמתלוננת נטלו סמים קשים יחדיו בתדירות גבוהה ומערכת היחסים הייתה שזורה באלימות</w:t>
      </w:r>
      <w:r>
        <w:rPr>
          <w:rtl w:val="true"/>
        </w:rPr>
        <w:t xml:space="preserve">. </w:t>
      </w:r>
      <w:r>
        <w:rPr>
          <w:rtl w:val="true"/>
        </w:rPr>
        <w:t>עוד ציין בית המשפט קמא כי עדות המתלוננת הותירה רושם מהימן ונתמכה בראיות חיצוניות</w:t>
      </w:r>
      <w:r>
        <w:rPr>
          <w:rtl w:val="true"/>
        </w:rPr>
        <w:t xml:space="preserve">, </w:t>
      </w:r>
      <w:r>
        <w:rPr>
          <w:rtl w:val="true"/>
        </w:rPr>
        <w:t xml:space="preserve">ולעומתה </w:t>
      </w:r>
      <w:r>
        <w:rPr>
          <w:rtl w:val="true"/>
        </w:rPr>
        <w:t>–</w:t>
      </w:r>
      <w:r>
        <w:rPr>
          <w:rtl w:val="true"/>
        </w:rPr>
        <w:t xml:space="preserve"> עדות המערער הותירה את הרושם ההפוך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הרשיע בית המשפט קמא את המערער בעבירות שפורטו בפתיח פסק דין זה</w:t>
      </w:r>
      <w:r>
        <w:rPr>
          <w:rtl w:val="true"/>
        </w:rPr>
        <w:t xml:space="preserve">, </w:t>
      </w:r>
      <w:r>
        <w:rPr>
          <w:rtl w:val="true"/>
        </w:rPr>
        <w:t>תוך שהוא דוחה את טענותיו לגבי מצבו הנפשי וכן את טענותיו לגבי השפעת סמים על מעשיו</w:t>
      </w:r>
      <w:r>
        <w:rPr>
          <w:rtl w:val="true"/>
        </w:rPr>
        <w:t xml:space="preserve">, </w:t>
      </w:r>
      <w:r>
        <w:rPr>
          <w:rtl w:val="true"/>
        </w:rPr>
        <w:t>וזיכה את המערער מיתרת האישומים שנכללו בכתב האישום</w:t>
      </w:r>
      <w:r>
        <w:rPr>
          <w:rtl w:val="true"/>
        </w:rPr>
        <w:t xml:space="preserve">, </w:t>
      </w:r>
      <w:r>
        <w:rPr>
          <w:rtl w:val="true"/>
        </w:rPr>
        <w:t>מחמת הספק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הראיות לעונש</w:t>
      </w:r>
      <w:r>
        <w:rPr>
          <w:rtl w:val="true"/>
        </w:rPr>
        <w:t xml:space="preserve">, </w:t>
      </w:r>
      <w:r>
        <w:rPr>
          <w:rtl w:val="true"/>
        </w:rPr>
        <w:t>העידו מטעם המערער עדי אופי</w:t>
      </w:r>
      <w:r>
        <w:rPr>
          <w:rtl w:val="true"/>
        </w:rPr>
        <w:t xml:space="preserve">, </w:t>
      </w:r>
      <w:r>
        <w:rPr>
          <w:rtl w:val="true"/>
        </w:rPr>
        <w:t>בין היתר חבריו לעבודתו הקודמת ומכרי המשפחה</w:t>
      </w:r>
      <w:r>
        <w:rPr>
          <w:rtl w:val="true"/>
        </w:rPr>
        <w:t xml:space="preserve">, </w:t>
      </w:r>
      <w:r>
        <w:rPr>
          <w:rtl w:val="true"/>
        </w:rPr>
        <w:t>אשר תיארו אותו כעובד מסור ואדם נורמטיבי</w:t>
      </w:r>
      <w:r>
        <w:rPr>
          <w:rtl w:val="true"/>
        </w:rPr>
        <w:t xml:space="preserve">. </w:t>
      </w:r>
      <w:r>
        <w:rPr>
          <w:rtl w:val="true"/>
        </w:rPr>
        <w:t>גם אמו של המערער</w:t>
      </w:r>
      <w:r>
        <w:rPr>
          <w:rtl w:val="true"/>
        </w:rPr>
        <w:t xml:space="preserve">, </w:t>
      </w:r>
      <w:r>
        <w:rPr>
          <w:rtl w:val="true"/>
        </w:rPr>
        <w:t>הגישה לבית המשפט מכתב בו פירטה את קורות המשפחה</w:t>
      </w:r>
      <w:r>
        <w:rPr>
          <w:rtl w:val="true"/>
        </w:rPr>
        <w:t xml:space="preserve">, </w:t>
      </w:r>
      <w:r>
        <w:rPr>
          <w:rtl w:val="true"/>
        </w:rPr>
        <w:t xml:space="preserve">והתייחסה לטרגדיה שהתרחשה בשנת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עם מות אחיו של המערער בתאונת דרכים</w:t>
      </w:r>
      <w:r>
        <w:rPr>
          <w:rtl w:val="true"/>
        </w:rPr>
        <w:t xml:space="preserve">, </w:t>
      </w:r>
      <w:r>
        <w:rPr>
          <w:rtl w:val="true"/>
        </w:rPr>
        <w:t>ולקשיים כלכליים בהם נאבקה המשפחה לאורך 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תסקיר שירות המבחן מיום </w:t>
      </w:r>
      <w:r>
        <w:rPr/>
        <w:t>17.1.2017</w:t>
      </w:r>
      <w:r>
        <w:rPr>
          <w:rtl w:val="true"/>
        </w:rPr>
        <w:t xml:space="preserve"> </w:t>
      </w:r>
      <w:r>
        <w:rPr>
          <w:rtl w:val="true"/>
        </w:rPr>
        <w:t>תיאר את תולדות חייו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בוגר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ושירות צבאי מלא</w:t>
      </w:r>
      <w:r>
        <w:rPr>
          <w:rtl w:val="true"/>
        </w:rPr>
        <w:t xml:space="preserve">, </w:t>
      </w:r>
      <w:r>
        <w:rPr>
          <w:rtl w:val="true"/>
        </w:rPr>
        <w:t>אשר עבד במשרה קבועה במשך עשור בקופת חולים</w:t>
      </w:r>
      <w:r>
        <w:rPr>
          <w:rtl w:val="true"/>
        </w:rPr>
        <w:t xml:space="preserve">. </w:t>
      </w:r>
      <w:r>
        <w:rPr>
          <w:rtl w:val="true"/>
        </w:rPr>
        <w:t>עוד התייחס התסקיר למות אחיו של המערער</w:t>
      </w:r>
      <w:r>
        <w:rPr>
          <w:rtl w:val="true"/>
        </w:rPr>
        <w:t xml:space="preserve">, </w:t>
      </w:r>
      <w:r>
        <w:rPr>
          <w:rtl w:val="true"/>
        </w:rPr>
        <w:t>שהביא אותו לעזוב את בית הוריו בגיל צעיר ולהתגורר בבית סבו</w:t>
      </w:r>
      <w:r>
        <w:rPr>
          <w:rtl w:val="true"/>
        </w:rPr>
        <w:t xml:space="preserve">. </w:t>
      </w:r>
      <w:r>
        <w:rPr>
          <w:rtl w:val="true"/>
        </w:rPr>
        <w:t>שירות המבחן ציין כי למערער אין עבר פלילי קודם</w:t>
      </w:r>
      <w:r>
        <w:rPr>
          <w:rtl w:val="true"/>
        </w:rPr>
        <w:t xml:space="preserve">, </w:t>
      </w:r>
      <w:r>
        <w:rPr>
          <w:rtl w:val="true"/>
        </w:rPr>
        <w:t>אך בנוגע לעבירות בהן נאשם התרשם שירות המבחן כי המערער אינו לוקח אחריות</w:t>
      </w:r>
      <w:r>
        <w:rPr>
          <w:rtl w:val="true"/>
        </w:rPr>
        <w:t xml:space="preserve">, </w:t>
      </w:r>
      <w:r>
        <w:rPr>
          <w:rtl w:val="true"/>
        </w:rPr>
        <w:t>משליך את התנהגותו האלימה על שימושו בסמים</w:t>
      </w:r>
      <w:r>
        <w:rPr>
          <w:rtl w:val="true"/>
        </w:rPr>
        <w:t xml:space="preserve">, </w:t>
      </w:r>
      <w:r>
        <w:rPr>
          <w:rtl w:val="true"/>
        </w:rPr>
        <w:t>ואינו מצליח לגלות אמפתיה כלפי האחר</w:t>
      </w:r>
      <w:r>
        <w:rPr>
          <w:rtl w:val="true"/>
        </w:rPr>
        <w:t xml:space="preserve">. </w:t>
      </w:r>
      <w:r>
        <w:rPr>
          <w:rtl w:val="true"/>
        </w:rPr>
        <w:t>עוד עולה מתסקיר שירות המבחן כי המערער לוקח חלק בפעילויות הטיפוליות במסגרת הכלא</w:t>
      </w:r>
      <w:r>
        <w:rPr>
          <w:rtl w:val="true"/>
        </w:rPr>
        <w:t xml:space="preserve">, </w:t>
      </w:r>
      <w:r>
        <w:rPr>
          <w:rtl w:val="true"/>
        </w:rPr>
        <w:t>ולמרות זאת הוא מתקשה לגלות מודעות עצמית בנוגע למאפייני אישיותו שהובילו לביצוע העבירות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שירות המבחן העריך שקיימת רמת סיכון גבוהה להישנות התנהגות עוברת חוק בעתיד</w:t>
      </w:r>
      <w:r>
        <w:rPr>
          <w:rtl w:val="true"/>
        </w:rPr>
        <w:t xml:space="preserve">, </w:t>
      </w:r>
      <w:r>
        <w:rPr>
          <w:rtl w:val="true"/>
        </w:rPr>
        <w:t>ונמנע מהמלצה טיפולית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1.2.2017</w:t>
      </w:r>
      <w:r>
        <w:rPr>
          <w:rtl w:val="true"/>
        </w:rPr>
        <w:t xml:space="preserve"> </w:t>
      </w:r>
      <w:r>
        <w:rPr>
          <w:rtl w:val="true"/>
        </w:rPr>
        <w:t>הוגש תסקיר קורבן לגבי המתלוננת</w:t>
      </w:r>
      <w:r>
        <w:rPr>
          <w:rtl w:val="true"/>
        </w:rPr>
        <w:t xml:space="preserve">. </w:t>
      </w:r>
      <w:r>
        <w:rPr>
          <w:rtl w:val="true"/>
        </w:rPr>
        <w:t>בתסקיר פורטו הנזקים שנגרמו לה בעקבות מעשי המערער</w:t>
      </w:r>
      <w:r>
        <w:rPr>
          <w:rtl w:val="true"/>
        </w:rPr>
        <w:t xml:space="preserve">; </w:t>
      </w:r>
      <w:r>
        <w:rPr>
          <w:rtl w:val="true"/>
        </w:rPr>
        <w:t>מבחינה פיזית</w:t>
      </w:r>
      <w:r>
        <w:rPr>
          <w:rtl w:val="true"/>
        </w:rPr>
        <w:t xml:space="preserve">, </w:t>
      </w:r>
      <w:r>
        <w:rPr>
          <w:rtl w:val="true"/>
        </w:rPr>
        <w:t>צוין כי המתלוננת נזקקה לטיפול אף לאחר השחרור מהאשפוז</w:t>
      </w:r>
      <w:r>
        <w:rPr>
          <w:rtl w:val="true"/>
        </w:rPr>
        <w:t xml:space="preserve">, </w:t>
      </w:r>
      <w:r>
        <w:rPr>
          <w:rtl w:val="true"/>
        </w:rPr>
        <w:t>וכי היא סובלת מצלקות רבות</w:t>
      </w:r>
      <w:r>
        <w:rPr>
          <w:rtl w:val="true"/>
        </w:rPr>
        <w:t xml:space="preserve">. </w:t>
      </w:r>
      <w:r>
        <w:rPr>
          <w:rtl w:val="true"/>
        </w:rPr>
        <w:t>כן צוין כי היא מעוניינת בביצוע ניתוחים בכדי לטשטשן</w:t>
      </w:r>
      <w:r>
        <w:rPr>
          <w:rtl w:val="true"/>
        </w:rPr>
        <w:t xml:space="preserve">, </w:t>
      </w:r>
      <w:r>
        <w:rPr>
          <w:rtl w:val="true"/>
        </w:rPr>
        <w:t>אלא שהדבר כרוך בעלות גבוהה ולכן טרם נעשה</w:t>
      </w:r>
      <w:r>
        <w:rPr>
          <w:rtl w:val="true"/>
        </w:rPr>
        <w:t xml:space="preserve">. </w:t>
      </w:r>
      <w:r>
        <w:rPr>
          <w:rtl w:val="true"/>
        </w:rPr>
        <w:t>עוד צוין בתסקיר כי המתלוננת ביקרה במרפאה לבריאות הנפש</w:t>
      </w:r>
      <w:r>
        <w:rPr>
          <w:rtl w:val="true"/>
        </w:rPr>
        <w:t xml:space="preserve">, </w:t>
      </w:r>
      <w:r>
        <w:rPr>
          <w:rtl w:val="true"/>
        </w:rPr>
        <w:t>שם טופלה במשך תקופה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ממשיכה היא בטיפול תרופתי וסובלת מחרדות ודיכאון בעקבות האירועים</w:t>
      </w:r>
      <w:r>
        <w:rPr>
          <w:rtl w:val="true"/>
        </w:rPr>
        <w:t xml:space="preserve">. </w:t>
      </w:r>
      <w:r>
        <w:rPr>
          <w:rtl w:val="true"/>
        </w:rPr>
        <w:t>צוין כי תהליך השיקום שצפוי למתלוננת עוד ארוך</w:t>
      </w:r>
      <w:r>
        <w:rPr>
          <w:rtl w:val="true"/>
        </w:rPr>
        <w:t xml:space="preserve">, </w:t>
      </w:r>
      <w:r>
        <w:rPr>
          <w:rtl w:val="true"/>
        </w:rPr>
        <w:t>והיא אינה מצליחה לחזור לתפקוד מלא ומתקשה להתפרנס</w:t>
      </w:r>
      <w:r>
        <w:rPr>
          <w:rtl w:val="true"/>
        </w:rPr>
        <w:t xml:space="preserve">. </w:t>
      </w:r>
      <w:r>
        <w:rPr>
          <w:rtl w:val="true"/>
        </w:rPr>
        <w:t xml:space="preserve">המוסד לביטוח לאומי קבע כי קיימת לה נכות בשיעור של </w:t>
      </w:r>
      <w:r>
        <w:rPr/>
        <w:t>28%</w:t>
      </w:r>
      <w:r>
        <w:rPr>
          <w:rtl w:val="true"/>
        </w:rPr>
        <w:t xml:space="preserve">, </w:t>
      </w:r>
      <w:r>
        <w:rPr>
          <w:rtl w:val="true"/>
        </w:rPr>
        <w:t>והיא נערכת להגשת בקשה להעלאת אחוזי הנכות עקב החמרה במצבה הנפשי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 xml:space="preserve">בגזר דינו מיום </w:t>
      </w:r>
      <w:r>
        <w:rPr/>
        <w:t>22.2.2017</w:t>
      </w:r>
      <w:r>
        <w:rPr>
          <w:rtl w:val="true"/>
        </w:rPr>
        <w:t xml:space="preserve"> </w:t>
      </w:r>
      <w:r>
        <w:rPr>
          <w:rtl w:val="true"/>
        </w:rPr>
        <w:t>קבע בית המשפט קמא כי יש להתייחס לכלל העבירות בהן הורשע המערער כאירוע אחד לצורך קביעת מתחם ענישה הולם אחד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וגזר עליו עונש כמפורט בפתיח פסק דין זה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המערער הגיש ערעור הן על הכרעת הדין והן על גזר הדין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 ששמע את הערות המותב לעניין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הודיע המערער כי הוא חוזר בו מחלק זה של הערעור</w:t>
      </w:r>
      <w:r>
        <w:rPr>
          <w:rtl w:val="true"/>
        </w:rPr>
        <w:t xml:space="preserve">, </w:t>
      </w:r>
      <w:r>
        <w:rPr>
          <w:rtl w:val="true"/>
        </w:rPr>
        <w:t>ומתמקד בטענותיו לעניין עונש המאסר בפועל שנגזר 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טענותיו בכתב</w:t>
      </w:r>
      <w:r>
        <w:rPr>
          <w:rtl w:val="true"/>
        </w:rPr>
        <w:t xml:space="preserve">, </w:t>
      </w:r>
      <w:r>
        <w:rPr>
          <w:rtl w:val="true"/>
        </w:rPr>
        <w:t>וכן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טען המערער כי עונש המאסר בפועל שהוטל עליו נוטה לחומרה</w:t>
      </w:r>
      <w:r>
        <w:rPr>
          <w:rtl w:val="true"/>
        </w:rPr>
        <w:t xml:space="preserve">, </w:t>
      </w:r>
      <w:r>
        <w:rPr>
          <w:rtl w:val="true"/>
        </w:rPr>
        <w:t>וכי בית המשפט קמא לא נתן משקל משמעותי ללקיחת האחריות והבעת החרטה של המערער</w:t>
      </w:r>
      <w:r>
        <w:rPr>
          <w:rtl w:val="true"/>
        </w:rPr>
        <w:t xml:space="preserve">, </w:t>
      </w:r>
      <w:r>
        <w:rPr>
          <w:rtl w:val="true"/>
        </w:rPr>
        <w:t>לנסיבות חייו ולהיעדר עבר פלילי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 המערער כי לא ניתן משקל משמעותי לכך שהמעשים בהם הורשע התבצעו כשברקע נעשה שימוש מאסיבי בסמים קשים</w:t>
      </w:r>
      <w:r>
        <w:rPr>
          <w:rtl w:val="true"/>
        </w:rPr>
        <w:t xml:space="preserve">, </w:t>
      </w:r>
      <w:r>
        <w:rPr>
          <w:rtl w:val="true"/>
        </w:rPr>
        <w:t>הן מצדו והן מצד המתלוננת</w:t>
      </w:r>
      <w:r>
        <w:rPr>
          <w:rtl w:val="true"/>
        </w:rPr>
        <w:t xml:space="preserve">, </w:t>
      </w:r>
      <w:r>
        <w:rPr>
          <w:rtl w:val="true"/>
        </w:rPr>
        <w:t>אשר השפיע על התנהגותו</w:t>
      </w:r>
      <w:r>
        <w:rPr>
          <w:rtl w:val="true"/>
        </w:rPr>
        <w:t xml:space="preserve">. </w:t>
      </w:r>
      <w:r>
        <w:rPr>
          <w:rtl w:val="true"/>
        </w:rPr>
        <w:t>בנוסף טען כי לא ניתן משקל מספיק למצבו הנפשי של המערער</w:t>
      </w:r>
      <w:r>
        <w:rPr>
          <w:rtl w:val="true"/>
        </w:rPr>
        <w:t xml:space="preserve">, </w:t>
      </w:r>
      <w:r>
        <w:rPr>
          <w:rtl w:val="true"/>
        </w:rPr>
        <w:t>שהיה בכי רע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ציין בא כוחו הנוכחי של המערער כי גם אם לא נטענו הטענות על ידי באת כוחו הקודמת בצורה מפורשת במסגרת הטיעונים לעונש</w:t>
      </w:r>
      <w:r>
        <w:rPr>
          <w:rtl w:val="true"/>
        </w:rPr>
        <w:t xml:space="preserve">, </w:t>
      </w:r>
      <w:r>
        <w:rPr>
          <w:rtl w:val="true"/>
        </w:rPr>
        <w:t>לפני בית המשפט קמא הייתה מונחת התמונה המלאה לעניין השימוש בסמים ומצבו הנפשי של המערער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היה עליו להתייחס לכך ולתת את המשקל הראוי לקולא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טענה נוספת שהעלה המערער היא כי בית המשפט קמא לא ייחס משמעות מספקת לכך שמערכת היחסים עם המתלוננת הייתה מורכבת ובעייתית</w:t>
      </w:r>
      <w:r>
        <w:rPr>
          <w:rtl w:val="true"/>
        </w:rPr>
        <w:t xml:space="preserve">, </w:t>
      </w:r>
      <w:r>
        <w:rPr>
          <w:rtl w:val="true"/>
        </w:rPr>
        <w:t>וכי המתלוננת הודתה שתקפה גם היא את המערער לא פעם</w:t>
      </w:r>
      <w:r>
        <w:rPr>
          <w:rtl w:val="true"/>
        </w:rPr>
        <w:t xml:space="preserve">, </w:t>
      </w:r>
      <w:r>
        <w:rPr>
          <w:rtl w:val="true"/>
        </w:rPr>
        <w:t>ונקטה אלימות כלפיו</w:t>
      </w:r>
      <w:r>
        <w:rPr>
          <w:rtl w:val="true"/>
        </w:rPr>
        <w:t xml:space="preserve">. </w:t>
      </w:r>
      <w:r>
        <w:rPr>
          <w:rtl w:val="true"/>
        </w:rPr>
        <w:t>עוד טען המערער כי לא ניתן משקל לכך שעבר בבית הסוהר הליך גמילה מסמים</w:t>
      </w:r>
      <w:r>
        <w:rPr>
          <w:rtl w:val="true"/>
        </w:rPr>
        <w:t xml:space="preserve">, </w:t>
      </w:r>
      <w:r>
        <w:rPr>
          <w:rtl w:val="true"/>
        </w:rPr>
        <w:t>וכי הוא מעוניין להשתקם</w:t>
      </w:r>
      <w:r>
        <w:rPr>
          <w:rtl w:val="true"/>
        </w:rPr>
        <w:t xml:space="preserve">. </w:t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טען המערער נגד מתחם הענישה שקבע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קרי </w:t>
      </w:r>
      <w:r>
        <w:rPr/>
        <w:t>18-11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שכן לטעמו הוא רחב ומחמיר מהראוי</w:t>
      </w:r>
      <w:r>
        <w:rPr>
          <w:rtl w:val="true"/>
        </w:rPr>
        <w:t xml:space="preserve">, </w:t>
      </w:r>
      <w:r>
        <w:rPr>
          <w:rtl w:val="true"/>
        </w:rPr>
        <w:t>והוסיף כי הפסיקה שהובאה על ידי בית המשפט קמא בקבעו את המתחם ואת העונש הראוי עוסקת במקרים חמורים בהרבה מהמקרה דנן</w:t>
      </w:r>
      <w:r>
        <w:rPr>
          <w:rtl w:val="true"/>
        </w:rPr>
        <w:t xml:space="preserve">, </w:t>
      </w:r>
      <w:r>
        <w:rPr>
          <w:rtl w:val="true"/>
        </w:rPr>
        <w:t>וכי לא ניתן להקיש ממנה לענייננו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המשיבה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גורסת כי טענותיו של המערער אינן מקימות עילה להתערבות</w:t>
      </w:r>
      <w:r>
        <w:rPr>
          <w:rtl w:val="true"/>
        </w:rPr>
        <w:t xml:space="preserve">, </w:t>
      </w:r>
      <w:r>
        <w:rPr>
          <w:rtl w:val="true"/>
        </w:rPr>
        <w:t>שכן אינן מצביעות על טעות משפטית</w:t>
      </w:r>
      <w:r>
        <w:rPr>
          <w:rtl w:val="true"/>
        </w:rPr>
        <w:t xml:space="preserve">, </w:t>
      </w:r>
      <w:r>
        <w:rPr>
          <w:rtl w:val="true"/>
        </w:rPr>
        <w:t>אלא מתמקדות במשקל שנתן בית המשפט לשיקולים השונים בגזר הדין</w:t>
      </w:r>
      <w:r>
        <w:rPr>
          <w:rtl w:val="true"/>
        </w:rPr>
        <w:t xml:space="preserve">, </w:t>
      </w:r>
      <w:r>
        <w:rPr>
          <w:rtl w:val="true"/>
        </w:rPr>
        <w:t>ובכגון דא אין עילה להתערבות בעונש</w:t>
      </w:r>
      <w:r>
        <w:rPr>
          <w:rtl w:val="true"/>
        </w:rPr>
        <w:t xml:space="preserve">. </w:t>
      </w:r>
      <w:r>
        <w:rPr>
          <w:rtl w:val="true"/>
        </w:rPr>
        <w:t xml:space="preserve">המשיבה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טוענת כי העונש שהוטל על המערער איננו סוטה במידה ממשית מן העונש ההולם בנסיבות המקרה</w:t>
      </w:r>
      <w:r>
        <w:rPr>
          <w:rtl w:val="true"/>
        </w:rPr>
        <w:t xml:space="preserve">. </w:t>
      </w:r>
      <w:r>
        <w:rPr>
          <w:rtl w:val="true"/>
        </w:rPr>
        <w:t xml:space="preserve">לביסוס עמדתה זו היא מדגישה כי המערער לא הורשע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בניסיון רצח</w:t>
      </w:r>
      <w:r>
        <w:rPr>
          <w:rtl w:val="true"/>
        </w:rPr>
        <w:t xml:space="preserve">, </w:t>
      </w:r>
      <w:r>
        <w:rPr>
          <w:rtl w:val="true"/>
        </w:rPr>
        <w:t>אלא בריבוי אישומים ועבירות</w:t>
      </w:r>
      <w:r>
        <w:rPr>
          <w:rtl w:val="true"/>
        </w:rPr>
        <w:t xml:space="preserve">, </w:t>
      </w:r>
      <w:r>
        <w:rPr>
          <w:rtl w:val="true"/>
        </w:rPr>
        <w:t>במסגרת מערכת יחסים אלימה</w:t>
      </w:r>
      <w:r>
        <w:rPr>
          <w:rtl w:val="true"/>
        </w:rPr>
        <w:t xml:space="preserve">. </w:t>
      </w:r>
      <w:r>
        <w:rPr>
          <w:rtl w:val="true"/>
        </w:rPr>
        <w:t>עקרון ההלימה מחייב אף הוא את דחיית הערעור</w:t>
      </w:r>
      <w:r>
        <w:rPr>
          <w:rtl w:val="true"/>
        </w:rPr>
        <w:t xml:space="preserve">, </w:t>
      </w:r>
      <w:r>
        <w:rPr>
          <w:rtl w:val="true"/>
        </w:rPr>
        <w:t>שכן יש לשמור על הלימה בין עוצמת הפגיעה במתלוננת לעוצמת הענישה כלפי המערער</w:t>
      </w:r>
      <w:r>
        <w:rPr>
          <w:rtl w:val="true"/>
        </w:rPr>
        <w:t xml:space="preserve">, </w:t>
      </w:r>
      <w:r>
        <w:rPr>
          <w:rtl w:val="true"/>
        </w:rPr>
        <w:t>והדבר נכון ביתר שאת עת מדובר בעבירות חמורות שגרמו פגיעה קשה למתלוננת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>לאחר שעיינתי בטענות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הגעתי למסקנה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הלכה מושרשת היא</w:t>
      </w:r>
      <w:r>
        <w:rPr>
          <w:rtl w:val="true"/>
        </w:rPr>
        <w:t xml:space="preserve">, </w:t>
      </w:r>
      <w:r>
        <w:rPr>
          <w:rtl w:val="true"/>
        </w:rPr>
        <w:t>כי ערכאת הערעור אינה נוטה להתערב בעונש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</w:t>
      </w:r>
      <w:r>
        <w:rPr>
          <w:rtl w:val="true"/>
        </w:rPr>
        <w:t xml:space="preserve">, </w:t>
      </w:r>
      <w:r>
        <w:rPr>
          <w:rtl w:val="true"/>
        </w:rPr>
        <w:t>בהם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כשמדובר בסטייה ממדיניות הענישה המקובלת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25.10.2015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13.10.2015</w:t>
      </w:r>
      <w:r>
        <w:rPr>
          <w:rtl w:val="true"/>
        </w:rPr>
        <w:t xml:space="preserve">)).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מצאתי כי העונש שנגזר על המערער חורג בצורה מהותית מרמת הענישה המקובלת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אין לכחד </w:t>
      </w:r>
      <w:r>
        <w:rPr>
          <w:rtl w:val="true"/>
        </w:rPr>
        <w:t>–</w:t>
      </w:r>
      <w:r>
        <w:rPr>
          <w:rtl w:val="true"/>
        </w:rPr>
        <w:t xml:space="preserve"> העונש שנפסק למערער הוא עונש חמור</w:t>
      </w:r>
      <w:r>
        <w:rPr>
          <w:rtl w:val="true"/>
        </w:rPr>
        <w:t xml:space="preserve">, </w:t>
      </w:r>
      <w:r>
        <w:rPr>
          <w:rtl w:val="true"/>
        </w:rPr>
        <w:t>במיוחד בהתחשב בגילו הצעיר יחסית ובכך שהוא נעדר עבר פלילי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עונש זה הולם את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ועולה בקנה אחד עם הענישה הנוהגת</w:t>
      </w:r>
      <w:r>
        <w:rPr>
          <w:rtl w:val="true"/>
        </w:rPr>
        <w:t xml:space="preserve">. </w:t>
      </w:r>
      <w:r>
        <w:rPr>
          <w:rtl w:val="true"/>
        </w:rPr>
        <w:t>במשך רוב תקופת הזוגיות</w:t>
      </w:r>
      <w:r>
        <w:rPr>
          <w:rtl w:val="true"/>
        </w:rPr>
        <w:t xml:space="preserve">, </w:t>
      </w:r>
      <w:r>
        <w:rPr>
          <w:rtl w:val="true"/>
        </w:rPr>
        <w:t>התעלל המערער במתלוננת דרך קבע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ניסה לרצוח אותה בצורה אכזרית כאשר דקר אותה דקירות מרובות</w:t>
      </w:r>
      <w:r>
        <w:rPr>
          <w:rtl w:val="true"/>
        </w:rPr>
        <w:t xml:space="preserve">, </w:t>
      </w:r>
      <w:r>
        <w:rPr>
          <w:rtl w:val="true"/>
        </w:rPr>
        <w:t>חנק אותה ולבסוף</w:t>
      </w:r>
      <w:r>
        <w:rPr>
          <w:rtl w:val="true"/>
        </w:rPr>
        <w:t xml:space="preserve"> </w:t>
      </w:r>
      <w:r>
        <w:rPr>
          <w:rtl w:val="true"/>
        </w:rPr>
        <w:t>השליך אותה מרכבו</w:t>
      </w:r>
      <w:r>
        <w:rPr>
          <w:rtl w:val="true"/>
        </w:rPr>
        <w:t xml:space="preserve">, </w:t>
      </w:r>
      <w:r>
        <w:rPr>
          <w:rtl w:val="true"/>
        </w:rPr>
        <w:t>והותיר אותה להתבוסס בדמה במקום מבודד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אשר הסתיימה לפני שבועות אחדים בקול זעקה מרה</w:t>
      </w:r>
      <w:r>
        <w:rPr>
          <w:rtl w:val="true"/>
        </w:rPr>
        <w:t xml:space="preserve">, </w:t>
      </w:r>
      <w:r>
        <w:rPr>
          <w:rtl w:val="true"/>
        </w:rPr>
        <w:t>לימדה כי ממשות הסכנה הנשקפת לנשים מאלימות במשפחה איננה נחלת העבר</w:t>
      </w:r>
      <w:r>
        <w:rPr>
          <w:rtl w:val="true"/>
        </w:rPr>
        <w:t xml:space="preserve">. </w:t>
      </w:r>
      <w:r>
        <w:rPr>
          <w:rtl w:val="true"/>
        </w:rPr>
        <w:t xml:space="preserve">במהלך שנה אחת בלבד נרצחו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 xml:space="preserve">נשים על ידי בני זוגן וקרוביהן </w:t>
      </w:r>
      <w:r>
        <w:rPr>
          <w:rtl w:val="true"/>
        </w:rPr>
        <w:t>–</w:t>
      </w:r>
      <w:r>
        <w:rPr>
          <w:rtl w:val="true"/>
        </w:rPr>
        <w:t xml:space="preserve"> נתון מצמרר המשקף מציאות חברתית קשה עמה לא ניתן להשלים</w:t>
      </w:r>
      <w:r>
        <w:rPr>
          <w:rtl w:val="true"/>
        </w:rPr>
        <w:t xml:space="preserve">. </w:t>
      </w:r>
      <w:r>
        <w:rPr>
          <w:rtl w:val="true"/>
        </w:rPr>
        <w:t>בית משפט זה עמד</w:t>
      </w:r>
      <w:r>
        <w:rPr>
          <w:rtl w:val="true"/>
        </w:rPr>
        <w:t xml:space="preserve">, </w:t>
      </w:r>
      <w:r>
        <w:rPr>
          <w:rtl w:val="true"/>
        </w:rPr>
        <w:t>וחזר ועמד</w:t>
      </w:r>
      <w:r>
        <w:rPr>
          <w:rtl w:val="true"/>
        </w:rPr>
        <w:t xml:space="preserve">, </w:t>
      </w:r>
      <w:r>
        <w:rPr>
          <w:rtl w:val="true"/>
        </w:rPr>
        <w:t>על החשיבות העליונה של מיגור תופעת האלימות נגד נשים על ידי בני זוגן</w:t>
      </w:r>
      <w:r>
        <w:rPr>
          <w:rtl w:val="true"/>
        </w:rPr>
        <w:t xml:space="preserve">, </w:t>
      </w:r>
      <w:r>
        <w:rPr>
          <w:rtl w:val="true"/>
        </w:rPr>
        <w:t>בין השאר באמצעות ענישה מחמירה ובלתי מתפשרת</w:t>
      </w:r>
      <w:r>
        <w:rPr>
          <w:rtl w:val="true"/>
        </w:rPr>
        <w:t xml:space="preserve">. </w:t>
      </w:r>
      <w:r>
        <w:rPr>
          <w:rtl w:val="true"/>
        </w:rPr>
        <w:t xml:space="preserve">לפני למעלה מעשור ציין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אדמונד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ז</w:t>
      </w:r>
      <w:r>
        <w:rPr>
          <w:rtl w:val="true"/>
        </w:rPr>
        <w:t>"</w:t>
      </w:r>
      <w:r>
        <w:rPr>
          <w:rtl w:val="true"/>
        </w:rPr>
        <w:t>ל את הדברים 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השורש</w:t>
      </w:r>
      <w:r>
        <w:rPr>
          <w:rtl w:val="true"/>
        </w:rPr>
        <w:t xml:space="preserve">, </w:t>
      </w:r>
      <w:r>
        <w:rPr>
          <w:rtl w:val="true"/>
        </w:rPr>
        <w:t>ומקום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וחינוך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מצווה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618/06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19.3.2007</w:t>
      </w:r>
      <w:r>
        <w:rPr>
          <w:rtl w:val="true"/>
        </w:rPr>
        <w:t>)).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ברון</w:t>
      </w:r>
      <w:r>
        <w:rPr>
          <w:rtl w:val="true"/>
        </w:rPr>
        <w:t xml:space="preserve">, </w:t>
      </w:r>
      <w:r>
        <w:rPr>
          <w:rtl w:val="true"/>
        </w:rPr>
        <w:t>ביטאה רעיון דומה בדברים נכוחים שנכתבו זה לא מכבר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tl w:val="true"/>
        </w:rPr>
        <w:t>ההיקף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בבשרה</w:t>
      </w:r>
      <w:r>
        <w:rPr>
          <w:rtl w:val="true"/>
        </w:rPr>
        <w:t xml:space="preserve">, </w:t>
      </w:r>
      <w:r>
        <w:rPr>
          <w:rtl w:val="true"/>
        </w:rPr>
        <w:t>ובנפשה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תעצומות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המתעלל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יעזו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שהיקפה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ומדאיג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1474/14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15.12.2015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חולפות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ושוויוני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לדאבון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וקרוביהן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, </w:t>
      </w:r>
      <w:r>
        <w:rPr>
          <w:rtl w:val="true"/>
        </w:rPr>
        <w:t>ועובדה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מפחיתה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טען כי המקרים אשר על בסיסם קבע בית המשפט קמא את מתחם העונש הראוי הינם מקרים חמורים במיוחד</w:t>
      </w:r>
      <w:r>
        <w:rPr>
          <w:rtl w:val="true"/>
        </w:rPr>
        <w:t xml:space="preserve">, </w:t>
      </w:r>
      <w:r>
        <w:rPr>
          <w:rtl w:val="true"/>
        </w:rPr>
        <w:t>אשר לא ניתן להקיש מהם למקרה דנן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לחלק מהמקרים אליהם התייחס בית המשפט קמא בגזר דינו נלוותה דרגת חומרה מיוחדת</w:t>
      </w:r>
      <w:r>
        <w:rPr>
          <w:rtl w:val="true"/>
        </w:rPr>
        <w:t xml:space="preserve">, </w:t>
      </w:r>
      <w:r>
        <w:rPr>
          <w:rtl w:val="true"/>
        </w:rPr>
        <w:t xml:space="preserve">למשל במקרים בהם בוצעו המעשים הקשים שיוחסו למערערים לעיני ילדיהם המשותפים של בני הזוג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15.12.2015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2910/09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קאסיה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21.11.2011</w:t>
      </w:r>
      <w:r>
        <w:rPr>
          <w:rtl w:val="true"/>
        </w:rPr>
        <w:t xml:space="preserve">)).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מסקירת הפסיקה הקיימת</w:t>
      </w:r>
      <w:r>
        <w:rPr>
          <w:rtl w:val="true"/>
        </w:rPr>
        <w:t xml:space="preserve">, </w:t>
      </w:r>
      <w:r>
        <w:rPr>
          <w:rtl w:val="true"/>
        </w:rPr>
        <w:t>השתכנעתי כי עונש המאסר בפועל שהושת על המערער עולה בקנה אחד עם רמת הענישה הנוהגת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5995/10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13.8.2015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הואשם המערער בניסיון רצח</w:t>
      </w:r>
      <w:r>
        <w:rPr>
          <w:rtl w:val="true"/>
        </w:rPr>
        <w:t xml:space="preserve">, </w:t>
      </w:r>
      <w:r>
        <w:rPr>
          <w:rtl w:val="true"/>
        </w:rPr>
        <w:t>לצד עבירות חמורות נוספות</w:t>
      </w:r>
      <w:r>
        <w:rPr>
          <w:rtl w:val="true"/>
        </w:rPr>
        <w:t xml:space="preserve">, </w:t>
      </w:r>
      <w:r>
        <w:rPr>
          <w:rtl w:val="true"/>
        </w:rPr>
        <w:t>וערער על גזר דינו בעניין ניסיון הרצח בלבד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>תקף את בת זוגו</w:t>
      </w:r>
      <w:r>
        <w:rPr>
          <w:rtl w:val="true"/>
        </w:rPr>
        <w:t xml:space="preserve">, </w:t>
      </w:r>
      <w:r>
        <w:rPr>
          <w:rtl w:val="true"/>
        </w:rPr>
        <w:t>חנק אותה</w:t>
      </w:r>
      <w:r>
        <w:rPr>
          <w:rtl w:val="true"/>
        </w:rPr>
        <w:t xml:space="preserve">, </w:t>
      </w:r>
      <w:r>
        <w:rPr>
          <w:rtl w:val="true"/>
        </w:rPr>
        <w:t>נטל לבנה והטיחה בחוזקה בקדמת ראשה</w:t>
      </w:r>
      <w:r>
        <w:rPr>
          <w:rtl w:val="true"/>
        </w:rPr>
        <w:t xml:space="preserve">. </w:t>
      </w:r>
      <w:r>
        <w:rPr>
          <w:rtl w:val="true"/>
        </w:rPr>
        <w:t xml:space="preserve">בגין ניסיון הרצח נגזרו עליו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 ושנתיים מאסר על תנאי</w:t>
      </w:r>
      <w:r>
        <w:rPr>
          <w:rtl w:val="true"/>
        </w:rPr>
        <w:t xml:space="preserve">. </w:t>
      </w:r>
      <w:r>
        <w:rPr>
          <w:rtl w:val="true"/>
        </w:rPr>
        <w:t>ערעורו על גזר הדין נדחה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23.3.2011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הורשע המערער בעבירת ניסיון רצח</w:t>
      </w:r>
      <w:r>
        <w:rPr>
          <w:rtl w:val="true"/>
        </w:rPr>
        <w:t xml:space="preserve">, </w:t>
      </w:r>
      <w:r>
        <w:rPr>
          <w:rtl w:val="true"/>
        </w:rPr>
        <w:t>לאחר שנטל גרזן אשר היה מונח מתחת למזרן מיטתו בחדר השינה וחבט בראשה ובצווארה של אשתו מספר פעמים ללא סיבה נראית לעין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קמא גזר על המערער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שלוש שנות מאסר על תנאי ופיצוי למתלוננת בסך של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ערעורו לבית משפט זה נדחה</w:t>
      </w:r>
      <w:r>
        <w:rPr>
          <w:rtl w:val="true"/>
        </w:rPr>
        <w:t xml:space="preserve">. </w:t>
      </w:r>
      <w:r>
        <w:rPr>
          <w:rtl w:val="true"/>
        </w:rPr>
        <w:t>במקרה נוסף</w:t>
      </w:r>
      <w:r>
        <w:rPr>
          <w:rtl w:val="true"/>
        </w:rPr>
        <w:t xml:space="preserve">, </w:t>
      </w:r>
      <w:r>
        <w:rPr>
          <w:rtl w:val="true"/>
        </w:rPr>
        <w:t xml:space="preserve">הנזכר בגזר דינו של בית המשפט קמא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4347/05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בשקירוב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20.9.2006</w:t>
      </w:r>
      <w:r>
        <w:rPr>
          <w:rtl w:val="true"/>
        </w:rPr>
        <w:t xml:space="preserve">)), </w:t>
      </w:r>
      <w:r>
        <w:rPr>
          <w:rtl w:val="true"/>
        </w:rPr>
        <w:t>המערער הורשע בעבירות של ניסיון רצח וחבלה בנסיבות מחמירות</w:t>
      </w:r>
      <w:r>
        <w:rPr>
          <w:rtl w:val="true"/>
        </w:rPr>
        <w:t xml:space="preserve">. </w:t>
      </w:r>
      <w:r>
        <w:rPr>
          <w:rtl w:val="true"/>
        </w:rPr>
        <w:t>המערער ובת זוגו שהו בדירתם</w:t>
      </w:r>
      <w:r>
        <w:rPr>
          <w:rtl w:val="true"/>
        </w:rPr>
        <w:t xml:space="preserve">. </w:t>
      </w:r>
      <w:r>
        <w:rPr>
          <w:rtl w:val="true"/>
        </w:rPr>
        <w:t>בשלב כלשהו</w:t>
      </w:r>
      <w:r>
        <w:rPr>
          <w:rtl w:val="true"/>
        </w:rPr>
        <w:t xml:space="preserve">, </w:t>
      </w:r>
      <w:r>
        <w:rPr>
          <w:rtl w:val="true"/>
        </w:rPr>
        <w:t>נטל המערער סכין מטבח</w:t>
      </w:r>
      <w:r>
        <w:rPr>
          <w:rtl w:val="true"/>
        </w:rPr>
        <w:t xml:space="preserve">, </w:t>
      </w:r>
      <w:r>
        <w:rPr>
          <w:rtl w:val="true"/>
        </w:rPr>
        <w:t>שיסף את גרונה של בת זוגו</w:t>
      </w:r>
      <w:r>
        <w:rPr>
          <w:rtl w:val="true"/>
        </w:rPr>
        <w:t xml:space="preserve">, </w:t>
      </w:r>
      <w:r>
        <w:rPr>
          <w:rtl w:val="true"/>
        </w:rPr>
        <w:t>דקר אותה וגרם לה חתכים עמוקים בפניה ובפיה</w:t>
      </w:r>
      <w:r>
        <w:rPr>
          <w:rtl w:val="true"/>
        </w:rPr>
        <w:t xml:space="preserve">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קמא גזר על המערער 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ושנה מאסר על תנאי</w:t>
      </w:r>
      <w:r>
        <w:rPr>
          <w:rtl w:val="true"/>
        </w:rPr>
        <w:t xml:space="preserve">. </w:t>
      </w:r>
      <w:r>
        <w:rPr>
          <w:rtl w:val="true"/>
        </w:rPr>
        <w:t>המערער ערער על חומרת העונש</w:t>
      </w:r>
      <w:r>
        <w:rPr>
          <w:rtl w:val="true"/>
        </w:rPr>
        <w:t xml:space="preserve">, </w:t>
      </w:r>
      <w:r>
        <w:rPr>
          <w:rtl w:val="true"/>
        </w:rPr>
        <w:t>ואילו המדינה ערערה על קלותו</w:t>
      </w:r>
      <w:r>
        <w:rPr>
          <w:rtl w:val="true"/>
        </w:rPr>
        <w:t xml:space="preserve">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התקבל ערעור המדינה</w:t>
      </w:r>
      <w:r>
        <w:rPr>
          <w:rtl w:val="true"/>
        </w:rPr>
        <w:t xml:space="preserve">, </w:t>
      </w:r>
      <w:r>
        <w:rPr>
          <w:rtl w:val="true"/>
        </w:rPr>
        <w:t xml:space="preserve">ובית המשפט העמיד את עונש המאסר בפועל על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1"/>
        <w:ind w:end="0"/>
        <w:jc w:val="both"/>
        <w:rPr>
          <w:rFonts w:ascii="Century" w:hAnsi="Century" w:cs="FrankRuehl"/>
          <w:szCs w:val="28"/>
        </w:rPr>
      </w:pPr>
      <w:r>
        <w:rPr>
          <w:rFonts w:cs="FrankRuehl" w:ascii="Century" w:hAnsi="Century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z w:val="22"/>
        </w:rPr>
      </w:pPr>
      <w:r>
        <w:rPr>
          <w:rtl w:val="true"/>
        </w:rPr>
        <w:t>כמובהר</w:t>
      </w:r>
      <w:r>
        <w:rPr>
          <w:rtl w:val="true"/>
        </w:rPr>
        <w:t xml:space="preserve">, </w:t>
      </w:r>
      <w:r>
        <w:rPr>
          <w:rtl w:val="true"/>
        </w:rPr>
        <w:t>המערער שלפנינו הורשע לא רק בניסיון רצח</w:t>
      </w:r>
      <w:r>
        <w:rPr>
          <w:rtl w:val="true"/>
        </w:rPr>
        <w:t xml:space="preserve">, </w:t>
      </w:r>
      <w:r>
        <w:rPr>
          <w:rtl w:val="true"/>
        </w:rPr>
        <w:t>אלא גם בשורה ארוכה של עבירות אלימות נוספות שביצע נגד המתלוננת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ובשים לב לעובדה שהדוגמאות שהובאו לעיל כוללות התייחסות בעיקר לעבירת ניסיון רצח כלפי בת זוג</w:t>
      </w:r>
      <w:r>
        <w:rPr>
          <w:rtl w:val="true"/>
        </w:rPr>
        <w:t xml:space="preserve">, </w:t>
      </w:r>
      <w:r>
        <w:rPr>
          <w:rtl w:val="true"/>
        </w:rPr>
        <w:t>אינני סבור כי העונש שנגזר על המערער</w:t>
      </w:r>
      <w:r>
        <w:rPr>
          <w:rtl w:val="true"/>
        </w:rPr>
        <w:t xml:space="preserve">, </w:t>
      </w:r>
      <w:r>
        <w:rPr>
          <w:rtl w:val="true"/>
        </w:rPr>
        <w:t>המגלם בתוכו גם עבירות אלימות נוספות  שביצע המערער נגד המתלוננת</w:t>
      </w:r>
      <w:r>
        <w:rPr>
          <w:rtl w:val="true"/>
        </w:rPr>
        <w:t xml:space="preserve">, </w:t>
      </w:r>
      <w:r>
        <w:rPr>
          <w:rtl w:val="true"/>
        </w:rPr>
        <w:t>חריג בחומרתו</w:t>
      </w:r>
      <w:r>
        <w:rPr>
          <w:rtl w:val="true"/>
        </w:rPr>
        <w:t xml:space="preserve">. </w:t>
      </w:r>
      <w:r>
        <w:rPr>
          <w:sz w:val="22"/>
          <w:sz w:val="22"/>
          <w:rtl w:val="true"/>
        </w:rPr>
        <w:t>בית המשפט קמא התייחס בגזר דינו לעברו ולנסיבותיו המשפחתיות של המערער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למצבו הנפשי ולהיעדר עברו ה</w:t>
      </w:r>
      <w:r>
        <w:rPr>
          <w:rtl w:val="true"/>
        </w:rPr>
        <w:t>פלילי</w:t>
      </w:r>
      <w:r>
        <w:rPr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מצאתי כי שיקולים אלה נלקחו בחשבון כראוי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tl w:val="true"/>
        </w:rPr>
        <w:t xml:space="preserve"> אין הצדקה להתערב באיזון שנקבע על ידי בית המשפט קמא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אשר לטענת המערער בדבר שימוש מתמשך בסמים</w:t>
      </w:r>
      <w:r>
        <w:rPr>
          <w:rtl w:val="true"/>
        </w:rPr>
        <w:t xml:space="preserve">: </w:t>
      </w:r>
      <w:r>
        <w:rPr>
          <w:rtl w:val="true"/>
        </w:rPr>
        <w:t>בא כוח המערער טען לפנינו כי בית המשפט קמא לא ייחס חשיבות מספקת לכך</w:t>
      </w:r>
      <w:r>
        <w:rPr>
          <w:rtl w:val="true"/>
        </w:rPr>
        <w:t xml:space="preserve">, </w:t>
      </w:r>
      <w:r>
        <w:rPr>
          <w:rtl w:val="true"/>
        </w:rPr>
        <w:t>ואף ציין</w:t>
      </w:r>
      <w:r>
        <w:rPr>
          <w:rtl w:val="true"/>
        </w:rPr>
        <w:t xml:space="preserve">, </w:t>
      </w:r>
      <w:r>
        <w:rPr>
          <w:rtl w:val="true"/>
        </w:rPr>
        <w:t xml:space="preserve">שהוא סבור כי אמירה מסוימת של בית המשפט קמא </w:t>
      </w:r>
      <w:r>
        <w:rPr>
          <w:rtl w:val="true"/>
        </w:rPr>
        <w:t>(</w:t>
      </w:r>
      <w:r>
        <w:rPr>
          <w:rtl w:val="true"/>
        </w:rPr>
        <w:t xml:space="preserve">עמודים </w:t>
      </w:r>
      <w:r>
        <w:rPr/>
        <w:t>17-16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), </w:t>
      </w:r>
      <w:r>
        <w:rPr>
          <w:rtl w:val="true"/>
        </w:rPr>
        <w:t>מצביעה על כך שנגרם למערער עוול</w:t>
      </w:r>
      <w:r>
        <w:rPr>
          <w:rtl w:val="true"/>
        </w:rPr>
        <w:t xml:space="preserve">, </w:t>
      </w:r>
      <w:r>
        <w:rPr>
          <w:rtl w:val="true"/>
        </w:rPr>
        <w:t>שעה שבאת כוחו הקודמת לא העלתה טענה זו כשיקול לקולא במסגרת הטיעונים לעניין גזירת הדין</w:t>
      </w:r>
      <w:r>
        <w:rPr>
          <w:rtl w:val="true"/>
        </w:rPr>
        <w:t xml:space="preserve">. </w:t>
      </w:r>
      <w:r>
        <w:rPr>
          <w:rtl w:val="true"/>
        </w:rPr>
        <w:t>סבורני שאין ממש בדברים</w:t>
      </w:r>
      <w:r>
        <w:rPr>
          <w:rtl w:val="true"/>
        </w:rPr>
        <w:t xml:space="preserve">. </w:t>
      </w:r>
      <w:r>
        <w:rPr>
          <w:rtl w:val="true"/>
        </w:rPr>
        <w:t xml:space="preserve">טענת המערער בדבר החלת סייג השכרות הקבוע </w:t>
      </w:r>
      <w:hyperlink r:id="rId3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נדחתה בהכרעת הדין</w:t>
      </w:r>
      <w:r>
        <w:rPr>
          <w:rtl w:val="true"/>
        </w:rPr>
        <w:t xml:space="preserve">, </w:t>
      </w:r>
      <w:r>
        <w:rPr>
          <w:rtl w:val="true"/>
        </w:rPr>
        <w:t>ובעניין זה חזר בו המערער מערעורו</w:t>
      </w:r>
      <w:r>
        <w:rPr>
          <w:rtl w:val="true"/>
        </w:rPr>
        <w:t xml:space="preserve">. </w:t>
      </w:r>
      <w:r>
        <w:rPr>
          <w:rtl w:val="true"/>
        </w:rPr>
        <w:t xml:space="preserve">בשלב זה נטענת טענה כללית בדבר שימושו בסמים של המערער </w:t>
      </w:r>
      <w:r>
        <w:rPr>
          <w:rtl w:val="true"/>
        </w:rPr>
        <w:t>"</w:t>
      </w:r>
      <w:r>
        <w:rPr>
          <w:rtl w:val="true"/>
        </w:rPr>
        <w:t>כרקע</w:t>
      </w:r>
      <w:r>
        <w:rPr>
          <w:rtl w:val="true"/>
        </w:rPr>
        <w:t xml:space="preserve">"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טענה זו איננה מצדיקה בנסיבות העניין התערבות בגזר הדין</w:t>
      </w:r>
      <w:r>
        <w:rPr>
          <w:rtl w:val="true"/>
        </w:rPr>
        <w:t xml:space="preserve">. </w:t>
      </w:r>
      <w:r>
        <w:rPr>
          <w:rtl w:val="true"/>
        </w:rPr>
        <w:t>טענה של שימוש קבוע בסמים או באלכוהול היא חרב פיפיות</w:t>
      </w:r>
      <w:r>
        <w:rPr>
          <w:rtl w:val="true"/>
        </w:rPr>
        <w:t xml:space="preserve">: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היא מצביעה על פני הדברים על חוסר שליטה חלקי של המערער על ענייניו</w:t>
      </w:r>
      <w:r>
        <w:rPr>
          <w:rtl w:val="true"/>
        </w:rPr>
        <w:t xml:space="preserve">, </w:t>
      </w:r>
      <w:r>
        <w:rPr>
          <w:rtl w:val="true"/>
        </w:rPr>
        <w:t>באופן העשוי לכאורה להצדיק הקלה בעונשו</w:t>
      </w:r>
      <w:r>
        <w:rPr>
          <w:rtl w:val="true"/>
        </w:rPr>
        <w:t xml:space="preserve">;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חלילה לנו מלתמרץ נטילה של סמים ושימוש מופרז באלכוהול</w:t>
      </w:r>
      <w:r>
        <w:rPr>
          <w:rtl w:val="true"/>
        </w:rPr>
        <w:t xml:space="preserve">, </w:t>
      </w:r>
      <w:r>
        <w:rPr>
          <w:rtl w:val="true"/>
        </w:rPr>
        <w:t xml:space="preserve">על דרך של הפיכתם לנסיבה מקלה המבטיחה ענישה מופחתת </w:t>
      </w:r>
      <w:r>
        <w:rPr>
          <w:rtl w:val="true"/>
        </w:rPr>
        <w:t>(</w:t>
      </w:r>
      <w:r>
        <w:rPr>
          <w:rtl w:val="true"/>
        </w:rPr>
        <w:t>לדילמה ראו חילוקי הדעות שהתגלעו ב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7701/14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16.5.2016</w:t>
      </w:r>
      <w:r>
        <w:rPr>
          <w:rtl w:val="true"/>
        </w:rPr>
        <w:t xml:space="preserve">)). </w:t>
      </w:r>
      <w:r>
        <w:rPr>
          <w:rtl w:val="true"/>
        </w:rPr>
        <w:t>אין חולק כי בתקופה הרלוונטית המערער</w:t>
      </w:r>
      <w:r>
        <w:rPr>
          <w:rtl w:val="true"/>
        </w:rPr>
        <w:t xml:space="preserve">, </w:t>
      </w:r>
      <w:r>
        <w:rPr>
          <w:rtl w:val="true"/>
        </w:rPr>
        <w:t>כמו גם המתלוננת</w:t>
      </w:r>
      <w:r>
        <w:rPr>
          <w:rtl w:val="true"/>
        </w:rPr>
        <w:t xml:space="preserve">, </w:t>
      </w:r>
      <w:r>
        <w:rPr>
          <w:rtl w:val="true"/>
        </w:rPr>
        <w:t>נהגו להשתמש בסמים קשים</w:t>
      </w:r>
      <w:r>
        <w:rPr>
          <w:rtl w:val="true"/>
        </w:rPr>
        <w:t xml:space="preserve">, </w:t>
      </w:r>
      <w:r>
        <w:rPr>
          <w:rtl w:val="true"/>
        </w:rPr>
        <w:t>מסוכנים וכמובן</w:t>
      </w:r>
      <w:r>
        <w:rPr>
          <w:rtl w:val="true"/>
        </w:rPr>
        <w:t xml:space="preserve">, </w:t>
      </w:r>
      <w:r>
        <w:rPr>
          <w:rtl w:val="true"/>
        </w:rPr>
        <w:t>בלתי חוקיים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בשים לב לחומרת המעשים בהם הורשע המערער</w:t>
      </w:r>
      <w:r>
        <w:rPr>
          <w:rtl w:val="true"/>
        </w:rPr>
        <w:t xml:space="preserve">, </w:t>
      </w:r>
      <w:r>
        <w:rPr>
          <w:rtl w:val="true"/>
        </w:rPr>
        <w:t>ולהתמשכותם על פני תקופה ארוכה</w:t>
      </w:r>
      <w:r>
        <w:rPr>
          <w:rtl w:val="true"/>
        </w:rPr>
        <w:t xml:space="preserve">, </w:t>
      </w:r>
      <w:r>
        <w:rPr>
          <w:rtl w:val="true"/>
        </w:rPr>
        <w:t>עניין זה אינו מפחית</w:t>
      </w:r>
      <w:r>
        <w:rPr>
          <w:rtl w:val="true"/>
        </w:rPr>
        <w:t xml:space="preserve">, </w:t>
      </w:r>
      <w:r>
        <w:rPr>
          <w:rtl w:val="true"/>
        </w:rPr>
        <w:t>בוודאי שלא באופן משמעותי</w:t>
      </w:r>
      <w:r>
        <w:rPr>
          <w:rtl w:val="true"/>
        </w:rPr>
        <w:t xml:space="preserve">, </w:t>
      </w:r>
      <w:r>
        <w:rPr>
          <w:rtl w:val="true"/>
        </w:rPr>
        <w:t>מאחריות המערער למעשים הקשים שביצע במתלוננת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ובמכלול שיקולי המדיניות </w:t>
      </w:r>
      <w:r>
        <w:rPr>
          <w:rtl w:val="true"/>
        </w:rPr>
        <w:t>–</w:t>
      </w:r>
      <w:r>
        <w:rPr>
          <w:rtl w:val="true"/>
        </w:rPr>
        <w:t xml:space="preserve"> ספק אם הוא מהווה נסיבה שראוי להתחשב בה לקולא</w:t>
      </w:r>
      <w:r>
        <w:rPr>
          <w:rtl w:val="true"/>
        </w:rPr>
        <w:t xml:space="preserve">. </w:t>
      </w:r>
      <w:r>
        <w:rPr>
          <w:rtl w:val="true"/>
        </w:rPr>
        <w:t>משאלו פני הדברים</w:t>
      </w:r>
      <w:r>
        <w:rPr>
          <w:rtl w:val="true"/>
        </w:rPr>
        <w:t xml:space="preserve">, </w:t>
      </w:r>
      <w:r>
        <w:rPr>
          <w:rtl w:val="true"/>
        </w:rPr>
        <w:t>אינני סבור כי הימנעות ההגנה מלהעלות טיעון זה גרמה עוול של ממש למערער</w:t>
      </w:r>
      <w:r>
        <w:rPr>
          <w:rtl w:val="true"/>
        </w:rPr>
        <w:t xml:space="preserve">, </w:t>
      </w:r>
      <w:r>
        <w:rPr>
          <w:rtl w:val="true"/>
        </w:rPr>
        <w:t>וייתכן אף שההפך הוא הנכון</w:t>
      </w:r>
      <w:r>
        <w:rPr>
          <w:rtl w:val="true"/>
        </w:rPr>
        <w:t xml:space="preserve">, </w:t>
      </w:r>
      <w:r>
        <w:rPr>
          <w:rtl w:val="true"/>
        </w:rPr>
        <w:t>דהיינו כי מדובר בפעולה מושכלת של עורכת הדין שייצגה את המערער בבית המשפט קמא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עובר בכלא טיפול של גמילה מהתמכרויות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ככל שהליך זה יעלה 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ייתכן והדבר יפעל לטובתו בעתיד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עת תישקל האפשרות לשחרור מוקדם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עניין זה איננו לפנינו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על יסוד האמור לעיל אציע לחברַי לדחות 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31.1.2019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17030110</w:t>
      </w:r>
      <w:r>
        <w:rPr>
          <w:sz w:val="16"/>
          <w:rtl w:val="true"/>
        </w:rPr>
        <w:t>_</w:t>
      </w:r>
      <w:r>
        <w:rPr>
          <w:sz w:val="16"/>
        </w:rPr>
        <w:t>Y08.docx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  <w:r>
        <w:rPr>
          <w:rtl w:val="true"/>
        </w:rPr>
        <w:t>+</w:t>
      </w:r>
      <w:r>
        <w:rPr>
          <w:rtl w:val="true"/>
        </w:rPr>
        <w:t>אש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54678313-3011/17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3011/17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מיכה מכלוף פרץ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1">
    <w:name w:val="סגנון1"/>
    <w:basedOn w:val="Normal"/>
    <w:qFormat/>
    <w:pPr>
      <w:spacing w:lineRule="auto" w:line="360"/>
      <w:ind w:hanging="0" w:start="100" w:end="0"/>
      <w:jc w:val="both"/>
      <w:textAlignment w:val="auto"/>
    </w:pPr>
    <w:rPr>
      <w:rFonts w:ascii="Century" w:hAnsi="Century" w:cs="FrankRuehl"/>
      <w:spacing w:val="10"/>
      <w:sz w:val="22"/>
      <w:szCs w:val="28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i.b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0301/333.a1" TargetMode="External"/><Relationship Id="rId8" Type="http://schemas.openxmlformats.org/officeDocument/2006/relationships/hyperlink" Target="http://www.nevo.co.il/law/70301/335" TargetMode="External"/><Relationship Id="rId9" Type="http://schemas.openxmlformats.org/officeDocument/2006/relationships/hyperlink" Target="http://www.nevo.co.il/law/70301/377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law/70301/382.b.1" TargetMode="External"/><Relationship Id="rId13" Type="http://schemas.openxmlformats.org/officeDocument/2006/relationships/hyperlink" Target="http://www.nevo.co.il/law/70301/382.c" TargetMode="External"/><Relationship Id="rId14" Type="http://schemas.openxmlformats.org/officeDocument/2006/relationships/hyperlink" Target="http://www.nevo.co.il/law/70301/452" TargetMode="External"/><Relationship Id="rId15" Type="http://schemas.openxmlformats.org/officeDocument/2006/relationships/hyperlink" Target="http://www.nevo.co.il/law/70301/305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3.a1" TargetMode="External"/><Relationship Id="rId18" Type="http://schemas.openxmlformats.org/officeDocument/2006/relationships/hyperlink" Target="http://www.nevo.co.il/law/70301/335" TargetMode="External"/><Relationship Id="rId19" Type="http://schemas.openxmlformats.org/officeDocument/2006/relationships/hyperlink" Target="http://www.nevo.co.il/law/70301/380" TargetMode="External"/><Relationship Id="rId20" Type="http://schemas.openxmlformats.org/officeDocument/2006/relationships/hyperlink" Target="http://www.nevo.co.il/law/70301/382.c" TargetMode="External"/><Relationship Id="rId21" Type="http://schemas.openxmlformats.org/officeDocument/2006/relationships/hyperlink" Target="http://www.nevo.co.il/law/70301/382.b.1" TargetMode="External"/><Relationship Id="rId22" Type="http://schemas.openxmlformats.org/officeDocument/2006/relationships/hyperlink" Target="http://www.nevo.co.il/law/70301/379" TargetMode="External"/><Relationship Id="rId23" Type="http://schemas.openxmlformats.org/officeDocument/2006/relationships/hyperlink" Target="http://www.nevo.co.il/law/70301/192" TargetMode="External"/><Relationship Id="rId24" Type="http://schemas.openxmlformats.org/officeDocument/2006/relationships/hyperlink" Target="http://www.nevo.co.il/law/70301/377" TargetMode="External"/><Relationship Id="rId25" Type="http://schemas.openxmlformats.org/officeDocument/2006/relationships/hyperlink" Target="http://www.nevo.co.il/law/70301/186.a" TargetMode="External"/><Relationship Id="rId26" Type="http://schemas.openxmlformats.org/officeDocument/2006/relationships/hyperlink" Target="http://www.nevo.co.il/law/70301/452" TargetMode="External"/><Relationship Id="rId27" Type="http://schemas.openxmlformats.org/officeDocument/2006/relationships/hyperlink" Target="http://www.nevo.co.il/case/20180959" TargetMode="External"/><Relationship Id="rId28" Type="http://schemas.openxmlformats.org/officeDocument/2006/relationships/hyperlink" Target="http://www.nevo.co.il/case/20028603" TargetMode="External"/><Relationship Id="rId29" Type="http://schemas.openxmlformats.org/officeDocument/2006/relationships/hyperlink" Target="http://www.nevo.co.il/case/6193167" TargetMode="External"/><Relationship Id="rId30" Type="http://schemas.openxmlformats.org/officeDocument/2006/relationships/hyperlink" Target="http://www.nevo.co.il/case/13070531" TargetMode="External"/><Relationship Id="rId31" Type="http://schemas.openxmlformats.org/officeDocument/2006/relationships/hyperlink" Target="http://www.nevo.co.il/case/13070531" TargetMode="External"/><Relationship Id="rId32" Type="http://schemas.openxmlformats.org/officeDocument/2006/relationships/hyperlink" Target="http://www.nevo.co.il/case/5736122" TargetMode="External"/><Relationship Id="rId33" Type="http://schemas.openxmlformats.org/officeDocument/2006/relationships/hyperlink" Target="http://www.nevo.co.il/case/5760843" TargetMode="External"/><Relationship Id="rId34" Type="http://schemas.openxmlformats.org/officeDocument/2006/relationships/hyperlink" Target="http://www.nevo.co.il/case/5768061" TargetMode="External"/><Relationship Id="rId35" Type="http://schemas.openxmlformats.org/officeDocument/2006/relationships/hyperlink" Target="http://www.nevo.co.il/case/5716691" TargetMode="External"/><Relationship Id="rId36" Type="http://schemas.openxmlformats.org/officeDocument/2006/relationships/hyperlink" Target="http://www.nevo.co.il/law/70301/34i.b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18653966" TargetMode="External"/><Relationship Id="rId39" Type="http://schemas.openxmlformats.org/officeDocument/2006/relationships/hyperlink" Target="http://supreme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2019-02-03T11:42:00Z</dcterms:created>
  <dc:creator>h3</dc:creator>
  <dc:description/>
  <cp:keywords/>
  <dc:language>en-IL</dc:language>
  <cp:lastModifiedBy>orly</cp:lastModifiedBy>
  <cp:lastPrinted>2019-01-31T17:02:00Z</cp:lastPrinted>
  <dcterms:modified xsi:type="dcterms:W3CDTF">2019-02-03T11:42:00Z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מיכה מכלוף פרץ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20180959;20028603;6193167;13070531:2;5736122;5760843;5768061;5716691;18653966</vt:lpwstr>
  </property>
  <property fmtid="{D5CDD505-2E9C-101B-9397-08002B2CF9AE}" pid="9" name="CITY">
    <vt:lpwstr/>
  </property>
  <property fmtid="{D5CDD505-2E9C-101B-9397-08002B2CF9AE}" pid="10" name="DATE">
    <vt:lpwstr>20190131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גרוסקופף;א' שטיין</vt:lpwstr>
  </property>
  <property fmtid="{D5CDD505-2E9C-101B-9397-08002B2CF9AE}" pid="14" name="LAWLISTTMP1">
    <vt:lpwstr>70301/305.1;333.a1;335;380;382.c;382.b.1;379;192;377;186.a;452;034i.b</vt:lpwstr>
  </property>
  <property fmtid="{D5CDD505-2E9C-101B-9397-08002B2CF9AE}" pid="15" name="LAWYER">
    <vt:lpwstr>אריה פטר;שי שורר;איתי כהן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ערעור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1443;1446;504</vt:lpwstr>
  </property>
  <property fmtid="{D5CDD505-2E9C-101B-9397-08002B2CF9AE}" pid="48" name="NOSE31">
    <vt:lpwstr>ניסיון לרצח</vt:lpwstr>
  </property>
  <property fmtid="{D5CDD505-2E9C-101B-9397-08002B2CF9AE}" pid="49" name="NOSE310">
    <vt:lpwstr/>
  </property>
  <property fmtid="{D5CDD505-2E9C-101B-9397-08002B2CF9AE}" pid="50" name="NOSE32">
    <vt:lpwstr>מדיניות ענישה: אלימות במשפחה</vt:lpwstr>
  </property>
  <property fmtid="{D5CDD505-2E9C-101B-9397-08002B2CF9AE}" pid="51" name="NOSE33">
    <vt:lpwstr>אי-התערבות במידת העונש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8867;15628;17039</vt:lpwstr>
  </property>
  <property fmtid="{D5CDD505-2E9C-101B-9397-08002B2CF9AE}" pid="59" name="PADIDATE">
    <vt:lpwstr>20190203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3011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410120190131</vt:lpwstr>
  </property>
  <property fmtid="{D5CDD505-2E9C-101B-9397-08002B2CF9AE}" pid="69" name="TYPE_N_DATE">
    <vt:lpwstr>41020190131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