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3021/17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1.12.2016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21.2.2017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22934-09-15</w:t>
              </w:r>
            </w:hyperlink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ר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סוקול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ת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שרון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נתנאל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-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ר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בש</w:t>
            </w:r>
            <w:r>
              <w:rPr>
                <w:sz w:val="24"/>
                <w:szCs w:val="24"/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6.12.2017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יפתח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ענבר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דותן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סידי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1984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ומאוזן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לקולה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עדות – מהימנות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חיזוק – דבר לחיזוק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אי התערבות בממצאים עובדתיים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ולחלופין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מזוז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ווילנר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עיקר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מכוון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ממצאי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ומהימנות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מדרכה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בממצאים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סתירות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שפוגעות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במהימנותו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בסמוך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שסיפר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להוריו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חיזוק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לעדותו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להתנהגות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במפגש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שהוטחו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בפניו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ההאשמות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וספק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חיזוק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הסברי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להתנהג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להסביר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נברא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מפחיתים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ממשקלה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הראייתי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המפליל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במפגש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לאמינות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עקבי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הכחיש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שקרית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כוזב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לתלונת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הפוגעת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ומהווה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חיזוק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התביעה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להרחיק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המוריד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בעדותו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הפסיקה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ייחסה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ליריעת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המחלוקת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ההגנה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דווקא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צמצום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ההיקף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להטיב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ולהקשות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סתירת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ההגנה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שהכחשת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וטוטאלית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התוספת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הראייתית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מוגבל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שהציע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הראשון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בצירוף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מותירים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ואקראי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מחלוקת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יסודות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האירועים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80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תכריע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השקפת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המחוקק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גלומה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בזכויות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חוקתיות‏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אנקר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המליצה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להותיר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ההכרעה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בקיומה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מיעוט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כשלעצמה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מיעוט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לנקוט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המרשיעה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שיוחסו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יסודה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המבוצעות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בהרתעת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עברייני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פוטנציאליים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משפחתו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העבריין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בשיהוי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בהגשת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הצריכים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נשקלו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ומאוזן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שהטילה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נופל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ההצעה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במישור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התקבלה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בועדת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אנקר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בשאלות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נפרדות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לערבב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ביניהן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  <w:bookmarkStart w:id="15" w:name="Start_Write"/>
      <w:bookmarkEnd w:id="15"/>
    </w:p>
    <w:p>
      <w:pPr>
        <w:pStyle w:val="BODYVERDICT"/>
        <w:ind w:end="0"/>
        <w:jc w:val="start"/>
        <w:rPr>
          <w:rFonts w:cs="Miriam"/>
          <w:sz w:val="20"/>
          <w:szCs w:val="20"/>
          <w:u w:val="single"/>
        </w:rPr>
      </w:pPr>
      <w:r>
        <w:rPr>
          <w:rFonts w:cs="Miriam"/>
          <w:sz w:val="20"/>
          <w:szCs w:val="20"/>
          <w:u w:val="single"/>
          <w:rtl w:val="true"/>
        </w:rPr>
      </w:r>
    </w:p>
    <w:p>
      <w:pPr>
        <w:pStyle w:val="Ruller41"/>
        <w:spacing w:lineRule="auto" w:line="240"/>
        <w:ind w:end="0"/>
        <w:jc w:val="center"/>
        <w:rPr>
          <w:rFonts w:ascii="Century" w:hAnsi="Century" w:cs="David;David"/>
          <w:b/>
          <w:bCs/>
          <w:sz w:val="20"/>
          <w:szCs w:val="20"/>
          <w:u w:val="single"/>
        </w:rPr>
      </w:pPr>
      <w:r>
        <w:rPr>
          <w:rFonts w:cs="David;David" w:ascii="Century" w:hAnsi="Century"/>
          <w:b/>
          <w:bCs/>
          <w:sz w:val="20"/>
          <w:szCs w:val="20"/>
          <w:u w:val="single"/>
          <w:rtl w:val="true"/>
        </w:rPr>
      </w:r>
    </w:p>
    <w:p>
      <w:pPr>
        <w:pStyle w:val="Ruller41"/>
        <w:numPr>
          <w:ilvl w:val="0"/>
          <w:numId w:val="3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ערעור על פסק דינו של בית המשפט המחוזי </w:t>
      </w:r>
      <w:r>
        <w:rPr>
          <w:rFonts w:ascii="Century" w:hAnsi="Century" w:cs="Century"/>
          <w:rtl w:val="true"/>
        </w:rPr>
        <w:t xml:space="preserve">בחיפה אשר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1.12.2016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 המערער בביצוע</w:t>
      </w:r>
      <w:r>
        <w:rPr>
          <w:rFonts w:ascii="Century" w:hAnsi="Century" w:cs="Century"/>
          <w:rtl w:val="true"/>
        </w:rPr>
        <w:t xml:space="preserve"> שתי עבירות של מעשה מגונה בקטין בן 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וביום </w:t>
      </w:r>
      <w:r>
        <w:rPr>
          <w:rFonts w:cs="Century" w:ascii="Century" w:hAnsi="Century"/>
        </w:rPr>
        <w:t>21.2.2017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גזר עליו עונש מאסר בפועל בן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עונשי מאסר על תנאי ותשלום פיצוי למתלונן </w:t>
      </w:r>
      <w:r>
        <w:rPr>
          <w:rFonts w:cs="Century" w:ascii="Century" w:hAnsi="Century"/>
          <w:rtl w:val="true"/>
        </w:rPr>
        <w:t>(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22934-09-15</w:t>
        </w:r>
      </w:hyperlink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3"/>
        </w:numPr>
        <w:overflowPunct w:val="true"/>
        <w:autoSpaceDE w:val="true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במועדים הרלבנטיים לכתב האישום היה המערער נשוי לאחות אמו של א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יליד </w:t>
      </w:r>
      <w:r>
        <w:rPr>
          <w:rFonts w:cs="Century" w:ascii="Century" w:hAnsi="Century"/>
        </w:rPr>
        <w:t>1998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והוא התגורר עם בני משפחתו בחדרה ועבד בבית דפוס בתל אביב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הדפוס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על פי עובדות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8.4.2014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במהלך חופשת הפסח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לן המתלונן בבית המערער מכיוון שלמחרת היה אמור לעבוד עמו בבית הדפוס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בבוקר המחרת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ניגש המערער למתלונן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ישן על הספה בסלון 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והחל לעסות את רגליו ולגעת באיבר מינו מעל לבגדים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הסכמתו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ושאל אותו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אתה רוצה לעשות ביד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אתה רוצה לראות סרט כחול</w:t>
      </w:r>
      <w:r>
        <w:rPr>
          <w:rFonts w:cs="Century" w:ascii="Century" w:hAnsi="Century"/>
          <w:rtl w:val="true"/>
        </w:rPr>
        <w:t xml:space="preserve">?". </w:t>
      </w:r>
      <w:r>
        <w:rPr>
          <w:rFonts w:ascii="Century" w:hAnsi="Century" w:cs="Century"/>
          <w:rtl w:val="true"/>
        </w:rPr>
        <w:t>המתלונן חש נבוך והשיב למערער כי אינו יודע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ובתגובה הורה לו המערער להתארגן לעבודה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סמוך לשעה </w:t>
      </w:r>
      <w:r>
        <w:rPr>
          <w:rFonts w:cs="Century" w:ascii="Century" w:hAnsi="Century"/>
        </w:rPr>
        <w:t>05:00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הגיעו השניים לבית הדפוס ברכבו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בבית הדפוס פנה המערער אל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אמר לו כי הוא נראה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תפוס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הציע לעשות לו עיסוי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ואמר לו לשכב על שולחן העבודה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המתלונן עשה כדבריו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החל לעסות את רגליו מעל בגדיו ובהמשך נגע באיבר מינו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מעל מכנסיו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הסכמתו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במקביל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שאל המערער את המתלונן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אתה חרמן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אתה רוצה לראות סרט כחול</w:t>
      </w:r>
      <w:r>
        <w:rPr>
          <w:rFonts w:cs="Century" w:ascii="Century" w:hAnsi="Century"/>
          <w:rtl w:val="true"/>
        </w:rPr>
        <w:t xml:space="preserve">?".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הכניס המערער את ידיו תחת מכנסיו של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חשף את איבר מינו של המתלונן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נגע בו ומישש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פנה לנעול את דלת המשרד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אז הרים המתלונן את מכנסיו ואמר למערער כי אינו חש בנוח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בתגובה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חדל המערער ממעשיו ופנה לעיסוקיו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המתלונן החל בעבודתו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בסמוך לשעה </w:t>
      </w:r>
      <w:r>
        <w:rPr>
          <w:rFonts w:cs="Century" w:ascii="Century" w:hAnsi="Century"/>
        </w:rPr>
        <w:t>08:00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פנה המתלונן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הטיח בו כי מה שעשה אינו כשורה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ובתגובה השיב המערער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זה כן בסדר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 מיני וכל עולם המין פתוח היום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כעבור זמן 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התקשר המתלונן לאמו בעודו בוכה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 לחזור לביתו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ובהמשך עזב את המקום וחזר לביתו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בגין המעשים האמורים יוחסו למערער שתי עבירות של מעשה מגונה בקטין בן משפחה שטרם מלאו לו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בנסיבות 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hyperlink r:id="rId17"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18"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>בתגובתו לאישום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אישר המערער כי במועד הרלבנטי לכתב האישום לן המתלונן בביתו ולמחרת יצאו השניים לבית הדפוס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שם עיסה את שכמותיו של המתלונן על השולחן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המערער כפר בביצוע המעשים המיניים הנטענים כלפי המתלונן</w:t>
      </w:r>
      <w:r>
        <w:rPr>
          <w:rFonts w:eastAsia="Calibri"/>
          <w:rtl w:val="true"/>
        </w:rPr>
        <w:t>.</w:t>
      </w:r>
      <w:r>
        <w:br w:type="page"/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Century"/>
          <w:sz w:val="22"/>
          <w:sz w:val="22"/>
          <w:rtl w:val="true"/>
        </w:rPr>
        <w:t xml:space="preserve">ביום </w:t>
      </w:r>
      <w:r>
        <w:rPr>
          <w:rFonts w:eastAsia="Calibri" w:cs="Century" w:ascii="Century" w:hAnsi="Century"/>
          <w:sz w:val="22"/>
        </w:rPr>
        <w:t>1.12.2016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הורשע כאמור המערער </w:t>
      </w:r>
      <w:r>
        <w:rPr>
          <w:rFonts w:eastAsia="Calibri" w:cs="Century" w:ascii="Century" w:hAnsi="Century"/>
          <w:sz w:val="22"/>
          <w:rtl w:val="true"/>
        </w:rPr>
        <w:t xml:space="preserve">- </w:t>
      </w:r>
      <w:r>
        <w:rPr>
          <w:rFonts w:ascii="Century" w:hAnsi="Century" w:cs="Century"/>
          <w:sz w:val="22"/>
          <w:sz w:val="22"/>
          <w:rtl w:val="true"/>
        </w:rPr>
        <w:t>ברוב דעות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השופטות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נתנאל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</w:t>
      </w:r>
      <w:r>
        <w:rPr>
          <w:rFonts w:ascii="Century" w:hAnsi="Century" w:cs="Century"/>
          <w:sz w:val="22"/>
          <w:sz w:val="22"/>
          <w:rtl w:val="true"/>
        </w:rPr>
        <w:t xml:space="preserve"> כנגד דעתו החולקת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סוקול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בעבירות שיוחסו לו בכתב האישום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כפי שיפורט להלן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התבססה הרשעת המערער על עדותו של המתלונן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אשר נתמכה בראיות מחזקות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eastAsia="Calibri" w:cs="Century"/>
          <w:sz w:val="22"/>
        </w:rPr>
      </w:pPr>
      <w:r>
        <w:rPr>
          <w:rFonts w:eastAsia="Calibri"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2"/>
        </w:numPr>
        <w:overflowPunct w:val="true"/>
        <w:autoSpaceDE w:val="true"/>
        <w:ind w:hanging="360" w:start="720" w:end="0"/>
        <w:jc w:val="both"/>
        <w:textAlignment w:val="auto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eastAsia="Calibri"/>
        </w:rPr>
      </w:pPr>
      <w:r>
        <w:rPr>
          <w:rtl w:val="true"/>
        </w:rPr>
        <w:t>בעדותו בפני בית משפט קמא</w:t>
      </w:r>
      <w:r>
        <w:rPr>
          <w:rtl w:val="true"/>
        </w:rPr>
        <w:t xml:space="preserve">, </w:t>
      </w:r>
      <w:r>
        <w:rPr>
          <w:rtl w:val="true"/>
        </w:rPr>
        <w:t>תיאר המתלונן את מערכת היחסים בינו לבין המערער</w:t>
      </w:r>
      <w:r>
        <w:rPr>
          <w:rtl w:val="true"/>
        </w:rPr>
        <w:t xml:space="preserve">, </w:t>
      </w:r>
      <w:r>
        <w:rPr>
          <w:rtl w:val="true"/>
        </w:rPr>
        <w:t>וסיפר כי משפחתו ומשפחת המערער התגוררו בסמיכות והרבו להיפגש</w:t>
      </w:r>
      <w:r>
        <w:rPr>
          <w:rtl w:val="true"/>
        </w:rPr>
        <w:t xml:space="preserve">, </w:t>
      </w:r>
      <w:r>
        <w:rPr>
          <w:rtl w:val="true"/>
        </w:rPr>
        <w:t>וכי הוא לן בביתו של המערער לא מעט פעמים</w:t>
      </w:r>
      <w:r>
        <w:rPr>
          <w:rtl w:val="true"/>
        </w:rPr>
        <w:t xml:space="preserve">. </w:t>
      </w:r>
      <w:r>
        <w:rPr>
          <w:rtl w:val="true"/>
        </w:rPr>
        <w:t>המתלונן הסביר כי בתקופה הרלבנטית הוא היה מתאמן בקרב מגע אצל דודתו</w:t>
      </w:r>
      <w:r>
        <w:rPr>
          <w:rtl w:val="true"/>
        </w:rPr>
        <w:t xml:space="preserve">, </w:t>
      </w:r>
      <w:r>
        <w:rPr>
          <w:rtl w:val="true"/>
        </w:rPr>
        <w:t>אשתו של המערער</w:t>
      </w:r>
      <w:r>
        <w:rPr>
          <w:rtl w:val="true"/>
        </w:rPr>
        <w:t xml:space="preserve">, </w:t>
      </w:r>
      <w:r>
        <w:rPr>
          <w:rtl w:val="true"/>
        </w:rPr>
        <w:t>וכי כתוצאה מהאימונים נתפסו שריריו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לדבריו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בבוקר יום האירוע העיר אותו המערער תוך כדי עיסוי ברגליים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ואחר כך שאל אותו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בצורה מוזרה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 xml:space="preserve">אם הוא רוצה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לעשות ביד לפני שהולכים או לראות איזה סרט פורנו או משהו</w:t>
      </w:r>
      <w:r>
        <w:rPr>
          <w:rFonts w:eastAsia="Calibri"/>
          <w:rtl w:val="true"/>
        </w:rPr>
        <w:t>?" (</w:t>
      </w:r>
      <w:r>
        <w:rPr>
          <w:rFonts w:eastAsia="Calibri"/>
          <w:rtl w:val="true"/>
        </w:rPr>
        <w:t>עמ</w:t>
      </w:r>
      <w:r>
        <w:rPr>
          <w:rFonts w:eastAsia="Calibri"/>
          <w:rtl w:val="true"/>
        </w:rPr>
        <w:t xml:space="preserve">' </w:t>
      </w:r>
      <w:r>
        <w:rPr>
          <w:rFonts w:eastAsia="Calibri"/>
        </w:rPr>
        <w:t>8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 xml:space="preserve">לפרוטוקול הדיון מיום </w:t>
      </w:r>
      <w:r>
        <w:rPr>
          <w:rFonts w:eastAsia="Calibri"/>
        </w:rPr>
        <w:t>14.2.2016</w:t>
      </w:r>
      <w:r>
        <w:rPr>
          <w:rFonts w:eastAsia="Calibri"/>
          <w:rtl w:val="true"/>
        </w:rPr>
        <w:t xml:space="preserve">), </w:t>
      </w:r>
      <w:r>
        <w:rPr>
          <w:rFonts w:eastAsia="Calibri"/>
          <w:rtl w:val="true"/>
        </w:rPr>
        <w:t>ומדי פעם הוא נגע באיבר מינו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המתלונן מסר כי חשב שהמגע באיבר המין לא ארע בכוונה אלא באקראי תוך כדי העיסוי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המתלונן סיפר כי הוא ישן על הספה כשהוא לבוש מכנסי טרנינג וחולצה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ובמהלך העיסוי המערער הוריד לו את המכנסיים והוא נותר עם תחתוני הבוקסר שלו</w:t>
      </w:r>
      <w:r>
        <w:rPr>
          <w:rFonts w:eastAsia="Calibri"/>
          <w:rtl w:val="true"/>
        </w:rPr>
        <w:t>.</w:t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eastAsia="Calibri"/>
        </w:rPr>
      </w:pPr>
      <w:r>
        <w:rPr>
          <w:rFonts w:eastAsia="Calibri"/>
          <w:rtl w:val="true"/>
        </w:rPr>
        <w:t>בהמשך גולל המתלונן את השתלשלות הדברים מעת שהגיעו השניים לבית הדפוס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וציין כי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היה עוד זמן עד שכולם באו וכולם באים ב</w:t>
      </w:r>
      <w:r>
        <w:rPr>
          <w:rFonts w:eastAsia="Calibri"/>
          <w:rtl w:val="true"/>
        </w:rPr>
        <w:t>-</w:t>
      </w:r>
      <w:r>
        <w:rPr>
          <w:rFonts w:eastAsia="Calibri"/>
        </w:rPr>
        <w:t>6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והשעה הייתה בסביבות חמש ורבע</w:t>
      </w:r>
      <w:r>
        <w:rPr>
          <w:rFonts w:eastAsia="Calibri"/>
          <w:rtl w:val="true"/>
        </w:rPr>
        <w:t xml:space="preserve">". </w:t>
      </w:r>
      <w:r>
        <w:rPr>
          <w:rFonts w:eastAsia="Calibri"/>
          <w:rtl w:val="true"/>
        </w:rPr>
        <w:t xml:space="preserve">המתלונן סיפר כי נענה להצעתו של המערער כי יעשה לו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עוד עיסוי</w:t>
      </w:r>
      <w:r>
        <w:rPr>
          <w:rFonts w:eastAsia="Calibri"/>
          <w:rtl w:val="true"/>
        </w:rPr>
        <w:t xml:space="preserve">", </w:t>
      </w:r>
      <w:r>
        <w:rPr>
          <w:rFonts w:eastAsia="Calibri"/>
          <w:rtl w:val="true"/>
        </w:rPr>
        <w:t xml:space="preserve">בציינו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הייתי ממש תפוס ואני ילד עצלן קצת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מישהו רוצה לפנק אותי אז למה לא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מסאז</w:t>
      </w:r>
      <w:r>
        <w:rPr>
          <w:rFonts w:eastAsia="Calibri"/>
          <w:rtl w:val="true"/>
        </w:rPr>
        <w:t xml:space="preserve">' </w:t>
      </w:r>
      <w:r>
        <w:rPr>
          <w:rFonts w:eastAsia="Calibri"/>
          <w:rtl w:val="true"/>
        </w:rPr>
        <w:t>זה בסדר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לא חשבתי שיש בתוך כל העניין הזה משהו מיני</w:t>
      </w:r>
      <w:r>
        <w:rPr>
          <w:rFonts w:eastAsia="Calibri"/>
          <w:rtl w:val="true"/>
        </w:rPr>
        <w:t>" (</w:t>
      </w:r>
      <w:r>
        <w:rPr>
          <w:rFonts w:eastAsia="Calibri"/>
          <w:rtl w:val="true"/>
        </w:rPr>
        <w:t>עמ</w:t>
      </w:r>
      <w:r>
        <w:rPr>
          <w:rFonts w:eastAsia="Calibri"/>
          <w:rtl w:val="true"/>
        </w:rPr>
        <w:t xml:space="preserve">' </w:t>
      </w:r>
      <w:r>
        <w:rPr>
          <w:rFonts w:eastAsia="Calibri"/>
        </w:rPr>
        <w:t>11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לפרוטוקול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>אז סיפר המתלונן כי המערער אמר לו לשכב על שולחן ב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חדר מחסן של נייר וגליוטינה</w:t>
      </w:r>
      <w:r>
        <w:rPr>
          <w:rFonts w:eastAsia="Calibri"/>
          <w:rtl w:val="true"/>
        </w:rPr>
        <w:t xml:space="preserve">", </w:t>
      </w:r>
      <w:r>
        <w:rPr>
          <w:rFonts w:eastAsia="Calibri"/>
          <w:rtl w:val="true"/>
        </w:rPr>
        <w:t>המתלונן שכב על הגב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והמערער החל לעשות לו עיסוי</w:t>
      </w:r>
      <w:r>
        <w:rPr>
          <w:rFonts w:eastAsia="Calibri"/>
          <w:rtl w:val="true"/>
        </w:rPr>
        <w:t>: "</w:t>
      </w:r>
      <w:r>
        <w:rPr>
          <w:rFonts w:eastAsia="Calibri"/>
          <w:rtl w:val="true"/>
        </w:rPr>
        <w:t>כביכול הוא עשה מסאז</w:t>
      </w:r>
      <w:r>
        <w:rPr>
          <w:rFonts w:eastAsia="Calibri"/>
          <w:rtl w:val="true"/>
        </w:rPr>
        <w:t xml:space="preserve">' </w:t>
      </w:r>
      <w:r>
        <w:rPr>
          <w:rFonts w:eastAsia="Calibri"/>
          <w:rtl w:val="true"/>
        </w:rPr>
        <w:t xml:space="preserve">במשך כמה דקות </w:t>
      </w:r>
      <w:r>
        <w:rPr>
          <w:rFonts w:eastAsia="Calibri"/>
          <w:rtl w:val="true"/>
        </w:rPr>
        <w:t xml:space="preserve">[...] </w:t>
      </w:r>
      <w:r>
        <w:rPr>
          <w:rFonts w:eastAsia="Calibri"/>
          <w:rtl w:val="true"/>
        </w:rPr>
        <w:t xml:space="preserve">עם בגדים ואז הוא הוריד לי את המכנסיים ואמרתי לו מה אתה עושה והוא אמר לא כדי שזה יהיה יותר נוח </w:t>
      </w:r>
      <w:r>
        <w:rPr>
          <w:rFonts w:eastAsia="Calibri"/>
          <w:rtl w:val="true"/>
        </w:rPr>
        <w:t xml:space="preserve">[...] </w:t>
      </w:r>
      <w:r>
        <w:rPr>
          <w:rFonts w:eastAsia="Calibri"/>
          <w:rtl w:val="true"/>
        </w:rPr>
        <w:t>ואז הוא עשה במשך כמה דקות עיסוי ואז הוא התחיל לגעת בי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לא ידעתי מה לעשות וקפאתי ואז כאילו הוא אמר אתה רוצה שאני אעשה לך ביד</w:t>
      </w:r>
      <w:r>
        <w:rPr>
          <w:rFonts w:eastAsia="Calibri"/>
          <w:rtl w:val="true"/>
        </w:rPr>
        <w:t xml:space="preserve">? </w:t>
      </w:r>
      <w:r>
        <w:rPr>
          <w:rFonts w:eastAsia="Calibri"/>
          <w:rtl w:val="true"/>
        </w:rPr>
        <w:t>אני כזה לא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לא יודע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אז הוא התחיל לגעת בי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ואז הוא גם הוריד לי את הבוקסר באותו זמן</w:t>
      </w:r>
      <w:r>
        <w:rPr>
          <w:rFonts w:eastAsia="Calibri"/>
          <w:rtl w:val="true"/>
        </w:rPr>
        <w:t xml:space="preserve">". </w:t>
      </w:r>
      <w:r>
        <w:rPr>
          <w:rFonts w:eastAsia="Calibri"/>
          <w:rtl w:val="true"/>
        </w:rPr>
        <w:t xml:space="preserve">המתלונן סיפר כי אז נגע המערער באיבר מינו החשוף ושפשף אותו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עמ</w:t>
      </w:r>
      <w:r>
        <w:rPr>
          <w:rFonts w:eastAsia="Calibri"/>
          <w:rtl w:val="true"/>
        </w:rPr>
        <w:t xml:space="preserve">' </w:t>
      </w:r>
      <w:r>
        <w:rPr>
          <w:rFonts w:eastAsia="Calibri"/>
        </w:rPr>
        <w:t>12-11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לפרוטוקול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>המתלונן מסר כי לאחר האירוע בבית הדפוס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בסביבות השעה </w:t>
      </w:r>
      <w:r>
        <w:rPr>
          <w:rFonts w:eastAsia="Calibri"/>
        </w:rPr>
        <w:t>11:00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הוא פנה למערער ואמר לו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מה שקרה היה לא בסדר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מה שעשית ומה שעשינו היה לא בסדר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אז הוא אמר לא הכל בסדר ואתה יודע היום הכל פרוץ ועושים מה שרוצים</w:t>
      </w:r>
      <w:r>
        <w:rPr>
          <w:rFonts w:eastAsia="Calibri"/>
          <w:rtl w:val="true"/>
        </w:rPr>
        <w:t>" (</w:t>
      </w:r>
      <w:r>
        <w:rPr>
          <w:rFonts w:eastAsia="Calibri"/>
          <w:rtl w:val="true"/>
        </w:rPr>
        <w:t>עמ</w:t>
      </w:r>
      <w:r>
        <w:rPr>
          <w:rFonts w:eastAsia="Calibri"/>
          <w:rtl w:val="true"/>
        </w:rPr>
        <w:t xml:space="preserve">' </w:t>
      </w:r>
      <w:r>
        <w:rPr>
          <w:rFonts w:eastAsia="Calibri"/>
        </w:rPr>
        <w:t>14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לפרוטוקול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>המתלונן העיד לגבי השולחן עליו שכב בבית הדפוס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כי לא ניתן לראותו באופן מידי כשיוצאים מהמעלית בבית הדפוס</w:t>
      </w:r>
      <w:r>
        <w:rPr>
          <w:rFonts w:eastAsia="Calibri"/>
          <w:rtl w:val="true"/>
        </w:rPr>
        <w:t>, "</w:t>
      </w:r>
      <w:r>
        <w:rPr>
          <w:rFonts w:eastAsia="Calibri"/>
          <w:rtl w:val="true"/>
        </w:rPr>
        <w:t xml:space="preserve">זה לא היה ישר </w:t>
      </w:r>
      <w:r>
        <w:rPr>
          <w:rFonts w:eastAsia="Calibri"/>
          <w:rtl w:val="true"/>
        </w:rPr>
        <w:t xml:space="preserve">[...] </w:t>
      </w:r>
      <w:r>
        <w:rPr>
          <w:rFonts w:eastAsia="Calibri"/>
          <w:rtl w:val="true"/>
        </w:rPr>
        <w:t>צריך להיכנס בדלת ואז הוא רואה את זה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אם הדלת פתוחה</w:t>
      </w:r>
      <w:r>
        <w:rPr>
          <w:rFonts w:eastAsia="Calibri"/>
          <w:rtl w:val="true"/>
        </w:rPr>
        <w:t>" (</w:t>
      </w:r>
      <w:r>
        <w:rPr>
          <w:rFonts w:eastAsia="Calibri"/>
          <w:rtl w:val="true"/>
        </w:rPr>
        <w:t>עמ</w:t>
      </w:r>
      <w:r>
        <w:rPr>
          <w:rFonts w:eastAsia="Calibri"/>
          <w:rtl w:val="true"/>
        </w:rPr>
        <w:t xml:space="preserve">' </w:t>
      </w:r>
      <w:r>
        <w:rPr>
          <w:rFonts w:eastAsia="Calibri"/>
        </w:rPr>
        <w:t>22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לפרוטוקול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 xml:space="preserve">תמונות המקום שהוגשו מטעם ההגנה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נ</w:t>
      </w:r>
      <w:r>
        <w:rPr>
          <w:rFonts w:eastAsia="Calibri"/>
          <w:rtl w:val="true"/>
        </w:rPr>
        <w:t>/</w:t>
      </w:r>
      <w:r>
        <w:rPr>
          <w:rFonts w:eastAsia="Calibri"/>
        </w:rPr>
        <w:t>1</w:t>
      </w:r>
      <w:r>
        <w:rPr>
          <w:rFonts w:eastAsia="Calibri"/>
          <w:rtl w:val="true"/>
        </w:rPr>
        <w:t xml:space="preserve">) </w:t>
      </w:r>
      <w:r>
        <w:rPr>
          <w:rFonts w:eastAsia="Calibri"/>
          <w:rtl w:val="true"/>
        </w:rPr>
        <w:t>מלמדות כי בעת היציאה מהמעלית לא ניתן להבחין ישירות בשולחן האמור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אלא רק לאחר פנייה שמאלה אל כיוון דלת הכניסה של בית הדפוס</w:t>
      </w:r>
      <w:r>
        <w:rPr>
          <w:rFonts w:eastAsia="Calibri"/>
          <w:rtl w:val="true"/>
        </w:rPr>
        <w:t>.</w:t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eastAsia="Calibri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בעדותו הזכיר המתלונן מקרה נוסף שארע כשנה קודם לכן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אף הוא בסלון ביתו של המערער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הקודם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במהלכו נגע המערער באיבר מינו של המתלונן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המתלונן ציין כי הוא אינו בטוח כי המקרה הזה אכן אירע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לא יודע התהפכתי מתוך שינה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ידעתי אם זה אמיתי או לא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ולפיכך הוא העדיף שלא להרחיב בעניין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המתלונן מסר כי סיפר על המקרה הקודם לאמו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ודודתו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אשת המערער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פנתה אליו בנושא אך הוא אמר לה כי אינו משוכנע שהדברים אכן קרו וכי כדאי לשכוח מהעניין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והסביר כי פחד מפני גרימת סכסוכים משפחתיים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כשנשאל המתלונן כיצד הוא מסביר את העובדה ששב ללון אצל המערער אחרי האירוע הקודם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השיב כי לעתים הוא חולם חלומות מוחשיים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ולפיכך סבר כי המערער נגע בו בחלום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עם זאת ציין כי לאחר אותו מקרה נמנע מלישון בבית המערער במשך </w:t>
      </w:r>
      <w:r>
        <w:rPr>
          <w:rFonts w:cs="Century" w:ascii="Century" w:hAnsi="Century"/>
          <w:sz w:val="22"/>
        </w:rPr>
        <w:t>5-4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משלא היה משוכנע שהדברים אכן קרו שב להתארח בביתו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7.1.2015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בעלילה</w:t>
      </w:r>
      <w:r>
        <w:rPr>
          <w:rtl w:val="true"/>
        </w:rPr>
        <w:t xml:space="preserve">, </w:t>
      </w:r>
      <w:r>
        <w:rPr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דמיונו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משכורת</w:t>
      </w:r>
      <w:r>
        <w:rPr>
          <w:rtl w:val="true"/>
        </w:rPr>
        <w:t xml:space="preserve">, </w:t>
      </w:r>
      <w:r>
        <w:rPr>
          <w:rtl w:val="true"/>
        </w:rPr>
        <w:t>ובעדותו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הושפע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מגרסתו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עדותו של המתלונן נמצאה על ידי בית משפט קמא כעדות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מהימנה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וקוהרנטית</w:t>
      </w:r>
      <w:r>
        <w:rPr>
          <w:sz w:val="28"/>
          <w:rtl w:val="true"/>
        </w:rPr>
        <w:t xml:space="preserve">. </w:t>
      </w:r>
      <w:r>
        <w:rPr>
          <w:rtl w:val="true"/>
        </w:rPr>
        <w:t>נקבע כי המתלונן תיאר את הדברים בשפתו</w:t>
      </w:r>
      <w:r>
        <w:rPr>
          <w:rtl w:val="true"/>
        </w:rPr>
        <w:t xml:space="preserve">, </w:t>
      </w:r>
      <w:r>
        <w:rPr>
          <w:rtl w:val="true"/>
        </w:rPr>
        <w:t>העשירה בביטויים של בחור חכם ונבון</w:t>
      </w:r>
      <w:r>
        <w:rPr>
          <w:rtl w:val="true"/>
        </w:rPr>
        <w:t xml:space="preserve">, </w:t>
      </w:r>
      <w:r>
        <w:rPr>
          <w:rtl w:val="true"/>
        </w:rPr>
        <w:t>תוך שנמנע מהפרזות והעצמה של הדברים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 xml:space="preserve">נזהר המתלונן שלא להגזים בתיאורו </w:t>
      </w:r>
      <w:r>
        <w:rPr>
          <w:rFonts w:ascii="Century" w:hAnsi="Century" w:cs="Century"/>
          <w:sz w:val="22"/>
          <w:sz w:val="22"/>
          <w:rtl w:val="true"/>
        </w:rPr>
        <w:t>את השלכת האירוע הקודם עליו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הבהיר כי הוא אמנם זוכר את המקרה אך האירוע לא גרם לו טראומה שבעטיה נזקק לטיפול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נקבע כי אף העובדה שהמתלונן בחר שלא להגיש תלונה בגין אותו 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משלא היה משוכנע אם הדברים התרחשו במציאות או בחלומו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ממחישה כי המתלונן תיאר בפני בית המשפט התרחשות אמיתית של אירועים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אותם ידע לאבחן היטב מהאירוע הקודם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אף אין לראות כל פסול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בעובדה שאמו של המתלונן ביקשה להתייעץ תחילה עם פסיכולוג ולעמת את המערער עם המעשים המיוחסים לו ורק לאחר מכן להגיש את התלונה נגדו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בהתייחס לסתירות בגרסת המתלונן אליהן הפנתה ההגנה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כדוגמת אי דיוקים בהצגת זמני האירוע ובתיאור אופן התרחשות המעשים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קבע בית משפט קמא כי אין באלה כדי ללמד על אי אמינותו של המתלונן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בעדותו בבית המשפט תיאר אירועים שהתרחשו כשנתיים קודם לכן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בהיותו קטין כבן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בהקשר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אף נדחתה טענת ההגנה לפיה עולה מחקירה שנערכה נגד המתלונן וקטינה נוספת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הקטינה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בגין הטרדות טלפוניות בעלות אופי מיני שבוצעו לכאורה על ידם כלפי מורתם בשנת </w:t>
      </w:r>
      <w:r>
        <w:rPr>
          <w:rFonts w:cs="Century" w:ascii="Century" w:hAnsi="Century"/>
          <w:sz w:val="22"/>
        </w:rPr>
        <w:t>2012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אין ליתן במתלונן אמון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לאחר עיון בהודעות שנגבו במסגרת תיק החקירה האמור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חקירה שבסיומה התיק נסגר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הסגור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קבע בית המשפט כי אין בהן כדי לערער את מהימנות המתלונן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הסביר כי דובר מבחינתו במעשה קונדס וכי הקטינה היא זו שעשתה שימוש במכשיר הפלאפון שלו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2"/>
        </w:numPr>
        <w:overflowPunct w:val="true"/>
        <w:autoSpaceDE w:val="true"/>
        <w:ind w:hanging="360" w:start="720" w:end="0"/>
        <w:jc w:val="both"/>
        <w:textAlignment w:val="auto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חיזוקים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ראשית הובהר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לפי </w:t>
      </w:r>
      <w:hyperlink r:id="rId1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54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2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נוסח חדש</w:t>
      </w:r>
      <w:r>
        <w:rPr>
          <w:rFonts w:cs="Century" w:ascii="Century" w:hAnsi="Century"/>
          <w:sz w:val="22"/>
          <w:rtl w:val="true"/>
        </w:rPr>
        <w:t xml:space="preserve">],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בנוסחו לאחר שתוקן בשנת </w:t>
      </w:r>
      <w:r>
        <w:rPr>
          <w:rFonts w:cs="Century" w:ascii="Century" w:hAnsi="Century"/>
          <w:sz w:val="22"/>
        </w:rPr>
        <w:t>1982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עוד דרישת סיוע לעדות של קורבן עבירות מין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ומוטלת עתה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חובת הנמקה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בלבד לצורך הרשעה על פי עדות יחידה כאמור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נקבע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עדותו של המתלונן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מוצאת לעצמה חיזוקים ואף סיוע</w:t>
      </w:r>
      <w:r>
        <w:rPr>
          <w:rFonts w:cs="Century" w:ascii="Century" w:hAnsi="Century"/>
          <w:sz w:val="22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נקבע כי עדותו של המתלונן נתמכה ב</w:t>
      </w:r>
      <w:r>
        <w:rPr>
          <w:rFonts w:cs="Miriam"/>
          <w:b/>
          <w:b/>
          <w:spacing w:val="0"/>
          <w:szCs w:val="24"/>
          <w:rtl w:val="true"/>
        </w:rPr>
        <w:t>עדויות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אשר תיארו את הלך נפשו של המתלונן בסמוך לאירוע ועת שסיפר להם על מעשי המערער כלפיו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התרחשותם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בביתה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14.2.2016</w:t>
      </w:r>
      <w:r>
        <w:rPr>
          <w:rtl w:val="true"/>
        </w:rPr>
        <w:t xml:space="preserve">).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alibri Light" w:ascii="Calibri Light" w:hAnsi="Calibri Light"/>
          <w:sz w:val="24"/>
          <w:szCs w:val="22"/>
        </w:rPr>
        <w:t>sms</w:t>
      </w:r>
      <w:r>
        <w:rPr>
          <w:sz w:val="24"/>
          <w:szCs w:val="22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במונית</w:t>
      </w:r>
      <w:r>
        <w:rPr>
          <w:rtl w:val="true"/>
        </w:rPr>
        <w:t xml:space="preserve">". </w:t>
      </w:r>
      <w:r>
        <w:rPr>
          <w:rtl w:val="true"/>
        </w:rPr>
        <w:t>כשהגיע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לחצר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באיזושהי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הדפוס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",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ומבולבל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ואמרה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?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",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Fonts w:ascii="Century" w:hAnsi="Century" w:cs="Century"/>
          <w:rtl w:val="true"/>
        </w:rPr>
        <w:t>האם מסרה כי בניגוד למקרה הקודם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עתה הבינה כי עליה להגיש תלונה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וחשפה את הדברים גם בפני אחותה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אשת המערער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אשר למחרת היום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גררה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 המערער לביתם ועימתה ביניהם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ותיאר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בוכה</w:t>
      </w:r>
      <w:r>
        <w:rPr>
          <w:rtl w:val="true"/>
        </w:rPr>
        <w:t xml:space="preserve">"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כמוהו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הדפוס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שהתקיימה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,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ושם</w:t>
      </w:r>
      <w:r>
        <w:rPr>
          <w:rtl w:val="true"/>
        </w:rPr>
        <w:t xml:space="preserve">, </w:t>
      </w:r>
      <w:r>
        <w:rPr>
          <w:rtl w:val="true"/>
        </w:rPr>
        <w:t>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שיקר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ומנוגדים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 w:val="26"/>
          <w:sz w:val="26"/>
          <w:szCs w:val="24"/>
          <w:rtl w:val="true"/>
        </w:rPr>
        <w:t>אמין</w:t>
      </w:r>
      <w:r>
        <w:rPr>
          <w:rFonts w:eastAsia="Arial TUR;Arial" w:cs="Arial TUR;Arial"/>
          <w:spacing w:val="0"/>
          <w:sz w:val="26"/>
          <w:sz w:val="26"/>
          <w:szCs w:val="24"/>
          <w:rtl w:val="true"/>
        </w:rPr>
        <w:t xml:space="preserve"> </w:t>
      </w:r>
      <w:r>
        <w:rPr>
          <w:rFonts w:cs="Miriam"/>
          <w:spacing w:val="0"/>
          <w:sz w:val="26"/>
          <w:sz w:val="26"/>
          <w:szCs w:val="24"/>
          <w:rtl w:val="true"/>
        </w:rPr>
        <w:t>וחיובי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שוליות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הוטח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הדפוס</w:t>
      </w:r>
      <w:r>
        <w:rPr>
          <w:rtl w:val="true"/>
        </w:rPr>
        <w:t xml:space="preserve">,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האנושי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color w:val="FF0000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ascii="Century" w:hAnsi="Century" w:cs="Century"/>
          <w:sz w:val="22"/>
          <w:sz w:val="22"/>
          <w:rtl w:val="true"/>
        </w:rPr>
        <w:t xml:space="preserve"> בבית הדפוס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מיד לאחר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נמצאה גם היא כמלמדת על אמינותו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בעצמו אישר כי המתלונן חדל לתפקד ולעבוד לאחר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תוך שטען כי אינו חש בטוב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בניגוד לתפקודו הטוב בעבודה יום קודם לכן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אף אישר כי אמו של המתלונן התקשרה אליו ואמרה לו שהמתלונן אינו חש בטוב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ובעקבות זאת פעל המערער להזמנת מונית למתלונן לצורך הסעתו לביתו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בנקודה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ציין בית משפט קמא כי תמוה מדוע המערער לא הסיע את המתלונן לביתו והעדיף לשלם מאות שקלים על נסיעת המתלונן מתל אביב לחדרה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בית המשפט מצא גם בהתנהגות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cs="Century"/>
          <w:sz w:val="22"/>
          <w:sz w:val="22"/>
          <w:rtl w:val="true"/>
        </w:rPr>
        <w:t xml:space="preserve"> במסגרת המפגש עם הורי המתלונן התנהגות מפלילה אשר מהווה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חיזוק משמעותי ואף סיוע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לעדות המתלונן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האם מסרה כי במהלך העימות שנערך בין הצדדים כאשר המערער ואשתו הגיעו לביתם למחרת האירוע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הניח המערער את ידיו על פניו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אמר שהתעורר לתוך גיהינום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הצמיד את אגרופיו לפניו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היה מסוגל לדבר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מסרה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אחותה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ניסתה לדבר ואמרה למה אתה לא מדבר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אמרת שזה לא היה אז תגן על עצמך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היא כאילו ממש ניסתה לתקן את מה שהיה יום לפני כן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40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לפרוטוקול הדיון מיום </w:t>
      </w:r>
      <w:r>
        <w:rPr>
          <w:rFonts w:cs="Century" w:ascii="Century" w:hAnsi="Century"/>
          <w:sz w:val="22"/>
        </w:rPr>
        <w:t>14.2.2016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אף האב ציין בעדותו כי באותו עימות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במהלכו הוטחו במערער ההאשמות המיוחסות 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המערער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ישב כולו אדום סגול ככה ולא הביע מילה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47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לפרוטוקול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ובהמשך אמר האב</w:t>
      </w:r>
      <w:r>
        <w:rPr>
          <w:rFonts w:cs="Century" w:ascii="Century" w:hAnsi="Century"/>
          <w:sz w:val="22"/>
          <w:rtl w:val="true"/>
        </w:rPr>
        <w:t>, "</w:t>
      </w:r>
      <w:r>
        <w:rPr>
          <w:rFonts w:ascii="Century" w:hAnsi="Century" w:cs="Century"/>
          <w:sz w:val="22"/>
          <w:sz w:val="22"/>
          <w:rtl w:val="true"/>
        </w:rPr>
        <w:t>אשתו א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אומרת אם אתה שותק ככה סימן שיש משהו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הם קמו והלכו ואחר כך אנחנו נסענו למשטרה והגשנו תלונה</w:t>
      </w:r>
      <w:r>
        <w:rPr>
          <w:rFonts w:cs="Century" w:ascii="Century" w:hAnsi="Century"/>
          <w:sz w:val="22"/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eastAsia="Century" w:cs="Century" w:ascii="Century" w:hAnsi="Century"/>
          <w:sz w:val="22"/>
          <w:rtl w:val="true"/>
        </w:rPr>
        <w:t xml:space="preserve">  </w:t>
      </w:r>
    </w:p>
    <w:p>
      <w:pPr>
        <w:pStyle w:val="Ruller41"/>
        <w:numPr>
          <w:ilvl w:val="0"/>
          <w:numId w:val="2"/>
        </w:numPr>
        <w:overflowPunct w:val="true"/>
        <w:autoSpaceDE w:val="true"/>
        <w:ind w:hanging="360" w:start="720" w:end="0"/>
        <w:jc w:val="both"/>
        <w:textAlignment w:val="auto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 xml:space="preserve">המערער הכחיש קיום מגע מיני עם המתלונן בשתי ההודעות שמסר במשטרה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ובעימות שנערך בינו לבין המתלונן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/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כך גם בעדותו בפני 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במסגרתה טען כי טרם היציאה לבית הדפוס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העיר את המתלונן בנענוע גופו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לא ביצע בגופו עיסוי ולא הציע לו לצפות בסרטי פורנו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 טען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בבית הדפוס עיסה את כתפיו של המתלונן באזור השכמות בלבד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כאשר לבקשתו שכב המתלונן על השולחן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בגלל שהוא מאוד גבוה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91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לפרוטוקול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המערער תיאר קשר מאוד קרוב עם משפחת המתלונן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ועולה מדבריו כי המתלונן חש בנוח לנהל עמו שיחות בנושאים מיניים ומערכת היחסים ביניהם הייתה כמעט אבהית</w:t>
      </w:r>
      <w:r>
        <w:rPr>
          <w:rFonts w:cs="Century" w:ascii="Century" w:hAnsi="Century"/>
          <w:sz w:val="22"/>
          <w:rtl w:val="true"/>
        </w:rPr>
        <w:t>, "</w:t>
      </w:r>
      <w:r>
        <w:rPr>
          <w:rFonts w:ascii="Century" w:hAnsi="Century" w:cs="Century"/>
          <w:sz w:val="22"/>
          <w:sz w:val="22"/>
          <w:rtl w:val="true"/>
        </w:rPr>
        <w:t>מצד אחד הייתה פתיחות מאוד גדולה ומהצד השני היה לנו המון מריבות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98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לפרוטוקול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tl w:val="true"/>
        </w:rPr>
        <w:t>המערער תיאר את המתלונן כנער מניפולטיבי ולעתים אף אלים</w:t>
      </w:r>
      <w:r>
        <w:rPr>
          <w:rtl w:val="true"/>
        </w:rPr>
        <w:t xml:space="preserve">. </w:t>
      </w:r>
      <w:r>
        <w:rPr>
          <w:rtl w:val="true"/>
        </w:rPr>
        <w:t>המערער סיפר כי המתלונן סירב לעזור במטלות הבית כמו שטיפת כלים וקיפול כביסה</w:t>
      </w:r>
      <w:r>
        <w:rPr>
          <w:rtl w:val="true"/>
        </w:rPr>
        <w:t xml:space="preserve">, </w:t>
      </w:r>
      <w:r>
        <w:rPr>
          <w:rtl w:val="true"/>
        </w:rPr>
        <w:t xml:space="preserve">וציין לראשונה בעדותו </w:t>
      </w:r>
      <w:r>
        <w:rPr>
          <w:rtl w:val="true"/>
        </w:rPr>
        <w:t>"</w:t>
      </w:r>
      <w:r>
        <w:rPr>
          <w:rtl w:val="true"/>
        </w:rPr>
        <w:t>פעם אפילו הרים יד על אמא שלו</w:t>
      </w:r>
      <w:r>
        <w:rPr>
          <w:rtl w:val="true"/>
        </w:rPr>
        <w:t xml:space="preserve">. </w:t>
      </w:r>
      <w:r>
        <w:rPr>
          <w:rtl w:val="true"/>
        </w:rPr>
        <w:t>אבא שלו הזמין לו משטרה אפילו כמה פעמים</w:t>
      </w:r>
      <w:r>
        <w:rPr>
          <w:rtl w:val="true"/>
        </w:rPr>
        <w:t xml:space="preserve">". </w:t>
      </w:r>
      <w:r>
        <w:rPr>
          <w:rtl w:val="true"/>
        </w:rPr>
        <w:t>כן העלה המערער</w:t>
      </w:r>
      <w:r>
        <w:rPr>
          <w:rtl w:val="true"/>
        </w:rPr>
        <w:t xml:space="preserve">, </w:t>
      </w:r>
      <w:r>
        <w:rPr>
          <w:rtl w:val="true"/>
        </w:rPr>
        <w:t>לראשונה בעדותו בבית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את המניע שעמד לטענתו בבסיס תלונת המתלונן נגדו </w:t>
      </w:r>
      <w:r>
        <w:rPr>
          <w:rtl w:val="true"/>
        </w:rPr>
        <w:t>–</w:t>
      </w:r>
      <w:r>
        <w:rPr>
          <w:rtl w:val="true"/>
        </w:rPr>
        <w:t xml:space="preserve"> כעסו של המתלונן על המערער על כך שהוא לא שילם לו את שכרו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נאמר למתלונן שיקבל משכורת כמו כל העובדים</w:t>
      </w:r>
      <w:r>
        <w:rPr>
          <w:rtl w:val="true"/>
        </w:rPr>
        <w:t xml:space="preserve">, </w:t>
      </w:r>
      <w:r>
        <w:rPr>
          <w:rtl w:val="true"/>
        </w:rPr>
        <w:t>אחת לחודש</w:t>
      </w:r>
      <w:r>
        <w:rPr>
          <w:rtl w:val="true"/>
        </w:rPr>
        <w:t xml:space="preserve">, </w:t>
      </w:r>
      <w:r>
        <w:rPr>
          <w:rtl w:val="true"/>
        </w:rPr>
        <w:t xml:space="preserve">אך הוא רצה </w:t>
      </w:r>
      <w:r>
        <w:rPr>
          <w:rtl w:val="true"/>
        </w:rPr>
        <w:t>"</w:t>
      </w:r>
      <w:r>
        <w:rPr>
          <w:rtl w:val="true"/>
        </w:rPr>
        <w:t>כל יום</w:t>
      </w:r>
      <w:r>
        <w:rPr>
          <w:rtl w:val="true"/>
        </w:rPr>
        <w:t xml:space="preserve">". </w:t>
      </w:r>
      <w:r>
        <w:rPr>
          <w:rtl w:val="true"/>
        </w:rPr>
        <w:t xml:space="preserve">כן העלה המערער בעדותו לראשונה את הגרסה לפיה המתלונן ביקש ממנו את שכרו נוכח חובותיו לאנשים רבים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 w:val="26"/>
          <w:sz w:val="26"/>
          <w:szCs w:val="24"/>
          <w:rtl w:val="true"/>
        </w:rPr>
        <w:t>בלתי</w:t>
      </w:r>
      <w:r>
        <w:rPr>
          <w:rFonts w:eastAsia="Arial TUR;Arial" w:cs="Arial TUR;Arial"/>
          <w:spacing w:val="0"/>
          <w:sz w:val="26"/>
          <w:sz w:val="26"/>
          <w:szCs w:val="24"/>
          <w:rtl w:val="true"/>
        </w:rPr>
        <w:t xml:space="preserve"> </w:t>
      </w:r>
      <w:r>
        <w:rPr>
          <w:rFonts w:cs="Miriam"/>
          <w:spacing w:val="0"/>
          <w:sz w:val="26"/>
          <w:sz w:val="26"/>
          <w:szCs w:val="24"/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ניסה באופן מניפולטיבי ותוך אי אמירת אמת לערער את אמינותו של המתלונן ולהשחיר את פניו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הטענה למניע נדחתה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משנמצאה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הדפוס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כשנשאל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),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".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לכבישתה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טענת המערער כי בעת הרלבנטית לא ניתן היה לנעול את דלת בית הדפוס מבפנים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משאינה מתיישבת עם דברי מעסיקו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העיד בפני בית המשפט וסיפר כי למערער יש מפתח שבאמצעותו ניתן לנעול את אותה דלת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ציין כלל את היעדר האפשרות לנעול את הדלת מבפנים ולא נחקר על כך על ידי הסנגור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בסיכומו של דבר</w:t>
      </w:r>
      <w:r>
        <w:rPr>
          <w:rtl w:val="true"/>
        </w:rPr>
        <w:t xml:space="preserve">, </w:t>
      </w:r>
      <w:r>
        <w:rPr>
          <w:rtl w:val="true"/>
        </w:rPr>
        <w:t>קיבל בית משפט קמא את עדויות המתלונן והוריו</w:t>
      </w:r>
      <w:r>
        <w:rPr>
          <w:rtl w:val="true"/>
        </w:rPr>
        <w:t xml:space="preserve">, </w:t>
      </w:r>
      <w:r>
        <w:rPr>
          <w:rtl w:val="true"/>
        </w:rPr>
        <w:t>ודחה את גרסתו של המערער באשר לאופן התרחשות האירועים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נקבע כי באירוע הראשון נגע המערער כלא במתכוון באיבר מינו של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לשם </w:t>
      </w:r>
      <w:r>
        <w:rPr>
          <w:rtl w:val="true"/>
        </w:rPr>
        <w:t>"</w:t>
      </w:r>
      <w:r>
        <w:rPr>
          <w:rtl w:val="true"/>
        </w:rPr>
        <w:t>גירוי</w:t>
      </w:r>
      <w:r>
        <w:rPr>
          <w:rtl w:val="true"/>
        </w:rPr>
        <w:t xml:space="preserve">, </w:t>
      </w:r>
      <w:r>
        <w:rPr>
          <w:rtl w:val="true"/>
        </w:rPr>
        <w:t>סיפוק או ביזוי מיניים</w:t>
      </w:r>
      <w:r>
        <w:rPr>
          <w:rtl w:val="true"/>
        </w:rPr>
        <w:t xml:space="preserve">", </w:t>
      </w:r>
      <w:r>
        <w:rPr>
          <w:rtl w:val="true"/>
        </w:rPr>
        <w:t xml:space="preserve">וכך גם מלמדים </w:t>
      </w:r>
      <w:r>
        <w:rPr>
          <w:rtl w:val="true"/>
        </w:rPr>
        <w:t>"</w:t>
      </w:r>
      <w:r>
        <w:rPr>
          <w:rtl w:val="true"/>
        </w:rPr>
        <w:t>כאלף עדים</w:t>
      </w:r>
      <w:r>
        <w:rPr>
          <w:rtl w:val="true"/>
        </w:rPr>
        <w:t xml:space="preserve">" </w:t>
      </w:r>
      <w:r>
        <w:rPr>
          <w:rtl w:val="true"/>
        </w:rPr>
        <w:t>מעשיו של המערער בבית הדפוס</w:t>
      </w:r>
      <w:r>
        <w:rPr>
          <w:rtl w:val="true"/>
        </w:rPr>
        <w:t xml:space="preserve">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הרשיע בית משפט קמא את המערער בעבירות שיוחסו לו בכתב האישום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overflowPunct w:val="true"/>
        <w:autoSpaceDE w:val="true"/>
        <w:ind w:hanging="360" w:start="720" w:end="0"/>
        <w:jc w:val="both"/>
        <w:textAlignment w:val="auto"/>
        <w:rPr>
          <w:rFonts w:cs="Miriam"/>
          <w:spacing w:val="0"/>
          <w:sz w:val="26"/>
          <w:szCs w:val="24"/>
        </w:rPr>
      </w:pPr>
      <w:r>
        <w:rPr>
          <w:rFonts w:cs="Miriam"/>
          <w:spacing w:val="0"/>
          <w:sz w:val="26"/>
          <w:sz w:val="26"/>
          <w:szCs w:val="24"/>
          <w:rtl w:val="true"/>
        </w:rPr>
        <w:t>עמדת</w:t>
      </w:r>
      <w:r>
        <w:rPr>
          <w:rFonts w:eastAsia="Arial TUR;Arial" w:cs="Arial TUR;Arial"/>
          <w:spacing w:val="0"/>
          <w:sz w:val="26"/>
          <w:sz w:val="26"/>
          <w:szCs w:val="24"/>
          <w:rtl w:val="true"/>
        </w:rPr>
        <w:t xml:space="preserve"> </w:t>
      </w:r>
      <w:r>
        <w:rPr>
          <w:rFonts w:cs="Miriam"/>
          <w:spacing w:val="0"/>
          <w:sz w:val="26"/>
          <w:sz w:val="26"/>
          <w:szCs w:val="24"/>
          <w:rtl w:val="true"/>
        </w:rPr>
        <w:t>שופט</w:t>
      </w:r>
      <w:r>
        <w:rPr>
          <w:rFonts w:eastAsia="Arial TUR;Arial" w:cs="Arial TUR;Arial"/>
          <w:spacing w:val="0"/>
          <w:sz w:val="26"/>
          <w:sz w:val="26"/>
          <w:szCs w:val="24"/>
          <w:rtl w:val="true"/>
        </w:rPr>
        <w:t xml:space="preserve"> </w:t>
      </w:r>
      <w:r>
        <w:rPr>
          <w:rFonts w:cs="Miriam"/>
          <w:spacing w:val="0"/>
          <w:sz w:val="26"/>
          <w:sz w:val="26"/>
          <w:szCs w:val="24"/>
          <w:rtl w:val="true"/>
        </w:rPr>
        <w:t>המיעוט</w:t>
      </w:r>
    </w:p>
    <w:p>
      <w:pPr>
        <w:pStyle w:val="Ruller41"/>
        <w:ind w:end="0"/>
        <w:jc w:val="both"/>
        <w:rPr>
          <w:rFonts w:cs="Miriam"/>
          <w:spacing w:val="0"/>
          <w:sz w:val="26"/>
          <w:szCs w:val="24"/>
        </w:rPr>
      </w:pPr>
      <w:r>
        <w:rPr>
          <w:rFonts w:cs="Miriam"/>
          <w:spacing w:val="0"/>
          <w:sz w:val="26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Century"/>
          <w:sz w:val="22"/>
          <w:sz w:val="22"/>
          <w:rtl w:val="true"/>
        </w:rPr>
        <w:t>שופט המיעוט</w:t>
      </w:r>
      <w:r>
        <w:rPr>
          <w:rFonts w:ascii="Century" w:hAnsi="Century" w:cs="Century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eastAsia="Calibri" w:cs="Century"/>
          <w:b/>
          <w:b/>
          <w:rtl w:val="true"/>
        </w:rPr>
        <w:t xml:space="preserve"> </w:t>
      </w:r>
      <w:r>
        <w:rPr>
          <w:rFonts w:eastAsia="Calibri" w:cs="Century" w:ascii="Century" w:hAnsi="Century"/>
          <w:b/>
          <w:rtl w:val="true"/>
        </w:rPr>
        <w:t>(</w:t>
      </w:r>
      <w:r>
        <w:rPr>
          <w:rFonts w:ascii="Century" w:hAnsi="Century" w:eastAsia="Calibri" w:cs="Century"/>
          <w:b/>
          <w:b/>
          <w:rtl w:val="true"/>
        </w:rPr>
        <w:t xml:space="preserve">השופט </w:t>
      </w:r>
      <w:r>
        <w:rPr>
          <w:rFonts w:ascii="Century" w:hAnsi="Century" w:cs="Miriam"/>
          <w:spacing w:val="0"/>
          <w:sz w:val="20"/>
          <w:sz w:val="20"/>
          <w:szCs w:val="24"/>
          <w:rtl w:val="true"/>
        </w:rPr>
        <w:t>ר</w:t>
      </w:r>
      <w:r>
        <w:rPr>
          <w:rFonts w:cs="Miriam" w:ascii="Century" w:hAnsi="Century"/>
          <w:spacing w:val="0"/>
          <w:sz w:val="20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 w:val="20"/>
          <w:sz w:val="20"/>
          <w:szCs w:val="24"/>
          <w:rtl w:val="true"/>
        </w:rPr>
        <w:t>סוקול</w:t>
      </w:r>
      <w:r>
        <w:rPr>
          <w:rFonts w:eastAsia="Calibri" w:cs="Century" w:ascii="Century" w:hAnsi="Century"/>
          <w:b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סבר כי </w:t>
      </w:r>
      <w:r>
        <w:rPr>
          <w:rFonts w:ascii="Century" w:hAnsi="Century" w:eastAsia="Calibri" w:cs="Century"/>
          <w:sz w:val="22"/>
          <w:sz w:val="22"/>
          <w:rtl w:val="true"/>
        </w:rPr>
        <w:t>יש לזכות את המערער מאשמה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בשל מסקנתו לפיה 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אין בראיות שהוצגו די לבסס הרשעה</w:t>
      </w:r>
      <w:r>
        <w:rPr>
          <w:rFonts w:eastAsia="Calibri" w:cs="Century" w:ascii="Century" w:hAnsi="Century"/>
          <w:sz w:val="22"/>
          <w:rtl w:val="true"/>
        </w:rPr>
        <w:t xml:space="preserve">". </w:t>
      </w:r>
      <w:r>
        <w:rPr>
          <w:rFonts w:ascii="Century" w:hAnsi="Century" w:eastAsia="Calibri" w:cs="Century"/>
          <w:sz w:val="22"/>
          <w:sz w:val="22"/>
          <w:rtl w:val="true"/>
        </w:rPr>
        <w:t>בשונה מעמדת הרוב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שופט המיעוט לא שוכנע כי עדות המערער הייתה בלתי מהימנה או כי הותירה רושם של עד מניפולטיבי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זאת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שכן המערער היה עקבי בגרסתו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ולא ניסה להרחיק עצמו כליל מזירות האירועים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צוין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כי אילו ביקש המערער לספר גרסה שקרית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הוא יכול היה להימנע מלקשור עצמו לכל מגע שהוא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ולו תמים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עם המתלונן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כן צוין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כי הדברים שסיפר המערער על המתלונן מלמדים על מערכת יחסים רגילה בין בני נוער לבין בני משפחה קרובים שלהם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 xml:space="preserve">ואין בהם משום 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השחרת פניו</w:t>
      </w:r>
      <w:r>
        <w:rPr>
          <w:rFonts w:eastAsia="Calibri" w:cs="Century" w:ascii="Century" w:hAnsi="Century"/>
          <w:sz w:val="22"/>
          <w:rtl w:val="true"/>
        </w:rPr>
        <w:t xml:space="preserve">" </w:t>
      </w:r>
      <w:r>
        <w:rPr>
          <w:rFonts w:ascii="Century" w:hAnsi="Century" w:eastAsia="Calibri" w:cs="Century"/>
          <w:sz w:val="22"/>
          <w:sz w:val="22"/>
          <w:rtl w:val="true"/>
        </w:rPr>
        <w:t>של המתלונן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לעניין המניע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הדגיש שופט המיעוט כי כישלונו של נאשם להציג מניע לעלילה אינו יכול להוות חיזוק למהימנות הגרסה המפלילה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באופן דומה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אין למצוא חיזוק בהתנהגות מפלילה של המערער בעצם שתיקתו בשעה שהוטחו בפניו תלונותיו של המתלונן</w:t>
      </w:r>
      <w:r>
        <w:rPr>
          <w:rFonts w:eastAsia="Calibri"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alibri" w:cs="Century"/>
          <w:sz w:val="26"/>
          <w:szCs w:val="24"/>
        </w:rPr>
      </w:pPr>
      <w:r>
        <w:rPr>
          <w:rFonts w:eastAsia="Calibri" w:cs="Century" w:ascii="Century" w:hAnsi="Century"/>
          <w:sz w:val="26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Century"/>
          <w:sz w:val="22"/>
          <w:sz w:val="22"/>
          <w:rtl w:val="true"/>
        </w:rPr>
        <w:t>בנוסף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קבע שופט המיעוט ביחס לאירוע הראשון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כי גם אם תתקבל גרסת המתלונן במלואה אין בכך כדי לבסס הרשעה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שכן הלה ציין כי הנגיעה באיבר מינו הייתה אקראית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ולפיכך אינה יכולה להיחשב כ</w:t>
      </w:r>
      <w:r>
        <w:rPr>
          <w:rFonts w:eastAsia="Calibri" w:cs="Century" w:ascii="Century" w:hAnsi="Century"/>
          <w:sz w:val="22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מעשה שנעשה לשם גירוי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סיפוק או ביזוי מיני</w:t>
      </w:r>
      <w:r>
        <w:rPr>
          <w:rFonts w:eastAsia="Calibri" w:cs="Century" w:ascii="Century" w:hAnsi="Century"/>
          <w:sz w:val="22"/>
          <w:rtl w:val="true"/>
        </w:rPr>
        <w:t xml:space="preserve">". </w:t>
      </w:r>
      <w:r>
        <w:rPr>
          <w:rFonts w:ascii="Century" w:hAnsi="Century" w:eastAsia="Calibri" w:cs="Century"/>
          <w:sz w:val="22"/>
          <w:sz w:val="22"/>
          <w:rtl w:val="true"/>
        </w:rPr>
        <w:t>אשר לאירוע בבית הדפוס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צוין כי פרטיו מקיימים אמנם את כל יסודות העבירה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אך לא הוכח ברמת הוודאות הנדרשת בהליך פלילי כי האירוע אכן אירע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כך למשל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צוין כי אין זה סביר שהמערער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גם אם רצה בכך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יבצע מעשים מגונים על שולחן במרכז חדר העבודה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כאשר כל מי שיוצא מהמעלית ומגיע לדלת המשרד יכול לראותו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eastAsia="Calibri" w:cs="Century"/>
          <w:sz w:val="22"/>
        </w:rPr>
      </w:pPr>
      <w:r>
        <w:rPr>
          <w:rFonts w:eastAsia="Calibri" w:cs="Century" w:ascii="Century" w:hAnsi="Century"/>
          <w:sz w:val="22"/>
          <w:rtl w:val="true"/>
        </w:rPr>
      </w:r>
    </w:p>
    <w:p>
      <w:pPr>
        <w:pStyle w:val="Normal"/>
        <w:ind w:end="0"/>
        <w:jc w:val="both"/>
        <w:rPr>
          <w:rFonts w:ascii="Century" w:hAnsi="Century" w:eastAsia="Calibri" w:cs="Miriam"/>
          <w:b/>
          <w:sz w:val="22"/>
        </w:rPr>
      </w:pPr>
      <w:r>
        <w:rPr>
          <w:rFonts w:ascii="Century" w:hAnsi="Century" w:eastAsia="Calibri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ind w:end="0"/>
        <w:jc w:val="both"/>
        <w:rPr>
          <w:rFonts w:ascii="Century" w:hAnsi="Century" w:eastAsia="Calibri" w:cs="Miriam"/>
          <w:b/>
          <w:sz w:val="22"/>
        </w:rPr>
      </w:pPr>
      <w:r>
        <w:rPr>
          <w:rFonts w:eastAsia="Calibri" w:cs="Miriam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eastAsia="Calibri" w:cs="Century"/>
          <w:sz w:val="22"/>
        </w:rPr>
      </w:pPr>
      <w:r>
        <w:rPr>
          <w:rFonts w:ascii="Century" w:hAnsi="Century" w:eastAsia="Calibri" w:cs="Century"/>
          <w:sz w:val="22"/>
          <w:sz w:val="22"/>
          <w:rtl w:val="true"/>
        </w:rPr>
        <w:t>לצורך קביעת מתחם העונש ההולם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עמד בית משפט קמא על הפגיעה בביטחונו של המתלונן ובזכותו לכבוד ולאוטונומיה על גופו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וכן על עוצמת הפגיעה בערכים אלו נוכח פער הגילאים והקרבה המשפחתית בינו לבין המערער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כן התייחס בית המשפט לנזקים שנגרמו למתלונן עקב מעשי המערער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כעולה מתסקיר נפגע העבירה שהוגש בעניינו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התסקיר מצביע על פגיעה ברצף חייו של המתלונן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שהתבטאה בין היתר בניתוק ממושך של מספר חודשים מבית הספר בו הצליח להשתלב למרות קשייו קודם לכן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ועל פגיעה בעניין זהותו המגדרית ונטייתו המינית של המתלונן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  <w:r>
        <w:rPr>
          <w:rFonts w:ascii="Century" w:hAnsi="Century" w:eastAsia="Calibri" w:cs="Century"/>
          <w:sz w:val="22"/>
          <w:sz w:val="22"/>
          <w:rtl w:val="true"/>
        </w:rPr>
        <w:t>נוכח זאת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ובהתחשב במדיניות הענישה הנוהגת המלמדת על מנעד רחב של עונשים במקרים כגון דא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קבע בית משפט קמא כי מתחם הענישה עבור שני האירועים בעניינו של המערער נע בין שנה אחת ל</w:t>
      </w:r>
      <w:r>
        <w:rPr>
          <w:rFonts w:eastAsia="Calibri" w:cs="Century" w:ascii="Century" w:hAnsi="Century"/>
          <w:sz w:val="22"/>
          <w:rtl w:val="true"/>
        </w:rPr>
        <w:t>-</w:t>
      </w:r>
      <w:r>
        <w:rPr>
          <w:rFonts w:eastAsia="Calibri" w:cs="Century" w:ascii="Century" w:hAnsi="Century"/>
          <w:sz w:val="22"/>
        </w:rPr>
        <w:t>3</w:t>
      </w:r>
      <w:r>
        <w:rPr>
          <w:rFonts w:eastAsia="Calibri" w:cs="Century" w:ascii="Century" w:hAnsi="Century"/>
          <w:sz w:val="22"/>
          <w:rtl w:val="true"/>
        </w:rPr>
        <w:t xml:space="preserve"> </w:t>
      </w:r>
      <w:r>
        <w:rPr>
          <w:rFonts w:ascii="Century" w:hAnsi="Century" w:eastAsia="Calibri" w:cs="Century"/>
          <w:sz w:val="22"/>
          <w:sz w:val="22"/>
          <w:rtl w:val="true"/>
        </w:rPr>
        <w:t>שנות מאסר בפועל</w:t>
      </w:r>
      <w:r>
        <w:rPr>
          <w:rFonts w:eastAsia="Calibri" w:cs="Century" w:ascii="Century" w:hAnsi="Century"/>
          <w:sz w:val="22"/>
          <w:rtl w:val="true"/>
        </w:rPr>
        <w:t xml:space="preserve">, </w:t>
      </w:r>
      <w:r>
        <w:rPr>
          <w:rFonts w:ascii="Century" w:hAnsi="Century" w:eastAsia="Calibri" w:cs="Century"/>
          <w:sz w:val="22"/>
          <w:sz w:val="22"/>
          <w:rtl w:val="true"/>
        </w:rPr>
        <w:t>בצירוף עונש מאסר מותנה ופיצוי למתלונן</w:t>
      </w:r>
      <w:r>
        <w:rPr>
          <w:rFonts w:eastAsia="Calibri"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eastAsia="Calibri" w:cs="Century"/>
          <w:sz w:val="24"/>
          <w:szCs w:val="22"/>
        </w:rPr>
      </w:pPr>
      <w:r>
        <w:rPr>
          <w:rFonts w:eastAsia="Calibri" w:cs="Century" w:ascii="Century" w:hAnsi="Century"/>
          <w:sz w:val="24"/>
          <w:szCs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ותפקודו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הנורמטיבי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המרכז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מסוכנות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לגביו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מסוכנותו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בינונית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והיעדרה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eastAsia="Calibri" w:cs="FrankRuehl" w:ascii="Century" w:hAnsi="Century"/>
          <w:spacing w:val="10"/>
          <w:sz w:val="22"/>
          <w:szCs w:val="28"/>
        </w:rPr>
        <w:t>13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eastAsia="Calibri" w:cs="FrankRuehl" w:ascii="Century" w:hAnsi="Century"/>
          <w:spacing w:val="10"/>
          <w:sz w:val="22"/>
          <w:szCs w:val="28"/>
        </w:rPr>
        <w:t>21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eastAsia="Calibri" w:cs="FrankRuehl" w:ascii="Century" w:hAnsi="Century"/>
          <w:spacing w:val="10"/>
          <w:sz w:val="22"/>
          <w:szCs w:val="28"/>
        </w:rPr>
        <w:t>12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10,000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eastAsia="Calibri" w:cs="Century"/>
          <w:spacing w:val="10"/>
          <w:sz w:val="22"/>
          <w:szCs w:val="28"/>
        </w:rPr>
      </w:pPr>
      <w:r>
        <w:rPr>
          <w:rFonts w:eastAsia="Calibri" w:cs="Century" w:ascii="Century" w:hAnsi="Century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 xml:space="preserve">ביום </w:t>
      </w:r>
      <w:r>
        <w:rPr>
          <w:rFonts w:eastAsia="Calibri"/>
        </w:rPr>
        <w:t>21.2.2017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נענה בית משפט קמא לבקשת בא כוחו של המערער והורה על עיכוב ביצוע עונש המאסר בפועל שהושת עליו עד להכרעה בערעור</w:t>
      </w:r>
      <w:r>
        <w:rPr>
          <w:rFonts w:eastAsia="Calibri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</w:p>
    <w:p>
      <w:pPr>
        <w:pStyle w:val="Normal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הערעור מכוון נגד ההרשעה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ולחלופין נגד חומרת העונש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המערער עמד על חשיבותה של עמדת המיעוט בפלילים וביקש לאמץ את המלצות </w:t>
      </w:r>
      <w:r>
        <w:rPr>
          <w:rFonts w:cs="Miriam"/>
          <w:spacing w:val="0"/>
          <w:szCs w:val="24"/>
          <w:rtl w:val="true"/>
        </w:rPr>
        <w:t>דין</w:t>
      </w:r>
      <w:r>
        <w:rPr>
          <w:rFonts w:cs="Miriam"/>
          <w:spacing w:val="0"/>
          <w:szCs w:val="24"/>
          <w:rtl w:val="true"/>
        </w:rPr>
        <w:t>-</w:t>
      </w:r>
      <w:r>
        <w:rPr>
          <w:rFonts w:cs="Miriam"/>
          <w:spacing w:val="0"/>
          <w:szCs w:val="24"/>
          <w:rtl w:val="true"/>
        </w:rPr>
        <w:t>וחשבון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הוועדה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לבחינת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הרשעה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בדעת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רוב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וערעור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על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זיכוי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במשפט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פלילי</w:t>
      </w:r>
      <w:r>
        <w:rPr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</w:rPr>
        <w:t>2010</w:t>
      </w:r>
      <w:r>
        <w:rPr>
          <w:color w:val="000000"/>
          <w:sz w:val="28"/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אנקר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לפיהן עניינו של נאשם שהורשע בדעת רוב יזכה לבחינה יסודית ומעמיקה על ידי ערכאה נוספת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בבחינת דיון ערעורי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cs="Calibri Light" w:ascii="Calibri Light" w:hAnsi="Calibri Light"/>
          <w:spacing w:val="0"/>
          <w:szCs w:val="32"/>
        </w:rPr>
        <w:t>de  novo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בהמשך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טען המערער כי ראוי לדון מחדש בממצאי המהימנות של 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והצביע על קשיים העולים לטענתו מקבלת גרסתו של המתלונן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לטענת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מועד התרחשות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המקרה הקודם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לא הוברר במשפט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וכשנשאל המתלונן אודות פרטיו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הלה השיב תשובות בלתי קונבנציונליות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הסנגור הקודם התייחס בסיכומיו בכתב לתופעת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החלומות המוחשיים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אותה הזכיר המתלונן בעדותו ואף הפנה לספרות מקצועית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אולם לא נשמעו סיכומים בעל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ניתנה להגנה הזדמנות להגיש חוות דעת כזו מטעמה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Normal"/>
        <w:ind w:firstLine="360" w:end="0"/>
        <w:jc w:val="both"/>
        <w:rPr>
          <w:rFonts w:ascii="Century" w:hAnsi="Century" w:cs="Century"/>
          <w:spacing w:val="10"/>
        </w:rPr>
      </w:pPr>
      <w:r>
        <w:rPr>
          <w:rFonts w:eastAsia="Century" w:cs="Century" w:ascii="Century" w:hAnsi="Century"/>
          <w:spacing w:val="10"/>
          <w:rtl w:val="true"/>
        </w:rPr>
        <w:t xml:space="preserve">  </w:t>
      </w:r>
    </w:p>
    <w:p>
      <w:pPr>
        <w:pStyle w:val="Normal"/>
        <w:spacing w:lineRule="auto" w:line="360"/>
        <w:ind w:firstLine="793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סותרות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וסתירות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לוגיות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הסכמתו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לעיסוי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הדפוס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לתקיפה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משנמנע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מלהעיד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מעורבת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שנפתח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בשעתו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הפליל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חברתו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וביצע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הומוסקסואלי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firstLine="793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651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סותרות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ופוגעות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במהימנותו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מחזקים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שיחת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Cs w:val="28"/>
        </w:rPr>
        <w:t>9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הדפוס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להיחשב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המתעדת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רגשותיו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חדשה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פלטי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תקשורת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המשרדי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הדפוס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המלמדים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9.4.2014</w:t>
      </w:r>
      <w:r>
        <w:rPr>
          <w:rFonts w:cs="FrankRuehl"/>
          <w:spacing w:val="10"/>
          <w:sz w:val="22"/>
          <w:szCs w:val="28"/>
          <w:rtl w:val="true"/>
        </w:rPr>
        <w:t xml:space="preserve">),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09:30-10:00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Cs w:val="28"/>
        </w:rPr>
        <w:t>4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חנויות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רשת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באג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מחשבים</w:t>
      </w:r>
      <w:r>
        <w:rPr>
          <w:rFonts w:cs="FrankRuehl"/>
          <w:spacing w:val="10"/>
          <w:sz w:val="22"/>
          <w:szCs w:val="28"/>
          <w:rtl w:val="true"/>
        </w:rPr>
        <w:t xml:space="preserve">", </w:t>
      </w:r>
      <w:r>
        <w:rPr>
          <w:rFonts w:cs="FrankRuehl"/>
          <w:spacing w:val="10"/>
          <w:sz w:val="22"/>
          <w:sz w:val="22"/>
          <w:szCs w:val="28"/>
          <w:rtl w:val="true"/>
        </w:rPr>
        <w:t>ומכאן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עסק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במה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שעניין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התייסר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cs="FrankRuehl"/>
          <w:spacing w:val="10"/>
          <w:sz w:val="22"/>
          <w:szCs w:val="28"/>
          <w:rtl w:val="true"/>
        </w:rPr>
        <w:t xml:space="preserve">",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מלהתעמת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להיחשב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מפלילה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36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Times New Roman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93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עותר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השיהוי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הניכר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בהגשת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כשנה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פתיחת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ודאות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ובמקביל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פורקה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והתנהלו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הליכי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גירושין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מכוערים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ברוב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תשפיע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להימנעות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משליחתו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firstLine="360"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בעיקרי הטיעון מטעמה</w:t>
      </w:r>
      <w:r>
        <w:rPr>
          <w:rtl w:val="true"/>
        </w:rPr>
        <w:t xml:space="preserve">, </w:t>
      </w:r>
      <w:r>
        <w:rPr>
          <w:rtl w:val="true"/>
        </w:rPr>
        <w:t>המדינה סומכת את ידיה על פסק דינו של בית משפט קמא</w:t>
      </w:r>
      <w:r>
        <w:rPr>
          <w:rtl w:val="true"/>
        </w:rPr>
        <w:t xml:space="preserve">, </w:t>
      </w:r>
      <w:r>
        <w:rPr>
          <w:rtl w:val="true"/>
        </w:rPr>
        <w:t>וטוענת כי יש לדחות את הערעור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אין המקרה דנן נמנה על אותם מקרים חריגים המצדיקים את התערבות ערכאת הערעור בקביעות עובדה ומהימנות של הערכאה הדיונית</w:t>
      </w:r>
      <w:r>
        <w:rPr>
          <w:rtl w:val="true"/>
        </w:rPr>
        <w:t xml:space="preserve">, </w:t>
      </w:r>
      <w:r>
        <w:rPr>
          <w:rtl w:val="true"/>
        </w:rPr>
        <w:t>ומשכך יש לפעול על פי הכלל של הכרעת הרוב ולהותיר ממצאים אלו על כנם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טענה המדינה כי בחינת טענות המערער כנגד מהימנות המתלונן והוריו מעלה כי בצדק קבע בית משפט קמא כי הסתירות בגרסתם</w:t>
      </w:r>
      <w:r>
        <w:rPr>
          <w:rtl w:val="true"/>
        </w:rPr>
        <w:t xml:space="preserve">, </w:t>
      </w:r>
      <w:r>
        <w:rPr>
          <w:rtl w:val="true"/>
        </w:rPr>
        <w:t>ככל שקיימות</w:t>
      </w:r>
      <w:r>
        <w:rPr>
          <w:rtl w:val="true"/>
        </w:rPr>
        <w:t xml:space="preserve">, </w:t>
      </w:r>
      <w:r>
        <w:rPr>
          <w:rtl w:val="true"/>
        </w:rPr>
        <w:t>נעוצות במגבלות הטבע האנושי ואינן פוגעות במהימנותם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ביחס לעמדת שופט המיעוט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הדגישה באת כוח המדינה תחילה כי שופט המיעוט הציע לזכות את המערער לא משום שהשתכנע בחפותו אלא משום שנותר בליבו ספק באשר להוכחת אשמו ברמת הוודאות הנדרשת בהליך פלילי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אשר לאירוע בבית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טוענת המשיבה כי שופט המיעוט טעה בקבעו כי לא ניתן לבסס הרשעה אף אם תתקבל גרסת המתלונן במלואה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מגע באיבר מינו של המתלונן תוך כדי עיסוי ירכו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מגע שנעשה לשם גירוי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סיפוק או ביזוי מיניים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ודבריו של המערער למתלונן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אם הוא רוצה לעשות ביד או לראות פורנו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מלמדים על ההקשר המיני בו בוצע המעשה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אף באשר לאירוע בבית הדפוס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טוענת המשיבה כי קביעתו של שופט המיעוט באשר לסבירות מצב הדברים שגויה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תמונות מקום העבודה שהוגשו בבית המשפט מלמדות כי בעת היציאה מהמעלית לא ניתן להבחין ישירות בשולחן עליו שכב המתלונן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רק לאחר פנייה שמאלה לכיוון דלת הכניסה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מה גם ששעות הגעת העובדים לבית הדפוס ידועות למערער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והמעשה נעשה כשעה לפני הגעתם הצפויה של העובדים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שגרסת המתלונן הינה סבירה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93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המשרדי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36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93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והתלווה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לקראת הדיון בערעור הוגשה לעיוננו חוות דעת משלימה מטעם המרכז להערכת מסוכנות מיום </w:t>
      </w:r>
      <w:r>
        <w:rPr/>
        <w:t>16.11.2017</w:t>
      </w:r>
      <w:r>
        <w:rPr>
          <w:rtl w:val="true"/>
        </w:rPr>
        <w:t xml:space="preserve">. </w:t>
      </w:r>
      <w:r>
        <w:rPr>
          <w:rtl w:val="true"/>
        </w:rPr>
        <w:t>בחוות הדעת נמסר כי אין שינוי משמעותי מבדיקתו הקודמת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אשר נמצא </w:t>
      </w:r>
      <w:r>
        <w:rPr>
          <w:rtl w:val="true"/>
        </w:rPr>
        <w:t>"</w:t>
      </w:r>
      <w:r>
        <w:rPr>
          <w:rtl w:val="true"/>
        </w:rPr>
        <w:t>נבדק מניפולטיבי ולא אמין</w:t>
      </w:r>
      <w:r>
        <w:rPr>
          <w:rtl w:val="true"/>
        </w:rPr>
        <w:t xml:space="preserve">", </w:t>
      </w:r>
      <w:r>
        <w:rPr>
          <w:rtl w:val="true"/>
        </w:rPr>
        <w:t>וכי לא ניתן לשלול קיומה של משיכה מינית לקטינים מצדו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נמסר כי עתה רמת המסוכנות הנשקפת מהמערער הינה </w:t>
      </w:r>
      <w:r>
        <w:rPr>
          <w:rtl w:val="true"/>
        </w:rPr>
        <w:t>"</w:t>
      </w:r>
      <w:r>
        <w:rPr>
          <w:rtl w:val="true"/>
        </w:rPr>
        <w:t>בינונית</w:t>
      </w:r>
      <w:r>
        <w:rPr>
          <w:rtl w:val="true"/>
        </w:rPr>
        <w:t>-</w:t>
      </w:r>
      <w:r>
        <w:rPr>
          <w:rtl w:val="true"/>
        </w:rPr>
        <w:t>נמוכה</w:t>
      </w:r>
      <w:r>
        <w:rPr>
          <w:rtl w:val="true"/>
        </w:rPr>
        <w:t xml:space="preserve">", </w:t>
      </w:r>
      <w:r>
        <w:rPr>
          <w:rtl w:val="true"/>
        </w:rPr>
        <w:t>עקב סגירתו של תיק מב</w:t>
      </w:r>
      <w:r>
        <w:rPr>
          <w:rtl w:val="true"/>
        </w:rPr>
        <w:t>"</w:t>
      </w:r>
      <w:r>
        <w:rPr>
          <w:rtl w:val="true"/>
        </w:rPr>
        <w:t>ד בגין פגיעה מינית בבנו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בדיון שנערך בפנינו ביום </w:t>
      </w:r>
      <w:r>
        <w:rPr/>
        <w:t>6.12.2017</w:t>
      </w:r>
      <w:r>
        <w:rPr>
          <w:rtl w:val="true"/>
        </w:rPr>
        <w:t xml:space="preserve"> </w:t>
      </w:r>
      <w:r>
        <w:rPr>
          <w:rtl w:val="true"/>
        </w:rPr>
        <w:t>חזרו באי כוח הצדדים על עיקרי טענותיהם</w:t>
      </w:r>
      <w:r>
        <w:rPr>
          <w:rtl w:val="true"/>
        </w:rPr>
        <w:t xml:space="preserve">. </w:t>
      </w:r>
      <w:r>
        <w:rPr>
          <w:rtl w:val="true"/>
        </w:rPr>
        <w:t>בא כוח המערער הדגיש כי עבירות מין נידונות בהרכב</w:t>
      </w:r>
      <w:r>
        <w:rPr>
          <w:rtl w:val="true"/>
        </w:rPr>
        <w:t xml:space="preserve"> </w:t>
      </w:r>
      <w:r>
        <w:rPr>
          <w:rtl w:val="true"/>
        </w:rPr>
        <w:t xml:space="preserve">בשל הקושי הנעוץ בהכרעה במצבי </w:t>
      </w:r>
      <w:r>
        <w:rPr>
          <w:rtl w:val="true"/>
        </w:rPr>
        <w:t>"</w:t>
      </w:r>
      <w:r>
        <w:rPr>
          <w:rtl w:val="true"/>
        </w:rPr>
        <w:t>עדות מול עדות</w:t>
      </w:r>
      <w:r>
        <w:rPr>
          <w:rtl w:val="true"/>
        </w:rPr>
        <w:t xml:space="preserve">" </w:t>
      </w:r>
      <w:r>
        <w:rPr>
          <w:rtl w:val="true"/>
        </w:rPr>
        <w:t>האופייניים להן</w:t>
      </w:r>
      <w:r>
        <w:rPr>
          <w:rtl w:val="true"/>
        </w:rPr>
        <w:t xml:space="preserve">, </w:t>
      </w:r>
      <w:r>
        <w:rPr>
          <w:rtl w:val="true"/>
        </w:rPr>
        <w:t>והפנה לקביעות בית המשפט לפיהן קיומה של דעת מיעוט מחייבת בחינה של ההרשעה בזהירות יתרה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הספק עליו עמד שופט המיעוט אינו כללי ובלתי מבוסס</w:t>
      </w:r>
      <w:r>
        <w:rPr>
          <w:rtl w:val="true"/>
        </w:rPr>
        <w:t xml:space="preserve">, </w:t>
      </w:r>
      <w:r>
        <w:rPr>
          <w:rtl w:val="true"/>
        </w:rPr>
        <w:t xml:space="preserve">שכן מדובר במתלונן שהעיד על עצמו כי הוא חולם </w:t>
      </w:r>
      <w:r>
        <w:rPr>
          <w:rtl w:val="true"/>
        </w:rPr>
        <w:t>"</w:t>
      </w:r>
      <w:r>
        <w:rPr>
          <w:rtl w:val="true"/>
        </w:rPr>
        <w:t>חלומות מוחשיים</w:t>
      </w:r>
      <w:r>
        <w:rPr>
          <w:rtl w:val="true"/>
        </w:rPr>
        <w:t xml:space="preserve">", </w:t>
      </w:r>
      <w:r>
        <w:rPr>
          <w:rtl w:val="true"/>
        </w:rPr>
        <w:t>אשר חווה לכאורה דבר דומה בעבר בגינו לא הגיש תלונה</w:t>
      </w:r>
      <w:r>
        <w:rPr>
          <w:rtl w:val="true"/>
        </w:rPr>
        <w:t xml:space="preserve">. </w:t>
      </w:r>
      <w:r>
        <w:rPr>
          <w:rtl w:val="true"/>
        </w:rPr>
        <w:t>לכך יש להוסיף את חקירתו של המתלונן בתיק קודם שייחס לו שליחת מסר מיני הומוסקסואלי למורתו</w:t>
      </w:r>
      <w:r>
        <w:rPr>
          <w:rtl w:val="true"/>
        </w:rPr>
        <w:t xml:space="preserve">. </w:t>
      </w:r>
      <w:r>
        <w:rPr>
          <w:rtl w:val="true"/>
        </w:rPr>
        <w:t>אשר לעונש</w:t>
      </w:r>
      <w:r>
        <w:rPr>
          <w:rtl w:val="true"/>
        </w:rPr>
        <w:t xml:space="preserve">, </w:t>
      </w:r>
      <w:r>
        <w:rPr>
          <w:rtl w:val="true"/>
        </w:rPr>
        <w:t>נטען כי המעשים בגינם הורשע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אשר לא כללו כל אלימות או הפעלת כוח מצדו ואף לא </w:t>
      </w:r>
      <w:r>
        <w:rPr>
          <w:rtl w:val="true"/>
        </w:rPr>
        <w:t>"</w:t>
      </w:r>
      <w:r>
        <w:rPr>
          <w:rtl w:val="true"/>
        </w:rPr>
        <w:t>דבר מיני ממשי</w:t>
      </w:r>
      <w:r>
        <w:rPr>
          <w:rtl w:val="true"/>
        </w:rPr>
        <w:t xml:space="preserve">", </w:t>
      </w:r>
      <w:r>
        <w:rPr>
          <w:rtl w:val="true"/>
        </w:rPr>
        <w:t>אינן מצדיקות עונש מאסר 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המנומקת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והקוהרנטית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ומאוזן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" </w:t>
      </w:r>
      <w:r>
        <w:rPr>
          <w:rtl w:val="true"/>
        </w:rPr>
        <w:t>לקטינים</w:t>
      </w:r>
      <w:r>
        <w:rPr>
          <w:rtl w:val="true"/>
        </w:rPr>
        <w:t xml:space="preserve">, </w:t>
      </w:r>
      <w:r>
        <w:rPr>
          <w:rtl w:val="true"/>
        </w:rPr>
        <w:t>שמשמעותו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600"/>
        <w:ind w:end="0"/>
        <w:jc w:val="both"/>
        <w:rPr>
          <w:rFonts w:ascii="Century" w:hAnsi="Century" w:cs="Miriam"/>
          <w:bCs/>
          <w:spacing w:val="0"/>
          <w:sz w:val="26"/>
          <w:szCs w:val="26"/>
        </w:rPr>
      </w:pPr>
      <w:r>
        <w:rPr>
          <w:rFonts w:ascii="Century" w:hAnsi="Century" w:cs="Miriam"/>
          <w:bCs/>
          <w:spacing w:val="0"/>
          <w:sz w:val="26"/>
          <w:sz w:val="26"/>
          <w:szCs w:val="26"/>
          <w:rtl w:val="true"/>
        </w:rPr>
        <w:t>דיון</w:t>
      </w:r>
      <w:r>
        <w:rPr>
          <w:rFonts w:ascii="Century" w:hAnsi="Century" w:eastAsia="Century" w:cs="Century"/>
          <w:bCs/>
          <w:spacing w:val="0"/>
          <w:sz w:val="26"/>
          <w:sz w:val="26"/>
          <w:szCs w:val="26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6"/>
          <w:sz w:val="26"/>
          <w:szCs w:val="26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4"/>
          <w:szCs w:val="24"/>
        </w:rPr>
      </w:pP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0"/>
          <w:szCs w:val="22"/>
        </w:rPr>
      </w:pPr>
      <w:r>
        <w:rPr>
          <w:rFonts w:cs="Miriam" w:ascii="Century" w:hAnsi="Century"/>
          <w:b/>
          <w:spacing w:val="0"/>
          <w:sz w:val="20"/>
          <w:szCs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כבר בפתח הדברים</w:t>
      </w:r>
      <w:r>
        <w:rPr>
          <w:rtl w:val="true"/>
        </w:rPr>
        <w:t xml:space="preserve">, </w:t>
      </w:r>
      <w:r>
        <w:rPr>
          <w:rtl w:val="true"/>
        </w:rPr>
        <w:t>יש להעיר כי עיקר הערעור על הכרעת הדין מכוון באופן מובהק נגד ממצאי עובדה ומהימנות שקבע בית משפט קמא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 זה מדרכה של ערכאת הערעור להתערב בקביעות שבעובדה ובממצאי מהימנות</w:t>
      </w:r>
      <w:r>
        <w:rPr>
          <w:rtl w:val="true"/>
        </w:rPr>
        <w:t xml:space="preserve">, </w:t>
      </w:r>
      <w:r>
        <w:rPr>
          <w:sz w:val="28"/>
          <w:sz w:val="28"/>
          <w:rtl w:val="true"/>
        </w:rPr>
        <w:t xml:space="preserve">אלא במקרים חריגים בהם קביעותיה של הערכאה </w:t>
      </w:r>
      <w:r>
        <w:rPr>
          <w:rtl w:val="true"/>
        </w:rPr>
        <w:t>הדיונית</w:t>
      </w:r>
      <w:r>
        <w:rPr>
          <w:sz w:val="28"/>
          <w:sz w:val="28"/>
          <w:rtl w:val="true"/>
        </w:rPr>
        <w:t xml:space="preserve"> אינן סבירות בעליל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כאשר נפלה בהן טעות מהותית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הברורה על פני הדברים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 xml:space="preserve">או כאשר מדובר בהכרעה המבוססת על ראיות חפציות או על </w:t>
      </w:r>
      <w:r>
        <w:rPr>
          <w:rFonts w:ascii="Century" w:hAnsi="Century" w:cs="Century"/>
          <w:sz w:val="22"/>
          <w:sz w:val="22"/>
          <w:rtl w:val="true"/>
        </w:rPr>
        <w:t>שיקולים שבהיגיון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שבהם אין לערכאה הדיונית יתרון על פני ערכאת הערעור </w:t>
      </w:r>
      <w:r>
        <w:rPr>
          <w:rFonts w:cs="Century" w:ascii="Century" w:hAnsi="Century"/>
          <w:sz w:val="22"/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9352/99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יומטוביאן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sz w:val="28"/>
          <w:rtl w:val="true"/>
        </w:rPr>
        <w:t>(</w:t>
      </w:r>
      <w:r>
        <w:rPr>
          <w:sz w:val="28"/>
        </w:rPr>
        <w:t>4</w:t>
      </w:r>
      <w:r>
        <w:rPr>
          <w:sz w:val="28"/>
          <w:rtl w:val="true"/>
        </w:rPr>
        <w:t xml:space="preserve">) </w:t>
      </w:r>
      <w:r>
        <w:rPr>
          <w:sz w:val="28"/>
        </w:rPr>
        <w:t>632</w:t>
      </w:r>
      <w:r>
        <w:rPr>
          <w:sz w:val="28"/>
          <w:rtl w:val="true"/>
        </w:rPr>
        <w:t xml:space="preserve">, </w:t>
      </w:r>
      <w:r>
        <w:rPr>
          <w:sz w:val="28"/>
        </w:rPr>
        <w:t>646</w:t>
      </w:r>
      <w:r>
        <w:rPr>
          <w:sz w:val="28"/>
          <w:rtl w:val="true"/>
        </w:rPr>
        <w:t xml:space="preserve"> (</w:t>
      </w:r>
      <w:r>
        <w:rPr>
          <w:sz w:val="28"/>
        </w:rPr>
        <w:t>2000</w:t>
      </w:r>
      <w:r>
        <w:rPr>
          <w:sz w:val="28"/>
          <w:rtl w:val="true"/>
        </w:rPr>
        <w:t xml:space="preserve">); </w:t>
      </w:r>
      <w:hyperlink r:id="rId2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252/16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21.12.2017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11426/03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חואמדה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31.12.2008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9468/10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16.4.2012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אקדים אפוא תוצאה להנמקה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ואומר כי לאחר עיון ו</w:t>
      </w:r>
      <w:r>
        <w:rPr>
          <w:rtl w:val="true"/>
        </w:rPr>
        <w:t>בחינה מדוקדקת של פסק דינו של בית משפט קמא</w:t>
      </w:r>
      <w:r>
        <w:rPr>
          <w:rtl w:val="true"/>
        </w:rPr>
        <w:t xml:space="preserve">, </w:t>
      </w:r>
      <w:r>
        <w:rPr>
          <w:rtl w:val="true"/>
        </w:rPr>
        <w:t>טענות הצדדים בערעור והחומר בתיק</w:t>
      </w:r>
      <w:r>
        <w:rPr>
          <w:rtl w:val="true"/>
        </w:rPr>
        <w:t xml:space="preserve">, </w:t>
      </w:r>
      <w:r>
        <w:rPr>
          <w:rtl w:val="true"/>
        </w:rPr>
        <w:t xml:space="preserve">לא שוכנעתי כי קיימת במקרה דנן הצדקה להתערבות בקביעות העובדה ובממצאי המהימנות של </w:t>
      </w:r>
      <w:r>
        <w:rPr>
          <w:rtl w:val="true"/>
        </w:rPr>
        <w:t>בית משפט קמא</w:t>
      </w:r>
      <w:r>
        <w:rPr>
          <w:rtl w:val="true"/>
        </w:rPr>
        <w:t xml:space="preserve">. </w:t>
      </w:r>
      <w:r>
        <w:rPr>
          <w:rtl w:val="true"/>
        </w:rPr>
        <w:t>הכרעת הדין בעניינו של המערער מפורטת ומנומקת</w:t>
      </w:r>
      <w:r>
        <w:rPr>
          <w:rtl w:val="true"/>
        </w:rPr>
        <w:t xml:space="preserve">, </w:t>
      </w:r>
      <w:r>
        <w:rPr>
          <w:rtl w:val="true"/>
        </w:rPr>
        <w:t>ואינה פוסחת על התמודדות עם הטענות שהועלו על ידו</w:t>
      </w:r>
      <w:r>
        <w:rPr>
          <w:rtl w:val="true"/>
        </w:rPr>
        <w:t xml:space="preserve">. </w:t>
      </w:r>
      <w:r>
        <w:rPr>
          <w:rtl w:val="true"/>
        </w:rPr>
        <w:t>הקשיים עליהם הצביע שופט המיעוט אינם מערערים לטעמי את אמינות גרסתו של המתלונן</w:t>
      </w:r>
      <w:r>
        <w:rPr>
          <w:rtl w:val="true"/>
        </w:rPr>
        <w:t xml:space="preserve">, </w:t>
      </w:r>
      <w:r>
        <w:rPr>
          <w:rtl w:val="true"/>
        </w:rPr>
        <w:t>ואת המסקנות העולות ממנה</w:t>
      </w:r>
      <w:r>
        <w:rPr>
          <w:rtl w:val="true"/>
        </w:rPr>
        <w:t xml:space="preserve">, </w:t>
      </w:r>
      <w:r>
        <w:rPr>
          <w:rtl w:val="true"/>
        </w:rPr>
        <w:t>הכל כפי שיפורט להלן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360" w:start="720" w:end="0"/>
        <w:jc w:val="both"/>
        <w:textAlignment w:val="auto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קמא מצא את עדותו של המתלונן כעדות </w:t>
      </w:r>
      <w:r>
        <w:rPr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וקוהרנטית</w:t>
      </w:r>
      <w:r>
        <w:rPr>
          <w:sz w:val="28"/>
          <w:rtl w:val="true"/>
        </w:rPr>
        <w:t xml:space="preserve">". </w:t>
      </w:r>
      <w:r>
        <w:rPr>
          <w:rtl w:val="true"/>
        </w:rPr>
        <w:t>נקבע כי המתלונן תיאר את הדברים בשפתו</w:t>
      </w:r>
      <w:r>
        <w:rPr>
          <w:rtl w:val="true"/>
        </w:rPr>
        <w:t xml:space="preserve">, </w:t>
      </w:r>
      <w:r>
        <w:rPr>
          <w:rtl w:val="true"/>
        </w:rPr>
        <w:t>העשירה בביטויים של בחור חכם ונבון</w:t>
      </w:r>
      <w:r>
        <w:rPr>
          <w:rtl w:val="true"/>
        </w:rPr>
        <w:t xml:space="preserve">, </w:t>
      </w:r>
      <w:r>
        <w:rPr>
          <w:rtl w:val="true"/>
        </w:rPr>
        <w:t>תוך שנמנע מהפרזות והעצמה של הדברים</w:t>
      </w:r>
      <w:r>
        <w:rPr>
          <w:rtl w:val="true"/>
        </w:rPr>
        <w:t xml:space="preserve">. </w:t>
      </w:r>
      <w:r>
        <w:rPr>
          <w:rtl w:val="true"/>
        </w:rPr>
        <w:t>ואולם לטענת המערער</w:t>
      </w:r>
      <w:r>
        <w:rPr>
          <w:rtl w:val="true"/>
        </w:rPr>
        <w:t xml:space="preserve">, </w:t>
      </w:r>
      <w:r>
        <w:rPr>
          <w:rtl w:val="true"/>
        </w:rPr>
        <w:t>מעדותו של המתלונן עולות סתירות משמעותיות אשר פוגעות במהימנותו</w:t>
      </w:r>
      <w:r>
        <w:rPr>
          <w:rtl w:val="true"/>
        </w:rPr>
        <w:t xml:space="preserve">. </w:t>
      </w:r>
      <w:r>
        <w:rPr>
          <w:rtl w:val="true"/>
        </w:rPr>
        <w:t>תהייה מרכזית אליה הפנה המערער נעוצה בהסכמתו של המתלונן לעיסוי בבית הדפוס</w:t>
      </w:r>
      <w:r>
        <w:rPr>
          <w:rtl w:val="true"/>
        </w:rPr>
        <w:t xml:space="preserve">, </w:t>
      </w:r>
      <w:r>
        <w:rPr>
          <w:rtl w:val="true"/>
        </w:rPr>
        <w:t>זמן קצר לאחר האירוע בסלון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בהתייחס לעניין זה</w:t>
      </w:r>
      <w:r>
        <w:rPr>
          <w:rtl w:val="true"/>
        </w:rPr>
        <w:t xml:space="preserve">, </w:t>
      </w:r>
      <w:r>
        <w:rPr>
          <w:rtl w:val="true"/>
        </w:rPr>
        <w:t>הפנה בית משפט קמא לדבריו של המתלונן בעדותו בבית המשפט כי בעת האירוע חשב שאותו מגע באיבר המין לא ארע בכוונה</w:t>
      </w:r>
      <w:r>
        <w:rPr>
          <w:rtl w:val="true"/>
        </w:rPr>
        <w:t xml:space="preserve">, </w:t>
      </w:r>
      <w:r>
        <w:rPr>
          <w:rtl w:val="true"/>
        </w:rPr>
        <w:t>וכן לכך שכבר בהודעתו הראשונה במשטרה אמר המתלונן כי המערער נגע באיבר מינו</w:t>
      </w:r>
      <w:r>
        <w:rPr>
          <w:rtl w:val="true"/>
        </w:rPr>
        <w:t xml:space="preserve">, </w:t>
      </w:r>
      <w:r>
        <w:rPr>
          <w:rtl w:val="true"/>
        </w:rPr>
        <w:t xml:space="preserve">אך הוא הרגיש </w:t>
      </w:r>
      <w:r>
        <w:rPr>
          <w:rtl w:val="true"/>
        </w:rPr>
        <w:t>"</w:t>
      </w:r>
      <w:r>
        <w:rPr>
          <w:rtl w:val="true"/>
        </w:rPr>
        <w:t>שזה לא מיני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קמא כי </w:t>
      </w:r>
      <w:r>
        <w:rPr>
          <w:rtl w:val="true"/>
        </w:rPr>
        <w:t>"</w:t>
      </w:r>
      <w:r>
        <w:rPr>
          <w:spacing w:val="6"/>
          <w:rtl w:val="true"/>
        </w:rPr>
        <w:t>דבריו הנ</w:t>
      </w:r>
      <w:r>
        <w:rPr>
          <w:spacing w:val="6"/>
          <w:rtl w:val="true"/>
        </w:rPr>
        <w:t>"</w:t>
      </w:r>
      <w:r>
        <w:rPr>
          <w:spacing w:val="6"/>
          <w:rtl w:val="true"/>
        </w:rPr>
        <w:t>ל של המתלונן דווקא ממחישים את אמינותו ואת כנות דבריו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שכן המתלונן לא הסתיר את תחושתו בעת האירוע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כי אין מדובר באקט מיני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דבר המסביר מדוע המשיך את יומו בלכתו עם הנאשם לבית הדפוס</w:t>
      </w:r>
      <w:r>
        <w:rPr>
          <w:rtl w:val="true"/>
        </w:rPr>
        <w:t xml:space="preserve">". </w:t>
      </w:r>
      <w:r>
        <w:rPr>
          <w:rtl w:val="true"/>
        </w:rPr>
        <w:t>אין בידי לקבל לענין זה את טענת המערער לפיה לא ייתכן שהמתלונן לא חשד שמדובר באקט מיני בסלון</w:t>
      </w:r>
      <w:r>
        <w:rPr>
          <w:rtl w:val="true"/>
        </w:rPr>
        <w:t xml:space="preserve">, </w:t>
      </w:r>
      <w:r>
        <w:rPr>
          <w:rtl w:val="true"/>
        </w:rPr>
        <w:t>משום ש</w:t>
      </w:r>
      <w:r>
        <w:rPr>
          <w:rFonts w:ascii="Century" w:hAnsi="Century" w:cs="Century"/>
          <w:sz w:val="22"/>
          <w:sz w:val="22"/>
          <w:rtl w:val="true"/>
        </w:rPr>
        <w:t>לטענתו המערער הציע לו באותו מעמד גם הצעות מיניות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כפי שהעיד המתלונן בבית משפט קמא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רק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בדיעבד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לאחר האירוע בבית הדפוס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הלה הבין כי המגע באיבר מינו בסלון ביתו של המערער נעשה בכוונה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ייתכן כי ההערות המיניות של המערער בסלון הבית היו צריכות לעורר במתלונן חשד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ברם גרסתו העקבית היא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לא חשד כך באותה נקודת זמן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הגזמה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" </w:t>
      </w:r>
      <w:r>
        <w:rPr>
          <w:rtl w:val="true"/>
        </w:rPr>
        <w:t>והוסיף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הדפוס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המכנסיים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קצת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מופשל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14.2.2016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- "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ההיגיון</w:t>
      </w:r>
      <w:r>
        <w:rPr>
          <w:rtl w:val="true"/>
        </w:rPr>
        <w:t xml:space="preserve">"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04:00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05:00</w:t>
      </w:r>
      <w:r>
        <w:rPr>
          <w:rtl w:val="true"/>
        </w:rPr>
        <w:t xml:space="preserve">, </w:t>
      </w:r>
      <w:r>
        <w:rPr>
          <w:rtl w:val="true"/>
        </w:rPr>
        <w:t>כשעה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לתיק שנפתח נגד המתלונן ב</w:t>
      </w:r>
      <w:r>
        <w:rPr>
          <w:rtl w:val="true"/>
        </w:rPr>
        <w:t xml:space="preserve">-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ונסגר בהליך של טיפול מותנה</w:t>
      </w:r>
      <w:r>
        <w:rPr>
          <w:rtl w:val="true"/>
        </w:rPr>
        <w:t xml:space="preserve">, </w:t>
      </w:r>
      <w:r>
        <w:rPr>
          <w:rtl w:val="true"/>
        </w:rPr>
        <w:t>סבורני כי גם בו אין כדי להשליך על מהימנות גרסתו נגד המערער</w:t>
      </w:r>
      <w:r>
        <w:rPr>
          <w:rtl w:val="true"/>
        </w:rPr>
        <w:t xml:space="preserve">. </w:t>
      </w:r>
      <w:r>
        <w:rPr>
          <w:rtl w:val="true"/>
        </w:rPr>
        <w:t>כפי שהבהירה המשיבה</w:t>
      </w:r>
      <w:r>
        <w:rPr>
          <w:rtl w:val="true"/>
        </w:rPr>
        <w:t xml:space="preserve">, </w:t>
      </w:r>
      <w:r>
        <w:rPr>
          <w:rtl w:val="true"/>
        </w:rPr>
        <w:t xml:space="preserve">בתחילה הועמד חומר החקירה באותו תיק לעיונו של בית המשפט במסגרת בקשה לעיון בחומר חקירה שהוגשה על ידי המערער </w:t>
      </w:r>
      <w:r>
        <w:rPr>
          <w:rtl w:val="true"/>
        </w:rPr>
        <w:t>(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33121-01-16</w:t>
      </w:r>
      <w:r>
        <w:rPr>
          <w:rtl w:val="true"/>
        </w:rPr>
        <w:t xml:space="preserve">). </w:t>
      </w:r>
      <w:r>
        <w:rPr>
          <w:rtl w:val="true"/>
        </w:rPr>
        <w:t xml:space="preserve">בקשה זו נדחתה בהחלטה מיום </w:t>
      </w:r>
      <w:r>
        <w:rPr/>
        <w:t>26.1.2016</w:t>
      </w:r>
      <w:r>
        <w:rPr>
          <w:rtl w:val="true"/>
        </w:rPr>
        <w:t xml:space="preserve"> </w:t>
      </w:r>
      <w:r>
        <w:rPr>
          <w:rtl w:val="true"/>
        </w:rPr>
        <w:t xml:space="preserve">תוך שנקבע כי </w:t>
      </w:r>
      <w:r>
        <w:rPr>
          <w:rtl w:val="true"/>
        </w:rPr>
        <w:t>"</w:t>
      </w:r>
      <w:r>
        <w:rPr>
          <w:rtl w:val="true"/>
        </w:rPr>
        <w:t>אין מדובר בחומר חקירה כהגדרת מונח זה בדין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הועמד חומר החקירה בתיק לעיון הרכב השופטים שדן בתיק העיקרי</w:t>
      </w:r>
      <w:r>
        <w:rPr>
          <w:rtl w:val="true"/>
        </w:rPr>
        <w:t xml:space="preserve">, </w:t>
      </w:r>
      <w:r>
        <w:rPr>
          <w:rtl w:val="true"/>
        </w:rPr>
        <w:t>אשר הורה על העברת ההודעות המשטרתיות שנגבו בתיק להגנה</w:t>
      </w:r>
      <w:r>
        <w:rPr>
          <w:rtl w:val="true"/>
        </w:rPr>
        <w:t xml:space="preserve">. </w:t>
      </w:r>
      <w:r>
        <w:rPr>
          <w:rtl w:val="true"/>
        </w:rPr>
        <w:t>לאחר עיון בהודעות שמסרו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הקטינה והמורה במסגרת חקירה זו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 xml:space="preserve">), </w:t>
      </w:r>
      <w:r>
        <w:rPr>
          <w:rtl w:val="true"/>
        </w:rPr>
        <w:t>נראה כי בחקירתם הודו הקטינה והמתלונן בשליחת המסרונים בעלי האופי המיני</w:t>
      </w:r>
      <w:r>
        <w:rPr>
          <w:rtl w:val="true"/>
        </w:rPr>
        <w:t xml:space="preserve">, </w:t>
      </w:r>
      <w:r>
        <w:rPr>
          <w:rtl w:val="true"/>
        </w:rPr>
        <w:t xml:space="preserve">וציינו כי </w:t>
      </w:r>
      <w:r>
        <w:rPr>
          <w:rtl w:val="true"/>
        </w:rPr>
        <w:t>"</w:t>
      </w:r>
      <w:r>
        <w:rPr>
          <w:rtl w:val="true"/>
        </w:rPr>
        <w:t>זה היה בצחוק</w:t>
      </w:r>
      <w:r>
        <w:rPr>
          <w:rtl w:val="true"/>
        </w:rPr>
        <w:t xml:space="preserve">". </w:t>
      </w:r>
      <w:r>
        <w:rPr>
          <w:rtl w:val="true"/>
        </w:rPr>
        <w:t>הסבריו של המתלונן בעדותו בבית המשפט</w:t>
      </w:r>
      <w:r>
        <w:rPr>
          <w:rtl w:val="true"/>
        </w:rPr>
        <w:t xml:space="preserve">, </w:t>
      </w:r>
      <w:r>
        <w:rPr>
          <w:rtl w:val="true"/>
        </w:rPr>
        <w:t>כי מדובר במעשה קונדס מתיישבים עם ההודעות שנמסרו במשטרה</w:t>
      </w:r>
      <w:r>
        <w:rPr>
          <w:rtl w:val="true"/>
        </w:rPr>
        <w:t xml:space="preserve">, </w:t>
      </w:r>
      <w:r>
        <w:rPr>
          <w:rtl w:val="true"/>
        </w:rPr>
        <w:t xml:space="preserve">ואינני סבור כי יש משמעות לשאלה מי מבין שני הקטינים </w:t>
      </w:r>
      <w:r>
        <w:rPr>
          <w:rtl w:val="true"/>
        </w:rPr>
        <w:t>"</w:t>
      </w:r>
      <w:r>
        <w:rPr>
          <w:rtl w:val="true"/>
        </w:rPr>
        <w:t>הפליל</w:t>
      </w:r>
      <w:r>
        <w:rPr>
          <w:rtl w:val="true"/>
        </w:rPr>
        <w:t xml:space="preserve">" </w:t>
      </w:r>
      <w:r>
        <w:rPr>
          <w:rtl w:val="true"/>
        </w:rPr>
        <w:t>את חברו</w:t>
      </w:r>
      <w:r>
        <w:rPr>
          <w:rtl w:val="true"/>
        </w:rPr>
        <w:t xml:space="preserve">, </w:t>
      </w:r>
      <w:r>
        <w:rPr>
          <w:rtl w:val="true"/>
        </w:rPr>
        <w:t>דבר שכאמור לא התברר משהתיק נסגר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אני שותף למסקנתו של בית משפט קמא כי אין בתיק החקירה הסגור האמור כדי לערער את מהימנותו של המתלונן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אשר ל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הקודם</w:t>
      </w:r>
      <w:r>
        <w:rPr>
          <w:rtl w:val="true"/>
        </w:rPr>
        <w:t xml:space="preserve">". </w:t>
      </w:r>
      <w:r>
        <w:rPr>
          <w:rtl w:val="true"/>
        </w:rPr>
        <w:t>בעדותו בבית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סיפר המתלונן כי </w:t>
      </w:r>
      <w:r>
        <w:rPr>
          <w:rtl w:val="true"/>
        </w:rPr>
        <w:t>"</w:t>
      </w:r>
      <w:r>
        <w:rPr>
          <w:rtl w:val="true"/>
        </w:rPr>
        <w:t>היה מקרה אחד שנה לפני המקרה שאני חשבתי שהוא נוגע בי מתוך שינה ולא התייחסתי לזה באותו רגע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מיום </w:t>
      </w:r>
      <w:r>
        <w:rPr/>
        <w:t>14.2.2016</w:t>
      </w:r>
      <w:r>
        <w:rPr>
          <w:rtl w:val="true"/>
        </w:rPr>
        <w:t xml:space="preserve">). </w:t>
      </w:r>
      <w:r>
        <w:rPr>
          <w:rtl w:val="true"/>
        </w:rPr>
        <w:t>המתלונן סיפר לאמו על האירוע</w:t>
      </w:r>
      <w:r>
        <w:rPr>
          <w:rtl w:val="true"/>
        </w:rPr>
        <w:t xml:space="preserve">, </w:t>
      </w:r>
      <w:r>
        <w:rPr>
          <w:rtl w:val="true"/>
        </w:rPr>
        <w:t xml:space="preserve">האם סיפרה לאחותה </w:t>
      </w:r>
      <w:r>
        <w:rPr>
          <w:rtl w:val="true"/>
        </w:rPr>
        <w:t>(</w:t>
      </w:r>
      <w:r>
        <w:rPr>
          <w:rtl w:val="true"/>
        </w:rPr>
        <w:t>אשת המערער</w:t>
      </w:r>
      <w:r>
        <w:rPr>
          <w:rtl w:val="true"/>
        </w:rPr>
        <w:t xml:space="preserve">), </w:t>
      </w:r>
      <w:r>
        <w:rPr>
          <w:rtl w:val="true"/>
        </w:rPr>
        <w:t xml:space="preserve">והאחרונה שאלה את המתלונן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אתה בטוח שזה קרה</w:t>
      </w:r>
      <w:r>
        <w:rPr>
          <w:rtl w:val="true"/>
        </w:rPr>
        <w:t xml:space="preserve">"?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 xml:space="preserve">תיאר המתלונן את אותה שיחה בה השיב לדודתו על שאלתה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 לא יודע אם זה קרה</w:t>
      </w:r>
      <w:r>
        <w:rPr>
          <w:rtl w:val="true"/>
        </w:rPr>
        <w:t xml:space="preserve">, </w:t>
      </w:r>
      <w:r>
        <w:rPr>
          <w:rtl w:val="true"/>
        </w:rPr>
        <w:t>אני חושב שזה קרה ואז היא אמרה</w:t>
      </w:r>
      <w:r>
        <w:rPr>
          <w:rtl w:val="true"/>
        </w:rPr>
        <w:t xml:space="preserve">, </w:t>
      </w:r>
      <w:r>
        <w:rPr>
          <w:rtl w:val="true"/>
        </w:rPr>
        <w:t>כשתהיה בטוח בזה תגיד לי כי אני יכולה להרוג אותו על דבר כזה</w:t>
      </w:r>
      <w:r>
        <w:rPr>
          <w:rtl w:val="true"/>
        </w:rPr>
        <w:t xml:space="preserve">. </w:t>
      </w:r>
      <w:r>
        <w:rPr>
          <w:rtl w:val="true"/>
        </w:rPr>
        <w:t>אז אמרתי אני לא יודע אם זה קרה אבל כאילו בוא נשכח מזה</w:t>
      </w:r>
      <w:r>
        <w:rPr>
          <w:rtl w:val="true"/>
        </w:rPr>
        <w:t xml:space="preserve">, </w:t>
      </w:r>
      <w:r>
        <w:rPr>
          <w:rtl w:val="true"/>
        </w:rPr>
        <w:t>אני מעדיף לא לעשות יותר מזה כי פחדתי שזה יעשה סכסוכים משפחתיים ודברים כאלה כמו שכביכול קרה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כשנשאל בחקירתו הנגדית כיצד חזר לישון אצל המערער אחרי האירוע הקודם</w:t>
      </w:r>
      <w:r>
        <w:rPr>
          <w:rtl w:val="true"/>
        </w:rPr>
        <w:t xml:space="preserve">, </w:t>
      </w:r>
      <w:r>
        <w:rPr>
          <w:rtl w:val="true"/>
        </w:rPr>
        <w:t>הסביר כך</w:t>
      </w:r>
      <w:r>
        <w:rPr>
          <w:rtl w:val="true"/>
        </w:rPr>
        <w:t>: "</w:t>
      </w:r>
      <w:r>
        <w:rPr>
          <w:rtl w:val="true"/>
        </w:rPr>
        <w:t>אני בן אדם כאילו</w:t>
      </w:r>
      <w:r>
        <w:rPr>
          <w:rtl w:val="true"/>
        </w:rPr>
        <w:t xml:space="preserve">, </w:t>
      </w:r>
      <w:r>
        <w:rPr>
          <w:rtl w:val="true"/>
        </w:rPr>
        <w:t xml:space="preserve">בן אדם שיודע לחלום </w:t>
      </w:r>
      <w:r>
        <w:rPr>
          <w:rFonts w:ascii="Century" w:hAnsi="Century" w:cs="Century"/>
          <w:sz w:val="22"/>
          <w:sz w:val="22"/>
          <w:rtl w:val="true"/>
        </w:rPr>
        <w:t>חלומות מוחשיים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alibri Light" w:ascii="Calibri Light" w:hAnsi="Calibri Light"/>
          <w:spacing w:val="0"/>
          <w:szCs w:val="32"/>
        </w:rPr>
        <w:t>lucid dreams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ועשיתי על זה משהו בבגרות זה מעניין רצח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 xml:space="preserve">והמשיך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כשאני חולם משהו רוב הזמן גם שאני שולט בחלום עצמו וגם אם לא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אני מרגיש אותו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מוחשי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אם מישהו צובט אותי אני מרגיש את הצביטה הזאת וכביכול שהייתי באותו זמן אצלו אז אמרתי טוב בטח דמיינתי את זה וכנראה שזה אולי לא קרה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אני לא יודע אם זה קרה או לא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לפרוטוקול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המתלונן סיפר כי במשך מספר חודשים לאחר אותו אירוע נמנע מלישון בבית המערער</w:t>
      </w:r>
      <w:r>
        <w:rPr>
          <w:rFonts w:cs="Century" w:ascii="Century" w:hAnsi="Century"/>
          <w:sz w:val="22"/>
          <w:rtl w:val="true"/>
        </w:rPr>
        <w:t>, "</w:t>
      </w:r>
      <w:r>
        <w:rPr>
          <w:rFonts w:ascii="Century" w:hAnsi="Century" w:cs="Century"/>
          <w:spacing w:val="6"/>
          <w:sz w:val="22"/>
          <w:sz w:val="22"/>
          <w:rtl w:val="true"/>
        </w:rPr>
        <w:t xml:space="preserve">עשיתי חושבים עם עצמי רגע זה קרה או לא קרה </w:t>
      </w:r>
      <w:r>
        <w:rPr>
          <w:rFonts w:cs="Century" w:ascii="Century" w:hAnsi="Century"/>
          <w:spacing w:val="6"/>
          <w:sz w:val="22"/>
          <w:rtl w:val="true"/>
        </w:rPr>
        <w:t xml:space="preserve">[...] </w:t>
      </w:r>
      <w:r>
        <w:rPr>
          <w:rFonts w:ascii="Century" w:hAnsi="Century" w:cs="Century"/>
          <w:spacing w:val="6"/>
          <w:sz w:val="22"/>
          <w:sz w:val="22"/>
          <w:rtl w:val="true"/>
        </w:rPr>
        <w:t>אני אשים את זה בצד כי למה לי להתעסק עם זה יותר מדי ואני פשוט אמשיך עם החיים שלי ואתפוס מרחק לכמה זמן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מציאות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שבבית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סיכומי ההגנה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התודעה</w:t>
      </w:r>
      <w:r>
        <w:rPr>
          <w:rtl w:val="true"/>
        </w:rPr>
        <w:t xml:space="preserve">" </w:t>
      </w:r>
      <w:r>
        <w:rPr>
          <w:rtl w:val="true"/>
        </w:rPr>
        <w:t>ותופעות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] </w:t>
      </w:r>
      <w:r>
        <w:rPr>
          <w:rtl w:val="true"/>
        </w:rPr>
        <w:t>נובעות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מזיכרונות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מדומים</w:t>
      </w:r>
      <w:r>
        <w:rPr>
          <w:rtl w:val="true"/>
        </w:rPr>
        <w:t xml:space="preserve">, </w:t>
      </w:r>
      <w:r>
        <w:rPr>
          <w:rtl w:val="true"/>
        </w:rPr>
        <w:t>מעיסוק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, </w:t>
      </w:r>
      <w:r>
        <w:rPr>
          <w:rtl w:val="true"/>
        </w:rPr>
        <w:t>מתגובה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</w:t>
      </w:r>
      <w:r>
        <w:rPr>
          <w:rtl w:val="true"/>
        </w:rPr>
        <w:t xml:space="preserve">, </w:t>
      </w:r>
      <w:r>
        <w:rPr>
          <w:rtl w:val="true"/>
        </w:rPr>
        <w:t>מהצפת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[...], </w:t>
      </w:r>
      <w:r>
        <w:rPr>
          <w:rtl w:val="true"/>
        </w:rPr>
        <w:t>מעלילה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זדונית</w:t>
      </w:r>
      <w:r>
        <w:rPr>
          <w:rtl w:val="true"/>
        </w:rPr>
        <w:t xml:space="preserve">, </w:t>
      </w:r>
      <w:r>
        <w:rPr>
          <w:rtl w:val="true"/>
        </w:rPr>
        <w:t>מסתם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[...]". </w:t>
      </w:r>
      <w:r>
        <w:rPr>
          <w:rtl w:val="true"/>
        </w:rPr>
        <w:t>ובהמשך</w:t>
      </w:r>
      <w:r>
        <w:rPr>
          <w:rtl w:val="true"/>
        </w:rPr>
        <w:t>, "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ומציאות</w:t>
      </w:r>
      <w:r>
        <w:rPr>
          <w:rtl w:val="true"/>
        </w:rPr>
        <w:t xml:space="preserve">, </w:t>
      </w:r>
      <w:r>
        <w:rPr>
          <w:rtl w:val="true"/>
        </w:rPr>
        <w:t>והתודעה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ניזונה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בספק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5-4</w:t>
      </w:r>
      <w:r>
        <w:rPr>
          <w:rtl w:val="true"/>
        </w:rPr>
        <w:t xml:space="preserve"> </w:t>
      </w:r>
      <w:r>
        <w:rPr>
          <w:rtl w:val="true"/>
        </w:rPr>
        <w:t>לסיכומי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spacing w:val="6"/>
          <w:rtl w:val="true"/>
        </w:rPr>
        <w:t>גם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נקבל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הטענה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בדבר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עצם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קיומן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תופעות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כגון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אלה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המתוארות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ידי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הסנגור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בסיכומיו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(</w:t>
      </w:r>
      <w:r>
        <w:rPr>
          <w:spacing w:val="6"/>
          <w:rtl w:val="true"/>
        </w:rPr>
        <w:t>תוך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הפניה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לפסקי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דין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ומאמרים</w:t>
      </w:r>
      <w:r>
        <w:rPr>
          <w:spacing w:val="6"/>
          <w:rtl w:val="true"/>
        </w:rPr>
        <w:t xml:space="preserve">), </w:t>
      </w:r>
      <w:r>
        <w:rPr>
          <w:spacing w:val="6"/>
          <w:rtl w:val="true"/>
        </w:rPr>
        <w:t>לא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ניתן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לקבוע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תופעות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אלה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או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חלקן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התקיימו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במקרה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דנן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ללא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שהובאה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בפנינו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חוות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דעת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מומחה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המתייחסת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לעובדות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הספציפיות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המקרה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שבפנינו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ולמתלונן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הספציפי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שבפנינו</w:t>
      </w:r>
      <w:r>
        <w:rPr>
          <w:spacing w:val="6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במציאות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במציאות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",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13</w:t>
      </w:r>
      <w:r>
        <w:rPr>
          <w:rtl w:val="true"/>
        </w:rPr>
        <w:t xml:space="preserve">),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14.2.2016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יש לדחות גם את טענת המערער כי עדויות הוריו של המתלונן דווקא פוגעות במהימנותו של המתלונן</w:t>
      </w:r>
      <w:r>
        <w:rPr>
          <w:rtl w:val="true"/>
        </w:rPr>
        <w:t xml:space="preserve">.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עדויות הוריו של המתלונן</w:t>
      </w:r>
      <w:r>
        <w:rPr>
          <w:rtl w:val="true"/>
        </w:rPr>
        <w:t xml:space="preserve">, </w:t>
      </w:r>
      <w:r>
        <w:rPr>
          <w:rtl w:val="true"/>
        </w:rPr>
        <w:t>להם סיפר על האירועים עוד באותו יום</w:t>
      </w:r>
      <w:r>
        <w:rPr>
          <w:rtl w:val="true"/>
        </w:rPr>
        <w:t xml:space="preserve">, </w:t>
      </w:r>
      <w:r>
        <w:rPr>
          <w:rtl w:val="true"/>
        </w:rPr>
        <w:t>ועדותם באשר למצבו הנפשי בעת שסיפר את הדברים</w:t>
      </w:r>
      <w:r>
        <w:rPr>
          <w:rtl w:val="true"/>
        </w:rPr>
        <w:t xml:space="preserve">, </w:t>
      </w:r>
      <w:r>
        <w:rPr>
          <w:rtl w:val="true"/>
        </w:rPr>
        <w:t>תומכים בגרסתו של המתלונן ומחזקים אותה</w:t>
      </w:r>
      <w:r>
        <w:rPr>
          <w:rtl w:val="true"/>
        </w:rPr>
        <w:t xml:space="preserve">. </w:t>
      </w:r>
      <w:r>
        <w:rPr>
          <w:rtl w:val="true"/>
        </w:rPr>
        <w:t>בית משפט קמא התייחס לסתירות עליהן הצביע המערער</w:t>
      </w:r>
      <w:r>
        <w:rPr>
          <w:rtl w:val="true"/>
        </w:rPr>
        <w:t xml:space="preserve">, </w:t>
      </w:r>
      <w:r>
        <w:rPr>
          <w:rtl w:val="true"/>
        </w:rPr>
        <w:t>קבע כי אין מדובר בסתירות מהותיות</w:t>
      </w:r>
      <w:r>
        <w:rPr>
          <w:rtl w:val="true"/>
        </w:rPr>
        <w:t xml:space="preserve">, </w:t>
      </w:r>
      <w:r>
        <w:rPr>
          <w:rtl w:val="true"/>
        </w:rPr>
        <w:t>ומצא בעדויות ההורים חיזוק לעדותו של המתלונן</w:t>
      </w:r>
      <w:r>
        <w:rPr>
          <w:rtl w:val="true"/>
        </w:rPr>
        <w:t xml:space="preserve">. </w:t>
      </w:r>
      <w:r>
        <w:rPr>
          <w:rtl w:val="true"/>
        </w:rPr>
        <w:t>אף אני התרשמתי כי מדובר בהבדלי גרסאות שוליים</w:t>
      </w:r>
      <w:r>
        <w:rPr>
          <w:rtl w:val="true"/>
        </w:rPr>
        <w:t xml:space="preserve">, </w:t>
      </w:r>
      <w:r>
        <w:rPr>
          <w:rtl w:val="true"/>
        </w:rPr>
        <w:t xml:space="preserve">אשר אין בהן כדי לגרוע ממהימנות </w:t>
      </w:r>
      <w:r>
        <w:rPr>
          <w:rtl w:val="true"/>
        </w:rPr>
        <w:t>"</w:t>
      </w:r>
      <w:r>
        <w:rPr>
          <w:rtl w:val="true"/>
        </w:rPr>
        <w:t>גרעין</w:t>
      </w:r>
      <w:r>
        <w:rPr>
          <w:rtl w:val="true"/>
        </w:rPr>
        <w:t xml:space="preserve">" </w:t>
      </w:r>
      <w:r>
        <w:rPr>
          <w:rtl w:val="true"/>
        </w:rPr>
        <w:t>עדותו של המתלונן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>כך גם באשר לאי התאמות אחרות אשר לא זכו להתייחסותו של בית משפט קמא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ביחס לאירוע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 xml:space="preserve">המתלונן ציין כי </w:t>
      </w:r>
      <w:r>
        <w:rPr>
          <w:rtl w:val="true"/>
        </w:rPr>
        <w:t>"[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אותי</w:t>
      </w:r>
      <w:r>
        <w:rPr>
          <w:rtl w:val="true"/>
        </w:rPr>
        <w:t xml:space="preserve"> באותו בוקר בעיסוי ברגליים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 xml:space="preserve">ואילו האב מסר כי המתלונן </w:t>
      </w:r>
      <w:r>
        <w:rPr>
          <w:rtl w:val="true"/>
        </w:rPr>
        <w:t>"</w:t>
      </w:r>
      <w:r>
        <w:rPr>
          <w:rtl w:val="true"/>
        </w:rPr>
        <w:t xml:space="preserve">סיפר לי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ישן</w:t>
      </w:r>
      <w:r>
        <w:rPr>
          <w:rtl w:val="true"/>
        </w:rPr>
        <w:t xml:space="preserve"> והוא הרגיש שמישהו עושה לו מסז</w:t>
      </w:r>
      <w:r>
        <w:rPr>
          <w:rtl w:val="true"/>
        </w:rPr>
        <w:t>'"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 xml:space="preserve">והאם מסרה כי בנה אמר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שינה</w:t>
      </w:r>
      <w:r>
        <w:rPr>
          <w:rtl w:val="true"/>
        </w:rPr>
        <w:t xml:space="preserve"> התחיל לגעת בי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אינני סבור כי קיימת סתירה כלשהיא בין גרסאות ההורים לגרסת המתלונן בענין זה</w:t>
      </w:r>
      <w:r>
        <w:rPr>
          <w:rtl w:val="true"/>
        </w:rPr>
        <w:t xml:space="preserve">. </w:t>
      </w:r>
      <w:r>
        <w:rPr>
          <w:rtl w:val="true"/>
        </w:rPr>
        <w:t>עולה בפשטות מהדברים</w:t>
      </w:r>
      <w:r>
        <w:rPr>
          <w:rtl w:val="true"/>
        </w:rPr>
        <w:t xml:space="preserve">, </w:t>
      </w:r>
      <w:r>
        <w:rPr>
          <w:rtl w:val="true"/>
        </w:rPr>
        <w:t>כך גם מהודעתו הראשונה של המתלונן במשטרה</w:t>
      </w:r>
      <w:r>
        <w:rPr>
          <w:rtl w:val="true"/>
        </w:rPr>
        <w:t xml:space="preserve">, </w:t>
      </w:r>
      <w:r>
        <w:rPr>
          <w:rtl w:val="true"/>
        </w:rPr>
        <w:t>כי המערער החל לעסות את המתלונן כשהיה ישן</w:t>
      </w:r>
      <w:r>
        <w:rPr>
          <w:rtl w:val="true"/>
        </w:rPr>
        <w:t xml:space="preserve">, </w:t>
      </w:r>
      <w:r>
        <w:rPr>
          <w:rtl w:val="true"/>
        </w:rPr>
        <w:t xml:space="preserve">וכך הוא התעורר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בא אליי להעיר אותי לעבודה והוא עשה לי מסז</w:t>
      </w:r>
      <w:r>
        <w:rPr>
          <w:rtl w:val="true"/>
        </w:rPr>
        <w:t xml:space="preserve">' </w:t>
      </w:r>
      <w:r>
        <w:rPr>
          <w:rtl w:val="true"/>
        </w:rPr>
        <w:t>ברגליים ואני הרגשתי מתוך שינה שהוא מגיע עם הידיים שלו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כך הוא גם לגבי ה</w:t>
      </w:r>
      <w:r>
        <w:rPr>
          <w:rtl w:val="true"/>
        </w:rPr>
        <w:t>"</w:t>
      </w:r>
      <w:r>
        <w:rPr>
          <w:rtl w:val="true"/>
        </w:rPr>
        <w:t>סתירה</w:t>
      </w:r>
      <w:r>
        <w:rPr>
          <w:rtl w:val="true"/>
        </w:rPr>
        <w:t xml:space="preserve">" </w:t>
      </w:r>
      <w:r>
        <w:rPr>
          <w:rtl w:val="true"/>
        </w:rPr>
        <w:t>עליה מצביע המערער ביחס למקום בו אירע האירוע בבית הדפוס</w:t>
      </w:r>
      <w:r>
        <w:rPr>
          <w:rtl w:val="true"/>
        </w:rPr>
        <w:t xml:space="preserve">, </w:t>
      </w:r>
      <w:r>
        <w:rPr>
          <w:rtl w:val="true"/>
        </w:rPr>
        <w:t xml:space="preserve">ההבדל בין </w:t>
      </w:r>
      <w:r>
        <w:rPr>
          <w:rtl w:val="true"/>
        </w:rPr>
        <w:t>"</w:t>
      </w:r>
      <w:r>
        <w:rPr>
          <w:rtl w:val="true"/>
        </w:rPr>
        <w:t>פינה</w:t>
      </w:r>
      <w:r>
        <w:rPr>
          <w:rtl w:val="true"/>
        </w:rPr>
        <w:t>" (</w:t>
      </w:r>
      <w:r>
        <w:rPr>
          <w:rtl w:val="true"/>
        </w:rPr>
        <w:t>כגרסת האם</w:t>
      </w:r>
      <w:r>
        <w:rPr>
          <w:rtl w:val="true"/>
        </w:rPr>
        <w:t>), "</w:t>
      </w:r>
      <w:r>
        <w:rPr>
          <w:rtl w:val="true"/>
        </w:rPr>
        <w:t>חדרון</w:t>
      </w:r>
      <w:r>
        <w:rPr>
          <w:rtl w:val="true"/>
        </w:rPr>
        <w:t>" (</w:t>
      </w:r>
      <w:r>
        <w:rPr>
          <w:rtl w:val="true"/>
        </w:rPr>
        <w:t>כגרסת האב</w:t>
      </w:r>
      <w:r>
        <w:rPr>
          <w:rtl w:val="true"/>
        </w:rPr>
        <w:t>), "</w:t>
      </w:r>
      <w:r>
        <w:rPr>
          <w:rtl w:val="true"/>
        </w:rPr>
        <w:t>חדר מחסן</w:t>
      </w:r>
      <w:r>
        <w:rPr>
          <w:rtl w:val="true"/>
        </w:rPr>
        <w:t>" (</w:t>
      </w:r>
      <w:r>
        <w:rPr>
          <w:rtl w:val="true"/>
        </w:rPr>
        <w:t>כגרסת המתלונן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אינו משמעותי בנסיבות העניין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360" w:start="720" w:end="0"/>
        <w:jc w:val="both"/>
        <w:textAlignment w:val="auto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הלכה היא</w:t>
      </w:r>
      <w:r>
        <w:rPr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כי מצבו הנפשי של קורבן לעבירת מין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בסמוך לאירוע הנטען או בשעת חשיפתו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יכול לשמש כראיה אובייקטיבית שיש בה כדי להוות חיזוק ובנסיבות מסוימות אף סיוע לעדותו </w:t>
      </w:r>
      <w:r>
        <w:rPr>
          <w:rFonts w:cs="FrankRuehl" w:ascii="FrankRuehl" w:hAnsi="FrankRuehl"/>
          <w:sz w:val="28"/>
          <w:rtl w:val="true"/>
        </w:rPr>
        <w:t>(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4776/10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22.10.2012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5348/15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3.4.2016</w:t>
      </w:r>
      <w:r>
        <w:rPr>
          <w:rtl w:val="true"/>
        </w:rPr>
        <w:t>);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6577/10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28.11.2013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מצא בית משפט קמא במצבו הנפשי של המתלונן בסמוך לאירוע ובשעה שסיפר להוריו על מעשי המערער</w:t>
      </w:r>
      <w:r>
        <w:rPr>
          <w:rtl w:val="true"/>
        </w:rPr>
        <w:t xml:space="preserve">, </w:t>
      </w:r>
      <w:r>
        <w:rPr>
          <w:rtl w:val="true"/>
        </w:rPr>
        <w:t>חיזוק לעדותו</w:t>
      </w:r>
      <w:r>
        <w:rPr>
          <w:rtl w:val="true"/>
        </w:rPr>
        <w:t xml:space="preserve">. </w:t>
      </w:r>
      <w:r>
        <w:rPr>
          <w:rtl w:val="true"/>
        </w:rPr>
        <w:t xml:space="preserve">לענין זה טוען המערער כי לא ניתן ללמוד על מצב נפשי </w:t>
      </w:r>
      <w:r>
        <w:rPr>
          <w:rtl w:val="true"/>
        </w:rPr>
        <w:t>"</w:t>
      </w:r>
      <w:r>
        <w:rPr>
          <w:rtl w:val="true"/>
        </w:rPr>
        <w:t>בסמוך לאירוע</w:t>
      </w:r>
      <w:r>
        <w:rPr>
          <w:rtl w:val="true"/>
        </w:rPr>
        <w:t xml:space="preserve">" </w:t>
      </w:r>
      <w:r>
        <w:rPr>
          <w:rtl w:val="true"/>
        </w:rPr>
        <w:t xml:space="preserve">משיחה שביצע המתלונן לאמו באזור השעה </w:t>
      </w:r>
      <w:r>
        <w:rPr/>
        <w:t>15:00</w:t>
      </w:r>
      <w:r>
        <w:rPr>
          <w:rtl w:val="true"/>
        </w:rPr>
        <w:t xml:space="preserve"> </w:t>
      </w:r>
      <w:r>
        <w:rPr>
          <w:rtl w:val="true"/>
        </w:rPr>
        <w:t>באותו 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שעות לאחר האירוע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טענה זו דינה להידחות</w:t>
      </w:r>
      <w:r>
        <w:rPr>
          <w:rtl w:val="true"/>
        </w:rPr>
        <w:t xml:space="preserve">. </w:t>
      </w:r>
      <w:r>
        <w:rPr>
          <w:rtl w:val="true"/>
        </w:rPr>
        <w:t>עוד קודם לשיחה האמורה עם אמו ביום האירוע</w:t>
      </w:r>
      <w:r>
        <w:rPr>
          <w:rtl w:val="true"/>
        </w:rPr>
        <w:t xml:space="preserve">, </w:t>
      </w:r>
      <w:r>
        <w:rPr>
          <w:rtl w:val="true"/>
        </w:rPr>
        <w:t>בה מירר המתלונן בבכי ואמר לה כי הוא אינו מרגיש בטוב</w:t>
      </w:r>
      <w:r>
        <w:rPr>
          <w:rtl w:val="true"/>
        </w:rPr>
        <w:t xml:space="preserve">, </w:t>
      </w:r>
      <w:r>
        <w:rPr>
          <w:rtl w:val="true"/>
        </w:rPr>
        <w:t xml:space="preserve">כפי שהמערער עצמו העיד </w:t>
      </w:r>
      <w:r>
        <w:rPr>
          <w:rtl w:val="true"/>
        </w:rPr>
        <w:t xml:space="preserve">- </w:t>
      </w:r>
      <w:r>
        <w:rPr>
          <w:spacing w:val="6"/>
          <w:rtl w:val="true"/>
        </w:rPr>
        <w:t>"</w:t>
      </w:r>
      <w:r>
        <w:rPr>
          <w:spacing w:val="6"/>
          <w:rtl w:val="true"/>
        </w:rPr>
        <w:t xml:space="preserve">הוא </w:t>
      </w:r>
      <w:r>
        <w:rPr>
          <w:spacing w:val="6"/>
          <w:rtl w:val="true"/>
        </w:rPr>
        <w:t>[</w:t>
      </w:r>
      <w:r>
        <w:rPr>
          <w:spacing w:val="6"/>
          <w:rtl w:val="true"/>
        </w:rPr>
        <w:t>המתלונן</w:t>
      </w:r>
      <w:r>
        <w:rPr>
          <w:spacing w:val="6"/>
          <w:rtl w:val="true"/>
        </w:rPr>
        <w:t xml:space="preserve">] </w:t>
      </w:r>
      <w:r>
        <w:rPr>
          <w:spacing w:val="6"/>
          <w:rtl w:val="true"/>
        </w:rPr>
        <w:t>טען שהוא מרגיש לא טוב ושהוא עייף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אז אמרתי לו אוקיי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בוא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כנס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יש פה איזה חדר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כנס למשרד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תלך תנוח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כשתרגיש יותר טוב תצא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משהו כמו איזה שעה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שעתיים אחרי זה אני מקבל טלפון פתאום מאמא שלו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92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מיום </w:t>
      </w:r>
      <w:r>
        <w:rPr/>
        <w:t>30.6.2016</w:t>
      </w:r>
      <w:r>
        <w:rPr>
          <w:rtl w:val="true"/>
        </w:rPr>
        <w:t xml:space="preserve">). </w:t>
      </w:r>
      <w:r>
        <w:rPr>
          <w:rtl w:val="true"/>
        </w:rPr>
        <w:t>מצבו הנפשי של המתלונן מצא ביטוי גם בעדותו של האב</w:t>
      </w:r>
      <w:r>
        <w:rPr>
          <w:rtl w:val="true"/>
        </w:rPr>
        <w:t xml:space="preserve">, </w:t>
      </w:r>
      <w:r>
        <w:rPr>
          <w:rtl w:val="true"/>
        </w:rPr>
        <w:t>אשר סיפר כי המתלונן התקשר אליו ב</w:t>
      </w:r>
      <w:r>
        <w:rPr>
          <w:rtl w:val="true"/>
        </w:rPr>
        <w:t>"</w:t>
      </w:r>
      <w:r>
        <w:rPr>
          <w:rtl w:val="true"/>
        </w:rPr>
        <w:t>אמצע היום משהו כזה</w:t>
      </w:r>
      <w:r>
        <w:rPr>
          <w:rtl w:val="true"/>
        </w:rPr>
        <w:t xml:space="preserve">" </w:t>
      </w:r>
      <w:r>
        <w:rPr>
          <w:rtl w:val="true"/>
        </w:rPr>
        <w:t xml:space="preserve">והיה </w:t>
      </w:r>
      <w:r>
        <w:rPr>
          <w:rtl w:val="true"/>
        </w:rPr>
        <w:t>"</w:t>
      </w:r>
      <w:r>
        <w:rPr>
          <w:rtl w:val="true"/>
        </w:rPr>
        <w:t>מאוד היסטרי ומאוד בכה</w:t>
      </w:r>
      <w:r>
        <w:rPr>
          <w:rtl w:val="true"/>
        </w:rPr>
        <w:t xml:space="preserve">". </w:t>
      </w:r>
      <w:r>
        <w:rPr>
          <w:rtl w:val="true"/>
        </w:rPr>
        <w:t>אף כאשר הגיע המתלונן הביתה וסיפר להוריו על האירועים</w:t>
      </w:r>
      <w:r>
        <w:rPr>
          <w:rtl w:val="true"/>
        </w:rPr>
        <w:t>, "</w:t>
      </w:r>
      <w:r>
        <w:rPr>
          <w:rtl w:val="true"/>
        </w:rPr>
        <w:t>הוא היה מאוד היסטרי</w:t>
      </w:r>
      <w:r>
        <w:rPr>
          <w:rtl w:val="true"/>
        </w:rPr>
        <w:t xml:space="preserve">, </w:t>
      </w:r>
      <w:r>
        <w:rPr>
          <w:rtl w:val="true"/>
        </w:rPr>
        <w:t>מאוד לחוץ</w:t>
      </w:r>
      <w:r>
        <w:rPr>
          <w:rtl w:val="true"/>
        </w:rPr>
        <w:t xml:space="preserve">", </w:t>
      </w:r>
      <w:r>
        <w:rPr>
          <w:rtl w:val="true"/>
        </w:rPr>
        <w:t>כפי שעולה מעדותו של האב</w:t>
      </w:r>
      <w:r>
        <w:rPr>
          <w:rtl w:val="true"/>
        </w:rPr>
        <w:t xml:space="preserve">, </w:t>
      </w:r>
      <w:r>
        <w:rPr>
          <w:rtl w:val="true"/>
        </w:rPr>
        <w:t xml:space="preserve">אשר הוסיף </w:t>
      </w:r>
      <w:r>
        <w:rPr>
          <w:rtl w:val="true"/>
        </w:rPr>
        <w:t>"</w:t>
      </w:r>
      <w:r>
        <w:rPr>
          <w:rtl w:val="true"/>
        </w:rPr>
        <w:t>בחיים לא ראיתי את הילד במצב הזה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מיום </w:t>
      </w:r>
      <w:r>
        <w:rPr/>
        <w:t>14.2.2016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360" w:start="720" w:end="0"/>
        <w:jc w:val="both"/>
        <w:textAlignment w:val="auto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להוספת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איני מוצא כל צידוק לקבל את בקשתו של המערער להוספת ראיה חדשה בערעור </w:t>
      </w:r>
      <w:r>
        <w:rPr>
          <w:rtl w:val="true"/>
        </w:rPr>
        <w:t>(</w:t>
      </w:r>
      <w:r>
        <w:rPr>
          <w:rtl w:val="true"/>
        </w:rPr>
        <w:t>פלט שיחות הטלפון המשרדי בבית הדפוס</w:t>
      </w:r>
      <w:r>
        <w:rPr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צודקת המשיבה בטענתה כי לא הייתה כל מניעה להציג ראיה זו בפני בית משפט קמא בשלב ההוכחות</w:t>
      </w:r>
      <w:r>
        <w:rPr>
          <w:rtl w:val="true"/>
        </w:rPr>
        <w:t xml:space="preserve">, </w:t>
      </w:r>
      <w:r>
        <w:rPr>
          <w:rtl w:val="true"/>
        </w:rPr>
        <w:t xml:space="preserve">וכי פלט השיחות בטלפון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המשרדי</w:t>
      </w:r>
      <w:r>
        <w:rPr>
          <w:rtl w:val="true"/>
        </w:rPr>
        <w:t xml:space="preserve"> אינו מצביע על זהות המשתמש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אף אם אניח כי הראיה החדשה תוכיח את העובדה</w:t>
      </w:r>
      <w:r>
        <w:rPr>
          <w:rtl w:val="true"/>
        </w:rPr>
        <w:t xml:space="preserve">, </w:t>
      </w:r>
      <w:r>
        <w:rPr>
          <w:rtl w:val="true"/>
        </w:rPr>
        <w:t>כגרסת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ascii="Century" w:hAnsi="Century" w:cs="Century"/>
          <w:sz w:val="22"/>
          <w:sz w:val="22"/>
          <w:rtl w:val="true"/>
        </w:rPr>
        <w:t xml:space="preserve">המתלונן התקשר </w:t>
      </w:r>
      <w:r>
        <w:rPr>
          <w:rtl w:val="true"/>
        </w:rPr>
        <w:t>לחנויות מחשבים מספר שעות לאחר קרות האירוע בבית הדפוס</w:t>
      </w:r>
      <w:r>
        <w:rPr>
          <w:rtl w:val="true"/>
        </w:rPr>
        <w:t xml:space="preserve">, </w:t>
      </w:r>
      <w:r>
        <w:rPr>
          <w:rtl w:val="true"/>
        </w:rPr>
        <w:t>איני סבור כי יש בכך כדי לפגוע במסקנות לגבי הלך נפשו לאחר האירוע ובעת חשיפת המעשים</w:t>
      </w:r>
      <w:r>
        <w:rPr>
          <w:rtl w:val="true"/>
        </w:rPr>
        <w:t xml:space="preserve">, </w:t>
      </w:r>
      <w:r>
        <w:rPr>
          <w:rtl w:val="true"/>
        </w:rPr>
        <w:t>כפי שפורט לעיל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360" w:start="720" w:end="0"/>
        <w:jc w:val="both"/>
        <w:textAlignment w:val="auto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מפלילה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להתנהגותו של המערער במפגש עם הורי המתלונן</w:t>
      </w:r>
      <w:r>
        <w:rPr>
          <w:rtl w:val="true"/>
        </w:rPr>
        <w:t xml:space="preserve">, </w:t>
      </w:r>
      <w:r>
        <w:rPr>
          <w:rtl w:val="true"/>
        </w:rPr>
        <w:t>עליה עמד בית משפט קמא בהכרעת הדין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התנהלות שאינה מתיישבת עם התנהלותו של אדם שהוא חף מפשע הינה התנהגות מפלילה אשר עשויה להוות חיזוק</w:t>
      </w:r>
      <w:r>
        <w:rPr>
          <w:rtl w:val="true"/>
        </w:rPr>
        <w:t xml:space="preserve">, </w:t>
      </w:r>
      <w:r>
        <w:rPr>
          <w:rtl w:val="true"/>
        </w:rPr>
        <w:t xml:space="preserve">ובנסיבות מסוימות אף סיוע לראיות התביעה </w:t>
      </w:r>
      <w:r>
        <w:rPr>
          <w:rtl w:val="true"/>
        </w:rPr>
        <w:t>(</w:t>
      </w:r>
      <w:hyperlink r:id="rId2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8680/11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5.6.2013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שאלתיאל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8.7.2013</w:t>
      </w:r>
      <w:r>
        <w:rPr>
          <w:rtl w:val="true"/>
        </w:rPr>
        <w:t xml:space="preserve">); 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1119/11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סרחאן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alibri" w:ascii="Calibri" w:hAnsi="Calibri"/>
          <w:color w:val="000000"/>
          <w:sz w:val="28"/>
          <w:rtl w:val="true"/>
        </w:rPr>
        <w:t>(</w:t>
      </w:r>
      <w:r>
        <w:rPr>
          <w:rFonts w:cs="Calibri" w:ascii="Calibri" w:hAnsi="Calibri"/>
          <w:color w:val="000000"/>
          <w:sz w:val="28"/>
        </w:rPr>
        <w:t>5.5.2015</w:t>
      </w:r>
      <w:r>
        <w:rPr>
          <w:rFonts w:cs="Calibri" w:ascii="Calibri" w:hAnsi="Calibri"/>
          <w:color w:val="000000"/>
          <w:sz w:val="28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ואולם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אינני סבור כי יש לתת בענייננו משקל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Fonts w:ascii="Century" w:hAnsi="Century" w:cs="Century"/>
          <w:sz w:val="22"/>
          <w:sz w:val="22"/>
          <w:rtl w:val="true"/>
        </w:rPr>
        <w:t xml:space="preserve"> להתנהגותו </w:t>
      </w:r>
      <w:r>
        <w:rPr>
          <w:rtl w:val="true"/>
        </w:rPr>
        <w:t>של המערער במפגש</w:t>
      </w:r>
      <w:r>
        <w:rPr>
          <w:rtl w:val="true"/>
        </w:rPr>
        <w:t xml:space="preserve">, </w:t>
      </w:r>
      <w:r>
        <w:rPr>
          <w:rtl w:val="true"/>
        </w:rPr>
        <w:t xml:space="preserve">כאשר בחר שלא להתעמת עם הוריו של המתלונן ולא </w:t>
      </w:r>
      <w:r>
        <w:rPr>
          <w:rtl w:val="true"/>
        </w:rPr>
        <w:t>"</w:t>
      </w:r>
      <w:r>
        <w:rPr>
          <w:rtl w:val="true"/>
        </w:rPr>
        <w:t>נלחם על חפותו</w:t>
      </w:r>
      <w:r>
        <w:rPr>
          <w:rtl w:val="true"/>
        </w:rPr>
        <w:t xml:space="preserve">" </w:t>
      </w:r>
      <w:r>
        <w:rPr>
          <w:rtl w:val="true"/>
        </w:rPr>
        <w:t>שעה שהוטחו בפניו ההאשמות על המעשים שייחס לו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וספק בעיני אם יש לראות בכך משום </w:t>
      </w:r>
      <w:r>
        <w:rPr>
          <w:rtl w:val="true"/>
        </w:rPr>
        <w:t>"</w:t>
      </w:r>
      <w:r>
        <w:rPr>
          <w:rtl w:val="true"/>
        </w:rPr>
        <w:t>חיזוק משמעותי ואף סיוע</w:t>
      </w:r>
      <w:r>
        <w:rPr>
          <w:rtl w:val="true"/>
        </w:rPr>
        <w:t xml:space="preserve">" </w:t>
      </w:r>
      <w:r>
        <w:rPr>
          <w:rtl w:val="true"/>
        </w:rPr>
        <w:t xml:space="preserve">כפי שנקבע </w:t>
      </w:r>
      <w:r>
        <w:rPr>
          <w:rtl w:val="true"/>
        </w:rPr>
        <w:t>על ידי</w:t>
      </w:r>
      <w:r>
        <w:rPr>
          <w:rtl w:val="true"/>
        </w:rPr>
        <w:t xml:space="preserve"> </w:t>
      </w:r>
      <w:r>
        <w:rPr>
          <w:rtl w:val="true"/>
        </w:rPr>
        <w:t>בית משפט קמא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ניתן היה לצפות להכחשה נמרצת וחד משמעית מצד המערער להאשמות נגדו</w:t>
      </w:r>
      <w:r>
        <w:rPr>
          <w:rtl w:val="true"/>
        </w:rPr>
        <w:t xml:space="preserve">, </w:t>
      </w:r>
      <w:r>
        <w:rPr>
          <w:rtl w:val="true"/>
        </w:rPr>
        <w:t>ובחירתו בשתיקה רועמת מעלה תמיהה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 ניתן להתעלם מהעובדה שבאותה עת היה כבר ברור לכל המעורבים כי המערער מכחיש את ההאשמות נגדו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סבורני כי הסבריו של המערער בעדותו</w:t>
      </w:r>
      <w:r>
        <w:rPr>
          <w:rtl w:val="true"/>
        </w:rPr>
        <w:t xml:space="preserve">, </w:t>
      </w:r>
      <w:r>
        <w:rPr>
          <w:rtl w:val="true"/>
        </w:rPr>
        <w:t>כי בחר להתנהג כפי שהתנהג בפגישה האמורה משום שלא חש טעם להסביר כי הדבר לא היה ולא נברא</w:t>
      </w:r>
      <w:r>
        <w:rPr>
          <w:rtl w:val="true"/>
        </w:rPr>
        <w:t xml:space="preserve">, </w:t>
      </w:r>
      <w:r>
        <w:rPr>
          <w:rtl w:val="true"/>
        </w:rPr>
        <w:t>מפחיתים ממשקלה הראייתי המפליל של התנהגות המערער במפגש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360" w:start="720" w:end="0"/>
        <w:jc w:val="both"/>
        <w:textAlignment w:val="auto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אמינות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eastAsia="Century" w:cs="Century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היה עקבי בגרסתו </w:t>
      </w:r>
      <w:r>
        <w:rPr>
          <w:rtl w:val="true"/>
        </w:rPr>
        <w:t>"</w:t>
      </w:r>
      <w:r>
        <w:rPr>
          <w:rtl w:val="true"/>
        </w:rPr>
        <w:t>לכל אורך הדרך</w:t>
      </w:r>
      <w:r>
        <w:rPr>
          <w:rtl w:val="true"/>
        </w:rPr>
        <w:t xml:space="preserve">", </w:t>
      </w:r>
      <w:r>
        <w:rPr>
          <w:rtl w:val="true"/>
        </w:rPr>
        <w:t>כפי שציין שופט המיעוט</w:t>
      </w:r>
      <w:r>
        <w:rPr>
          <w:rtl w:val="true"/>
        </w:rPr>
        <w:t xml:space="preserve">, </w:t>
      </w:r>
      <w:r>
        <w:rPr>
          <w:rtl w:val="true"/>
        </w:rPr>
        <w:t>כאשר חזר והכחיש את המגע באיבר מינו של המתלונן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אינני סבור כי בכך יש כדי להוביל למסקנה בדבר מהימנות גרסתו של המערער</w:t>
      </w:r>
      <w:r>
        <w:rPr>
          <w:rtl w:val="true"/>
        </w:rPr>
        <w:t xml:space="preserve">. </w:t>
      </w:r>
      <w:r>
        <w:rPr>
          <w:rtl w:val="true"/>
        </w:rPr>
        <w:t>לענין זה אציין שני אלה בהתנהלותו של המערער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העלאת הגרסה הכבושה </w:t>
      </w:r>
      <w:r>
        <w:rPr>
          <w:rtl w:val="true"/>
        </w:rPr>
        <w:t>על ידי</w:t>
      </w:r>
      <w:r>
        <w:rPr>
          <w:rtl w:val="true"/>
        </w:rPr>
        <w:t xml:space="preserve"> המערער לראשונה בבית המשפט בדבר מניע כביכול מצדו של המתלונן להעליל עליו</w:t>
      </w:r>
      <w:r>
        <w:rPr>
          <w:rtl w:val="true"/>
        </w:rPr>
        <w:t xml:space="preserve">, </w:t>
      </w:r>
      <w:r>
        <w:rPr>
          <w:rtl w:val="true"/>
        </w:rPr>
        <w:t xml:space="preserve">גרסה אשר בצדק נדחתה </w:t>
      </w:r>
      <w:r>
        <w:rPr>
          <w:rtl w:val="true"/>
        </w:rPr>
        <w:t>על ידי</w:t>
      </w:r>
      <w:r>
        <w:rPr>
          <w:rtl w:val="true"/>
        </w:rPr>
        <w:t xml:space="preserve"> בית המשפט כגרסה בלתי הגיונית</w:t>
      </w:r>
      <w:r>
        <w:rPr>
          <w:rtl w:val="true"/>
        </w:rPr>
        <w:t xml:space="preserve">. </w:t>
      </w:r>
      <w:r>
        <w:rPr>
          <w:rtl w:val="true"/>
        </w:rPr>
        <w:t xml:space="preserve">ודוק </w:t>
      </w:r>
      <w:r>
        <w:rPr>
          <w:rtl w:val="true"/>
        </w:rPr>
        <w:t xml:space="preserve">- </w:t>
      </w:r>
      <w:r>
        <w:rPr>
          <w:rtl w:val="true"/>
        </w:rPr>
        <w:t xml:space="preserve">לא עצם כישלונו של המערער להציג מניע מצד המתלונן הוא שפוגע במהימנות גרסתו או מחזק את מהימנות הגרסה המפלילה </w:t>
      </w:r>
      <w:r>
        <w:rPr>
          <w:rtl w:val="true"/>
        </w:rPr>
        <w:t>(</w:t>
      </w:r>
      <w:r>
        <w:rPr>
          <w:rtl w:val="true"/>
        </w:rPr>
        <w:t>כפי שניתן להבין מעמדת שופט המיעוט</w:t>
      </w:r>
      <w:r>
        <w:rPr>
          <w:rtl w:val="true"/>
        </w:rPr>
        <w:t xml:space="preserve">), </w:t>
      </w:r>
      <w:r>
        <w:rPr>
          <w:rtl w:val="true"/>
        </w:rPr>
        <w:t xml:space="preserve">כי אם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שקריות</w:t>
      </w:r>
      <w:r>
        <w:rPr>
          <w:rtl w:val="true"/>
        </w:rPr>
        <w:t xml:space="preserve"> הגרסה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המערער טען כי המתלונן מעליל עליו בשל מחלוקת על תשלום השכר עבור עבודתו</w:t>
      </w:r>
      <w:r>
        <w:rPr>
          <w:rtl w:val="true"/>
        </w:rPr>
        <w:t xml:space="preserve">. </w:t>
      </w:r>
      <w:r>
        <w:rPr>
          <w:rtl w:val="true"/>
        </w:rPr>
        <w:t>אלא שהמתלונן מסר בעדותו בבית המשפט כי לא רק שלא עמדה ביסוד תלונתו מחלוקת בעניין שכר</w:t>
      </w:r>
      <w:r>
        <w:rPr>
          <w:rtl w:val="true"/>
        </w:rPr>
        <w:t xml:space="preserve">, </w:t>
      </w:r>
      <w:r>
        <w:rPr>
          <w:rtl w:val="true"/>
        </w:rPr>
        <w:t>אלא שלא הייתה ביניהם כל מחלוקת על שכר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בחקירתו הנגדית</w:t>
      </w:r>
      <w:r>
        <w:rPr>
          <w:rtl w:val="true"/>
        </w:rPr>
        <w:t xml:space="preserve">, </w:t>
      </w:r>
      <w:r>
        <w:rPr>
          <w:rtl w:val="true"/>
        </w:rPr>
        <w:t xml:space="preserve">כאשר הוטחה במתלונן טענת המערער כי </w:t>
      </w:r>
      <w:r>
        <w:rPr>
          <w:rtl w:val="true"/>
        </w:rPr>
        <w:t>"</w:t>
      </w:r>
      <w:r>
        <w:rPr>
          <w:spacing w:val="6"/>
          <w:rtl w:val="true"/>
        </w:rPr>
        <w:t>רבת אתו על העובדה שרצית לקבל את הכסף לפני והוא לא הסכים</w:t>
      </w:r>
      <w:r>
        <w:rPr>
          <w:rtl w:val="true"/>
        </w:rPr>
        <w:t xml:space="preserve">", </w:t>
      </w:r>
      <w:r>
        <w:rPr>
          <w:rtl w:val="true"/>
        </w:rPr>
        <w:t>השיב המתלונן</w:t>
      </w:r>
      <w:r>
        <w:rPr>
          <w:rtl w:val="true"/>
        </w:rPr>
        <w:t>: "</w:t>
      </w:r>
      <w:r>
        <w:rPr>
          <w:spacing w:val="6"/>
          <w:rtl w:val="true"/>
        </w:rPr>
        <w:t>לא רבתי אתו אבל שאלתי אותו איך אני מקבל את המשכורת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בהתחלה חשבתי שאני מקבל את זה שבועי או לא יודע מתי שאני אמור לקבל את זה אמרתי לו תגיד רזי איך זה הולך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אני מקבל את המשכורת מתי שאני רוצה ומתי שאני מסיים לעבוד או איך זה הולך</w:t>
      </w:r>
      <w:r>
        <w:rPr>
          <w:spacing w:val="6"/>
          <w:rtl w:val="true"/>
        </w:rPr>
        <w:t xml:space="preserve">? </w:t>
      </w:r>
      <w:r>
        <w:rPr>
          <w:spacing w:val="6"/>
          <w:rtl w:val="true"/>
        </w:rPr>
        <w:t>אז הוא אמר לא אתה מקבל את המשכורת ב</w:t>
      </w:r>
      <w:r>
        <w:rPr>
          <w:spacing w:val="6"/>
          <w:rtl w:val="true"/>
        </w:rPr>
        <w:t>-</w:t>
      </w:r>
      <w:r>
        <w:rPr>
          <w:spacing w:val="6"/>
        </w:rPr>
        <w:t>10</w:t>
      </w:r>
      <w:r>
        <w:rPr>
          <w:spacing w:val="6"/>
          <w:rtl w:val="true"/>
        </w:rPr>
        <w:t xml:space="preserve"> </w:t>
      </w:r>
      <w:r>
        <w:rPr>
          <w:spacing w:val="6"/>
          <w:rtl w:val="true"/>
        </w:rPr>
        <w:t>כמו כולם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אז אמרתי בסדר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35-34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כנזכר לעיל</w:t>
      </w:r>
      <w:r>
        <w:rPr>
          <w:rtl w:val="true"/>
        </w:rPr>
        <w:t xml:space="preserve">, </w:t>
      </w:r>
      <w:r>
        <w:rPr>
          <w:rtl w:val="true"/>
        </w:rPr>
        <w:t>למערער לא היה הסבר מדוע כעס לטענתו המתלונן בענין שכרו כאשר אין חולק שהספיק לעבוד יום אחד בלבד</w:t>
      </w:r>
      <w:r>
        <w:rPr>
          <w:rtl w:val="true"/>
        </w:rPr>
        <w:t xml:space="preserve">, </w:t>
      </w:r>
      <w:r>
        <w:rPr>
          <w:rtl w:val="true"/>
        </w:rPr>
        <w:t xml:space="preserve">בסיומו קיבל מהמערער </w:t>
      </w:r>
      <w:r>
        <w:rPr/>
        <w:t>300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 xml:space="preserve">הניסיון של המערער לייחס מניע כוזב לתלונת המתלונן הוא בגדר </w:t>
      </w:r>
      <w:r>
        <w:rPr>
          <w:rFonts w:ascii="Century" w:hAnsi="Century" w:cs="Miriam"/>
          <w:sz w:val="20"/>
          <w:sz w:val="20"/>
          <w:szCs w:val="24"/>
          <w:rtl w:val="true"/>
        </w:rPr>
        <w:t>שקר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וככזה הוא פוגע </w:t>
      </w:r>
      <w:r>
        <w:rPr>
          <w:rtl w:val="true"/>
        </w:rPr>
        <w:t>במהימנות גרסתו</w:t>
      </w:r>
      <w:r>
        <w:rPr>
          <w:rtl w:val="true"/>
        </w:rPr>
        <w:t xml:space="preserve">, </w:t>
      </w:r>
      <w:r>
        <w:rPr>
          <w:rtl w:val="true"/>
        </w:rPr>
        <w:t>ומהווה חיזוק לראיות התביעה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האקראית</w:t>
      </w:r>
      <w:r>
        <w:rPr>
          <w:rtl w:val="true"/>
        </w:rPr>
        <w:t xml:space="preserve">.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מתוארים</w:t>
      </w:r>
      <w:r>
        <w:rPr>
          <w:rtl w:val="true"/>
        </w:rPr>
        <w:t xml:space="preserve">, </w:t>
      </w:r>
      <w:r>
        <w:rPr>
          <w:rtl w:val="true"/>
        </w:rPr>
        <w:t>ובלשונו</w:t>
      </w:r>
      <w:r>
        <w:rPr>
          <w:rtl w:val="true"/>
        </w:rPr>
        <w:t>: "</w:t>
      </w:r>
      <w:r>
        <w:rPr>
          <w:spacing w:val="6"/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spacing w:val="6"/>
          <w:rtl w:val="true"/>
        </w:rPr>
        <w:t>הוא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אמר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שהוא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מאוד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מצטער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שקורה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ושהוא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יודע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שהדברים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כפי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שמתוארים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והוא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מצטער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שהמשפחה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נהרסה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בעקבות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>: "</w:t>
      </w:r>
      <w:r>
        <w:rPr>
          <w:spacing w:val="6"/>
          <w:rtl w:val="true"/>
        </w:rPr>
        <w:t>הוא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יוצא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אני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לוחץ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היד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והוא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לוחץ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היד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ואמר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שהוא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מאוד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כואב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שקורה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הוא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מאוד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מצטער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זה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הוא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יודע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זה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במפורש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היו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המילים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שלו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שהוא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יודע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שהוא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דובר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אמת</w:t>
      </w:r>
      <w:r>
        <w:rPr>
          <w:spacing w:val="6"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spacing w:val="6"/>
          <w:rtl w:val="true"/>
        </w:rPr>
        <w:t>ש</w:t>
      </w:r>
      <w:r>
        <w:rPr>
          <w:spacing w:val="6"/>
          <w:rtl w:val="true"/>
        </w:rPr>
        <w:t>[</w:t>
      </w:r>
      <w:r>
        <w:rPr>
          <w:spacing w:val="6"/>
          <w:rtl w:val="true"/>
        </w:rPr>
        <w:t>המתלונן</w:t>
      </w:r>
      <w:r>
        <w:rPr>
          <w:spacing w:val="6"/>
          <w:rtl w:val="true"/>
        </w:rPr>
        <w:t xml:space="preserve">] </w:t>
      </w:r>
      <w:r>
        <w:rPr>
          <w:spacing w:val="6"/>
          <w:rtl w:val="true"/>
        </w:rPr>
        <w:t>לא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דובר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אמת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ומאוד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כואב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שקורה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פה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שעושים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לי</w:t>
      </w:r>
      <w:r>
        <w:rPr>
          <w:spacing w:val="6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96-95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30.6.2016</w:t>
      </w:r>
      <w:r>
        <w:rPr>
          <w:rtl w:val="true"/>
        </w:rPr>
        <w:t xml:space="preserve">).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tl w:val="true"/>
        </w:rPr>
        <w:t>, "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14.2.2016</w:t>
      </w:r>
      <w:r>
        <w:rPr>
          <w:rtl w:val="true"/>
        </w:rPr>
        <w:t xml:space="preserve">). </w:t>
      </w:r>
      <w:r>
        <w:rPr>
          <w:rtl w:val="true"/>
        </w:rPr>
        <w:t>עיוות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במהימנותו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FrankRuehl" w:hAnsi="FrankRuehl" w:cs="FrankRuehl"/>
          <w:b/>
          <w:bCs/>
          <w:color w:val="000000"/>
        </w:rPr>
      </w:pPr>
      <w:r>
        <w:rPr>
          <w:rtl w:val="true"/>
        </w:rPr>
        <w:t>משקל לא מבוטל ניתן על ידי שופט המיעוט לכך שהמערער לא ניסה להרחיק עצמו כליל מזירות האירועים או מהמעשים שיוחסו לו</w:t>
      </w:r>
      <w:r>
        <w:rPr>
          <w:rtl w:val="true"/>
        </w:rPr>
        <w:t xml:space="preserve">, </w:t>
      </w:r>
      <w:r>
        <w:rPr>
          <w:rtl w:val="true"/>
        </w:rPr>
        <w:t>ולא נמנע מלקשור עצמו לכל מגע שהוא</w:t>
      </w:r>
      <w:r>
        <w:rPr>
          <w:rtl w:val="true"/>
        </w:rPr>
        <w:t xml:space="preserve">, </w:t>
      </w:r>
      <w:r>
        <w:rPr>
          <w:rtl w:val="true"/>
        </w:rPr>
        <w:t>ולו תמים</w:t>
      </w:r>
      <w:r>
        <w:rPr>
          <w:rtl w:val="true"/>
        </w:rPr>
        <w:t xml:space="preserve">, </w:t>
      </w:r>
      <w:r>
        <w:rPr>
          <w:rtl w:val="true"/>
        </w:rPr>
        <w:t>עם המתלונן</w:t>
      </w:r>
      <w:r>
        <w:rPr>
          <w:rtl w:val="true"/>
        </w:rPr>
        <w:t xml:space="preserve">. </w:t>
      </w:r>
      <w:r>
        <w:rPr>
          <w:rtl w:val="true"/>
        </w:rPr>
        <w:t>בעניין זה אעיר כי אינני מוצא בהתנהלות זו של המערער דבר המעלה או מוריד ממידת האמון שיש ליתן בעדותו</w:t>
      </w:r>
      <w:r>
        <w:rPr>
          <w:rtl w:val="true"/>
        </w:rPr>
        <w:t xml:space="preserve">. </w:t>
      </w:r>
      <w:r>
        <w:rPr>
          <w:rtl w:val="true"/>
        </w:rPr>
        <w:t>מאז ומתמיד ייחסה הפסיקה משקל ליריעת המחלוקת בין גרסת התביעה וגרסת ההגנה</w:t>
      </w:r>
      <w:r>
        <w:rPr>
          <w:rtl w:val="true"/>
        </w:rPr>
        <w:t xml:space="preserve">, </w:t>
      </w:r>
      <w:r>
        <w:rPr>
          <w:rtl w:val="true"/>
        </w:rPr>
        <w:t xml:space="preserve">כאשר ידוע כי דווקא צמצום היקף יריעת המחלוקת בין הצדדים </w:t>
      </w:r>
      <w:r>
        <w:rPr>
          <w:rtl w:val="true"/>
        </w:rPr>
        <w:t>(</w:t>
      </w:r>
      <w:r>
        <w:rPr>
          <w:rtl w:val="true"/>
        </w:rPr>
        <w:t>כפי שעשה המערער בענייננו</w:t>
      </w:r>
      <w:r>
        <w:rPr>
          <w:rtl w:val="true"/>
        </w:rPr>
        <w:t xml:space="preserve">), </w:t>
      </w:r>
      <w:r>
        <w:rPr>
          <w:rtl w:val="true"/>
        </w:rPr>
        <w:t>עשוי להטיב עם הנאשם ולהקשות על סתירתה של גרסת ההגנה</w:t>
      </w:r>
      <w:r>
        <w:rPr>
          <w:rtl w:val="true"/>
        </w:rPr>
        <w:t xml:space="preserve">. </w:t>
      </w:r>
      <w:r>
        <w:rPr>
          <w:rtl w:val="true"/>
        </w:rPr>
        <w:t xml:space="preserve">כן </w:t>
      </w:r>
      <w:r>
        <w:rPr>
          <w:rFonts w:ascii="Century" w:hAnsi="Century" w:cs="Century"/>
          <w:sz w:val="22"/>
          <w:sz w:val="22"/>
          <w:rtl w:val="true"/>
        </w:rPr>
        <w:t>ידוע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ככל שהכחשתו של הנאשם את המעשים היא כללית וטוטאלית יותר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גם אופייה של התוספת הראייתית הנדרשת לראיות התביעה יכול להיות מוגבל יותר </w:t>
      </w:r>
      <w:r>
        <w:rPr>
          <w:rFonts w:cs="Century" w:ascii="Century" w:hAnsi="Century"/>
          <w:sz w:val="22"/>
          <w:rtl w:val="true"/>
        </w:rPr>
        <w:t>(</w:t>
      </w:r>
      <w:hyperlink r:id="rId3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2686/15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בנטו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5.3.2017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3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9804/08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14.04.2011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3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4583/13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21.9.2015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כך למשל</w:t>
      </w:r>
      <w:r>
        <w:rPr>
          <w:rFonts w:cs="Century" w:ascii="Century" w:hAnsi="Century"/>
          <w:sz w:val="22"/>
          <w:rtl w:val="true"/>
        </w:rPr>
        <w:t>, "</w:t>
      </w:r>
      <w:r>
        <w:rPr>
          <w:rFonts w:ascii="Century" w:hAnsi="Century" w:cs="Century"/>
          <w:sz w:val="22"/>
          <w:sz w:val="22"/>
          <w:rtl w:val="true"/>
        </w:rPr>
        <w:t>במקרה בו הנאשם המואשם בעבירת אינוס טוען כי לא היה כלל אירוע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כל עובדה התומכת</w:t>
      </w:r>
      <w:r>
        <w:rPr>
          <w:rFonts w:ascii="FrankRuehl" w:hAnsi="FrankRuehl" w:cs="FrankRuehl"/>
          <w:rtl w:val="true"/>
        </w:rPr>
        <w:t xml:space="preserve"> בכך שהתקיים אירוע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בינו לבינה היוותה סיוע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>לעומת זאת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כאשר נאשם טען כי היו יחסי מין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אך הם היו בהסכמה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הסיוע צריך היה להימצא לגבי שאלת ההסכמה או העדרה</w:t>
      </w:r>
      <w:r>
        <w:rPr>
          <w:rFonts w:cs="Century" w:ascii="Century" w:hAnsi="Century"/>
          <w:sz w:val="22"/>
          <w:rtl w:val="true"/>
        </w:rPr>
        <w:t>" (</w:t>
      </w:r>
      <w:hyperlink r:id="rId3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3372/11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142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10.11.2011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ind w:end="0"/>
        <w:jc w:val="both"/>
        <w:rPr>
          <w:rFonts w:ascii="FrankRuehl" w:hAnsi="FrankRuehl" w:cs="FrankRuehl"/>
          <w:b/>
          <w:bCs/>
          <w:color w:val="000000"/>
        </w:rPr>
      </w:pPr>
      <w:r>
        <w:rPr>
          <w:rFonts w:cs="FrankRuehl" w:ascii="FrankRuehl" w:hAnsi="FrankRuehl"/>
          <w:b/>
          <w:bCs/>
          <w:color w:val="000000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אף אין בידי להסכים עם טענת המערער</w:t>
      </w:r>
      <w:r>
        <w:rPr>
          <w:rtl w:val="true"/>
        </w:rPr>
        <w:t xml:space="preserve">, </w:t>
      </w:r>
      <w:r>
        <w:rPr>
          <w:rtl w:val="true"/>
        </w:rPr>
        <w:t>כי גם אם תתקבל גרסת המתלונן במלואה</w:t>
      </w:r>
      <w:r>
        <w:rPr>
          <w:rtl w:val="true"/>
        </w:rPr>
        <w:t xml:space="preserve">, </w:t>
      </w:r>
      <w:r>
        <w:rPr>
          <w:rtl w:val="true"/>
        </w:rPr>
        <w:t xml:space="preserve">אין בה כדי לבסס הרשעה לגבי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 xml:space="preserve">באשר המעשים שביצע המערער במתלונן בסלון אינם נכנסים להגדרת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מגונה</w:t>
      </w:r>
      <w:r>
        <w:rPr>
          <w:rtl w:val="true"/>
        </w:rPr>
        <w:t xml:space="preserve">".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המתלונן אמנם שב והדגיש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תחילה</w:t>
      </w:r>
      <w:r>
        <w:rPr>
          <w:rtl w:val="true"/>
        </w:rPr>
        <w:t xml:space="preserve"> סבר שהנגיעה באיבר מינו הייתה אקראית והוא לא ראה בה שום דבר בעל אופי מיני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שבדיעבד</w:t>
      </w:r>
      <w:r>
        <w:rPr>
          <w:rtl w:val="true"/>
        </w:rPr>
        <w:t xml:space="preserve"> הבין המתלונן כי מדובר במגע מיני מכוון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10-9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מיום </w:t>
      </w:r>
      <w:r>
        <w:rPr/>
        <w:t>14.2.2016</w:t>
      </w:r>
      <w:r>
        <w:rPr>
          <w:rtl w:val="true"/>
        </w:rPr>
        <w:t xml:space="preserve">).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 xml:space="preserve">העובדה שהמתלונן סבר לתומו במהלך האירוע בסלון כי מדובר במגע אקראי אינה מעקרת את מהות המעשה ואת המטרה של עושהו להביא </w:t>
      </w:r>
      <w:r>
        <w:rPr>
          <w:rtl w:val="true"/>
        </w:rPr>
        <w:t>"</w:t>
      </w:r>
      <w:r>
        <w:rPr>
          <w:rtl w:val="true"/>
        </w:rPr>
        <w:t>לגירוי</w:t>
      </w:r>
      <w:r>
        <w:rPr>
          <w:rtl w:val="true"/>
        </w:rPr>
        <w:t xml:space="preserve">, </w:t>
      </w:r>
      <w:r>
        <w:rPr>
          <w:rtl w:val="true"/>
        </w:rPr>
        <w:t>סיפוק או ביזוי מיני</w:t>
      </w:r>
      <w:r>
        <w:rPr>
          <w:rtl w:val="true"/>
        </w:rPr>
        <w:t xml:space="preserve">". </w:t>
      </w:r>
      <w:r>
        <w:rPr>
          <w:rtl w:val="true"/>
        </w:rPr>
        <w:t>בנסיבות ענייננו</w:t>
      </w:r>
      <w:r>
        <w:rPr>
          <w:rtl w:val="true"/>
        </w:rPr>
        <w:t xml:space="preserve">, </w:t>
      </w:r>
      <w:r>
        <w:rPr>
          <w:rtl w:val="true"/>
        </w:rPr>
        <w:t>ההצעות המיניות שהציע המערער למתלונן במהלך אותו אירוע בצירוף המעשים שביצע לאחר מכן בבית הדפוס</w:t>
      </w:r>
      <w:r>
        <w:rPr>
          <w:rtl w:val="true"/>
        </w:rPr>
        <w:t xml:space="preserve">, </w:t>
      </w:r>
      <w:r>
        <w:rPr>
          <w:rtl w:val="true"/>
        </w:rPr>
        <w:t>אינם מותירים ספק בכך שהמגע באיבר מינו של המתלונן באירוע הראשון לא היה תמים ואקראי</w:t>
      </w:r>
      <w:r>
        <w:rPr>
          <w:rtl w:val="true"/>
        </w:rPr>
        <w:t xml:space="preserve">. </w:t>
      </w:r>
      <w:r>
        <w:rPr>
          <w:rtl w:val="true"/>
        </w:rPr>
        <w:t>כך גם באשר לאירוע בבית הדפוס</w:t>
      </w:r>
      <w:r>
        <w:rPr>
          <w:rtl w:val="true"/>
        </w:rPr>
        <w:t xml:space="preserve">, </w:t>
      </w:r>
      <w:r>
        <w:rPr>
          <w:rtl w:val="true"/>
        </w:rPr>
        <w:t>לגביו אין מחלוקת כי הוא ממלא אחר יסודות העבירה של מעשה מגונה בבן משפחה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צדק בית משפט קמא בקבעו כי הוכח מעבר לספק סביר כי המערער ביצע את העבירה של מעשה מגונה בקטין בן משפחה</w:t>
      </w:r>
      <w:r>
        <w:rPr>
          <w:rtl w:val="true"/>
        </w:rPr>
        <w:t xml:space="preserve">, </w:t>
      </w:r>
      <w:r>
        <w:rPr>
          <w:rtl w:val="true"/>
        </w:rPr>
        <w:t>לגבי שני האירועים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5"/>
        </w:numPr>
        <w:overflowPunct w:val="true"/>
        <w:autoSpaceDE w:val="true"/>
        <w:ind w:hanging="360" w:start="720" w:end="0"/>
        <w:jc w:val="both"/>
        <w:textAlignment w:val="auto"/>
        <w:rPr>
          <w:rFonts w:cs="Miriam"/>
          <w:spacing w:val="0"/>
          <w:sz w:val="26"/>
          <w:szCs w:val="24"/>
        </w:rPr>
      </w:pPr>
      <w:r>
        <w:rPr>
          <w:rFonts w:cs="Miriam"/>
          <w:spacing w:val="0"/>
          <w:sz w:val="26"/>
          <w:sz w:val="26"/>
          <w:szCs w:val="24"/>
          <w:rtl w:val="true"/>
        </w:rPr>
        <w:t>הרשעה</w:t>
      </w:r>
      <w:r>
        <w:rPr>
          <w:rFonts w:eastAsia="Arial TUR;Arial" w:cs="Arial TUR;Arial"/>
          <w:spacing w:val="0"/>
          <w:sz w:val="26"/>
          <w:sz w:val="26"/>
          <w:szCs w:val="24"/>
          <w:rtl w:val="true"/>
        </w:rPr>
        <w:t xml:space="preserve"> </w:t>
      </w:r>
      <w:r>
        <w:rPr>
          <w:rFonts w:cs="Miriam"/>
          <w:spacing w:val="0"/>
          <w:sz w:val="26"/>
          <w:sz w:val="26"/>
          <w:szCs w:val="24"/>
          <w:rtl w:val="true"/>
        </w:rPr>
        <w:t>בדעת</w:t>
      </w:r>
      <w:r>
        <w:rPr>
          <w:rFonts w:eastAsia="Arial TUR;Arial" w:cs="Arial TUR;Arial"/>
          <w:spacing w:val="0"/>
          <w:sz w:val="26"/>
          <w:sz w:val="26"/>
          <w:szCs w:val="24"/>
          <w:rtl w:val="true"/>
        </w:rPr>
        <w:t xml:space="preserve"> </w:t>
      </w:r>
      <w:r>
        <w:rPr>
          <w:rFonts w:cs="Miriam"/>
          <w:spacing w:val="0"/>
          <w:sz w:val="26"/>
          <w:sz w:val="26"/>
          <w:szCs w:val="24"/>
          <w:rtl w:val="true"/>
        </w:rPr>
        <w:t>רוב</w:t>
      </w:r>
    </w:p>
    <w:p>
      <w:pPr>
        <w:pStyle w:val="Ruller41"/>
        <w:ind w:end="0"/>
        <w:jc w:val="both"/>
        <w:rPr>
          <w:rFonts w:cs="Miriam"/>
          <w:spacing w:val="0"/>
          <w:sz w:val="26"/>
          <w:szCs w:val="24"/>
        </w:rPr>
      </w:pPr>
      <w:r>
        <w:rPr>
          <w:rFonts w:cs="Miriam"/>
          <w:spacing w:val="0"/>
          <w:sz w:val="26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FrankRuehl" w:hAnsi="FrankRuehl" w:cs="FrankRuehl"/>
          <w:color w:val="000000"/>
        </w:rPr>
      </w:pPr>
      <w:r>
        <w:rPr>
          <w:rFonts w:ascii="Century" w:hAnsi="Century" w:cs="Century"/>
          <w:sz w:val="22"/>
          <w:sz w:val="22"/>
          <w:rtl w:val="true"/>
        </w:rPr>
        <w:t>ולבסוף באשר לטענות המערער לענין הרשעה בדעת רוב</w:t>
      </w:r>
      <w:r>
        <w:rPr>
          <w:rFonts w:cs="Century" w:ascii="Century" w:hAnsi="Century"/>
          <w:sz w:val="22"/>
          <w:rtl w:val="true"/>
        </w:rPr>
        <w:t xml:space="preserve">. 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 </w:t>
      </w:r>
      <w:r>
        <w:rPr>
          <w:rtl w:val="true"/>
        </w:rPr>
        <w:t xml:space="preserve">קובע באופן חד וברור כי </w:t>
      </w:r>
      <w:r>
        <w:rPr>
          <w:sz w:val="28"/>
          <w:rtl w:val="true"/>
        </w:rPr>
        <w:t>"</w:t>
      </w:r>
      <w:r>
        <w:rPr>
          <w:rStyle w:val="default"/>
          <w:sz w:val="28"/>
          <w:sz w:val="28"/>
          <w:rtl w:val="true"/>
        </w:rPr>
        <w:t>בית משפט הדן במותב ונחלקו דעות השופטים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תכריע דעת הרוב</w:t>
      </w:r>
      <w:r>
        <w:rPr>
          <w:rStyle w:val="default"/>
          <w:sz w:val="28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בית משפט זה כבר פסק בעבר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sz w:val="28"/>
          <w:sz w:val="28"/>
          <w:rtl w:val="true"/>
        </w:rPr>
        <w:t xml:space="preserve">הוראתו של </w:t>
      </w:r>
      <w:hyperlink r:id="rId3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סעיף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 </w:t>
        </w:r>
        <w:r>
          <w:rPr>
            <w:rStyle w:val="Hyperlink"/>
            <w:color w:val="0000FF"/>
            <w:sz w:val="28"/>
            <w:u w:val="single"/>
          </w:rPr>
          <w:t>80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sz w:val="28"/>
          <w:sz w:val="28"/>
          <w:rtl w:val="true"/>
        </w:rPr>
        <w:t xml:space="preserve"> מהווה </w:t>
      </w:r>
      <w:r>
        <w:rPr>
          <w:sz w:val="28"/>
          <w:rtl w:val="true"/>
        </w:rPr>
        <w:t>"</w:t>
      </w:r>
      <w:r>
        <w:rPr>
          <w:spacing w:val="6"/>
          <w:sz w:val="28"/>
          <w:sz w:val="28"/>
          <w:rtl w:val="true"/>
        </w:rPr>
        <w:t>אחד מאדניה של שיטת המשפט הנהוגה בישראל</w:t>
      </w:r>
      <w:r>
        <w:rPr>
          <w:spacing w:val="6"/>
          <w:sz w:val="28"/>
          <w:rtl w:val="true"/>
        </w:rPr>
        <w:t xml:space="preserve">, </w:t>
      </w:r>
      <w:r>
        <w:rPr>
          <w:spacing w:val="6"/>
          <w:sz w:val="28"/>
          <w:sz w:val="28"/>
          <w:rtl w:val="true"/>
        </w:rPr>
        <w:t>והיא מבטאת השקפה משפטית בדבר דרך ההכרעה הרצויה במותב בו נחלקו הדעות</w:t>
      </w:r>
      <w:r>
        <w:rPr>
          <w:sz w:val="28"/>
          <w:rtl w:val="true"/>
        </w:rPr>
        <w:t>",</w:t>
      </w:r>
      <w:r>
        <w:rPr>
          <w:rFonts w:cs="David;David"/>
          <w:sz w:val="22"/>
          <w:rtl w:val="true"/>
        </w:rPr>
        <w:t xml:space="preserve"> </w:t>
      </w:r>
      <w:r>
        <w:rPr>
          <w:rFonts w:cs="David;David"/>
          <w:sz w:val="22"/>
          <w:sz w:val="22"/>
          <w:rtl w:val="true"/>
        </w:rPr>
        <w:t>ו</w:t>
      </w:r>
      <w:r>
        <w:rPr>
          <w:rtl w:val="true"/>
        </w:rPr>
        <w:t>כי לוּ סבר המחוקק שההסדר החקיקתי הגלום בסעיף זה אינו תואם את רוחו של חוק יסוד כבוד האדם וחירותו</w:t>
      </w:r>
      <w:r>
        <w:rPr>
          <w:rtl w:val="true"/>
        </w:rPr>
        <w:t xml:space="preserve">, </w:t>
      </w:r>
      <w:r>
        <w:rPr>
          <w:rtl w:val="true"/>
        </w:rPr>
        <w:t>לפחות בתחום הפלילי</w:t>
      </w:r>
      <w:r>
        <w:rPr>
          <w:rtl w:val="true"/>
        </w:rPr>
        <w:t xml:space="preserve">, </w:t>
      </w:r>
      <w:r>
        <w:rPr>
          <w:rtl w:val="true"/>
        </w:rPr>
        <w:t>הרי שהיו לו מספר הזדמנויות לבטלו או לשנותו</w:t>
      </w:r>
      <w:r>
        <w:rPr>
          <w:rtl w:val="true"/>
        </w:rPr>
        <w:t xml:space="preserve">. </w:t>
      </w:r>
      <w:r>
        <w:rPr>
          <w:rtl w:val="true"/>
        </w:rPr>
        <w:t>שינוי כאמור לא נעשה</w:t>
      </w:r>
      <w:r>
        <w:rPr>
          <w:rtl w:val="true"/>
        </w:rPr>
        <w:t>, "</w:t>
      </w:r>
      <w:r>
        <w:rPr>
          <w:spacing w:val="6"/>
          <w:sz w:val="28"/>
          <w:sz w:val="28"/>
          <w:rtl w:val="true"/>
        </w:rPr>
        <w:t xml:space="preserve">ובכך בלבד יש כדי ללמד כי לפחות על פי השקפתו </w:t>
      </w:r>
      <w:r>
        <w:rPr>
          <w:spacing w:val="6"/>
          <w:sz w:val="28"/>
          <w:rtl w:val="true"/>
        </w:rPr>
        <w:t>[</w:t>
      </w:r>
      <w:r>
        <w:rPr>
          <w:spacing w:val="6"/>
          <w:sz w:val="28"/>
          <w:sz w:val="28"/>
          <w:rtl w:val="true"/>
        </w:rPr>
        <w:t>של המחוקק</w:t>
      </w:r>
      <w:r>
        <w:rPr>
          <w:spacing w:val="6"/>
          <w:sz w:val="28"/>
          <w:rtl w:val="true"/>
        </w:rPr>
        <w:t xml:space="preserve">], </w:t>
      </w:r>
      <w:r>
        <w:rPr>
          <w:spacing w:val="6"/>
          <w:sz w:val="28"/>
          <w:sz w:val="28"/>
          <w:rtl w:val="true"/>
        </w:rPr>
        <w:t>ההכרעה במותב על פי רוב דעות</w:t>
      </w:r>
      <w:r>
        <w:rPr>
          <w:spacing w:val="6"/>
          <w:sz w:val="28"/>
          <w:rtl w:val="true"/>
        </w:rPr>
        <w:t xml:space="preserve">, </w:t>
      </w:r>
      <w:r>
        <w:rPr>
          <w:spacing w:val="6"/>
          <w:sz w:val="28"/>
          <w:sz w:val="28"/>
          <w:rtl w:val="true"/>
        </w:rPr>
        <w:t>היא הסדר נכון ותואם את השקפתו המשפטית</w:t>
      </w:r>
      <w:r>
        <w:rPr>
          <w:spacing w:val="6"/>
          <w:sz w:val="28"/>
          <w:rtl w:val="true"/>
        </w:rPr>
        <w:t xml:space="preserve">, </w:t>
      </w:r>
      <w:r>
        <w:rPr>
          <w:spacing w:val="6"/>
          <w:sz w:val="28"/>
          <w:sz w:val="28"/>
          <w:rtl w:val="true"/>
        </w:rPr>
        <w:t>ולא גלומה בו פגיעה בזכויות חוקתיות</w:t>
      </w:r>
      <w:r>
        <w:rPr>
          <w:rtl w:val="true"/>
        </w:rPr>
        <w:t>" (</w:t>
      </w:r>
      <w:hyperlink r:id="rId3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334/02</w:t>
        </w:r>
      </w:hyperlink>
      <w:r>
        <w:rPr>
          <w:rFonts w:cs="FrankRuehl" w:ascii="FrankRuehl" w:hAnsi="FrankRuehl"/>
          <w:color w:val="000000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rtl w:val="true"/>
        </w:rPr>
        <w:t xml:space="preserve">פסקה </w:t>
      </w:r>
      <w:r>
        <w:rPr>
          <w:rFonts w:cs="FrankRuehl" w:ascii="FrankRuehl" w:hAnsi="FrankRuehl"/>
          <w:color w:val="000000"/>
        </w:rPr>
        <w:t>15</w:t>
      </w:r>
      <w:r>
        <w:rPr>
          <w:rFonts w:cs="FrankRuehl" w:ascii="FrankRuehl" w:hAnsi="FrankRuehl"/>
          <w:color w:val="000000"/>
          <w:rtl w:val="true"/>
        </w:rPr>
        <w:t xml:space="preserve"> (</w:t>
      </w:r>
      <w:r>
        <w:rPr>
          <w:rFonts w:cs="FrankRuehl" w:ascii="FrankRuehl" w:hAnsi="FrankRuehl"/>
          <w:color w:val="000000"/>
        </w:rPr>
        <w:t>13.1.2003</w:t>
      </w:r>
      <w:r>
        <w:rPr>
          <w:rFonts w:cs="FrankRuehl" w:ascii="FrankRuehl" w:hAnsi="FrankRuehl"/>
          <w:color w:val="000000"/>
          <w:rtl w:val="true"/>
        </w:rPr>
        <w:t>) (</w:t>
      </w:r>
      <w:r>
        <w:rPr>
          <w:rFonts w:ascii="FrankRuehl" w:hAnsi="FrankRuehl" w:cs="FrankRuehl"/>
          <w:color w:val="000000"/>
          <w:rtl w:val="true"/>
        </w:rPr>
        <w:t>להלן</w:t>
      </w:r>
      <w:r>
        <w:rPr>
          <w:rFonts w:cs="FrankRuehl" w:ascii="FrankRuehl" w:hAnsi="FrankRuehl"/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סיבוני</w:t>
      </w:r>
      <w:r>
        <w:rPr>
          <w:rFonts w:cs="FrankRuehl" w:ascii="FrankRuehl" w:hAnsi="FrankRuehl"/>
          <w:color w:val="000000"/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 xml:space="preserve">אף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אנקר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אשר מונתה לצורך בחינת סוגיה זו בעקבות פניית הסנגוריה הציבורית לשר המשפטים דאז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המליצה על דעת כל חבריה</w:t>
      </w:r>
      <w:r>
        <w:rPr>
          <w:rFonts w:cs="FrankRuehl" w:ascii="FrankRuehl" w:hAnsi="FrankRuehl"/>
          <w:color w:val="000000"/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להותיר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ההכרעה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הרשעה</w:t>
      </w:r>
      <w:r>
        <w:rPr>
          <w:rFonts w:cs="FrankRuehl" w:ascii="FrankRuehl" w:hAnsi="FrankRuehl"/>
          <w:color w:val="000000"/>
          <w:rtl w:val="true"/>
        </w:rPr>
        <w:t xml:space="preserve">". </w:t>
      </w:r>
      <w:r>
        <w:rPr>
          <w:rFonts w:ascii="FrankRuehl" w:hAnsi="FrankRuehl" w:cs="FrankRuehl"/>
          <w:color w:val="000000"/>
          <w:rtl w:val="true"/>
        </w:rPr>
        <w:t>בהקשר לכך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ציינה הוועדה בין היתר דברים אלו</w:t>
      </w:r>
      <w:r>
        <w:rPr>
          <w:rFonts w:cs="FrankRuehl" w:ascii="FrankRuehl" w:hAnsi="FrankRuehl"/>
          <w:color w:val="000000"/>
          <w:rtl w:val="true"/>
        </w:rPr>
        <w:t>: "</w:t>
      </w:r>
      <w:r>
        <w:rPr>
          <w:rFonts w:ascii="FrankRuehl" w:hAnsi="FrankRuehl" w:cs="FrankRuehl"/>
          <w:color w:val="000000"/>
          <w:spacing w:val="6"/>
          <w:rtl w:val="true"/>
        </w:rPr>
        <w:t>חשיבותו של הספק בעת שיקול הדעת של כל שופט היא נעלה מכל ספק</w:t>
      </w:r>
      <w:r>
        <w:rPr>
          <w:rFonts w:cs="FrankRuehl" w:ascii="FrankRuehl" w:hAnsi="FrankRuehl"/>
          <w:color w:val="000000"/>
          <w:spacing w:val="6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6"/>
          <w:rtl w:val="true"/>
        </w:rPr>
        <w:t>יש בו כדי להכריע את פסיקתו</w:t>
      </w:r>
      <w:r>
        <w:rPr>
          <w:rFonts w:cs="FrankRuehl" w:ascii="FrankRuehl" w:hAnsi="FrankRuehl"/>
          <w:color w:val="000000"/>
          <w:spacing w:val="6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6"/>
          <w:rtl w:val="true"/>
        </w:rPr>
        <w:t>אבל</w:t>
      </w:r>
      <w:r>
        <w:rPr>
          <w:rFonts w:cs="FrankRuehl" w:ascii="FrankRuehl" w:hAnsi="FrankRuehl"/>
          <w:color w:val="000000"/>
          <w:spacing w:val="6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6"/>
          <w:rtl w:val="true"/>
        </w:rPr>
        <w:t>החלת הספק של אחד השופטים על פסיקת עמיתיו</w:t>
      </w:r>
      <w:r>
        <w:rPr>
          <w:rFonts w:cs="FrankRuehl" w:ascii="FrankRuehl" w:hAnsi="FrankRuehl"/>
          <w:color w:val="000000"/>
          <w:spacing w:val="6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6"/>
          <w:rtl w:val="true"/>
        </w:rPr>
        <w:t>שלא קינן בליבם כל ספק סביר</w:t>
      </w:r>
      <w:r>
        <w:rPr>
          <w:rFonts w:cs="FrankRuehl" w:ascii="FrankRuehl" w:hAnsi="FrankRuehl"/>
          <w:color w:val="000000"/>
          <w:spacing w:val="6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6"/>
          <w:rtl w:val="true"/>
        </w:rPr>
        <w:t>היא מלאכותית</w:t>
      </w:r>
      <w:r>
        <w:rPr>
          <w:rFonts w:cs="FrankRuehl" w:ascii="FrankRuehl" w:hAnsi="FrankRuehl"/>
          <w:color w:val="000000"/>
          <w:spacing w:val="6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6"/>
          <w:rtl w:val="true"/>
        </w:rPr>
        <w:t>בעולם בלתי מושלם כעולמנו</w:t>
      </w:r>
      <w:r>
        <w:rPr>
          <w:rFonts w:cs="FrankRuehl" w:ascii="FrankRuehl" w:hAnsi="FrankRuehl"/>
          <w:color w:val="000000"/>
          <w:spacing w:val="6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6"/>
          <w:rtl w:val="true"/>
        </w:rPr>
        <w:t>לא ניתן להבטיח את הסדר החברתי על</w:t>
      </w:r>
      <w:r>
        <w:rPr>
          <w:rFonts w:cs="FrankRuehl" w:ascii="FrankRuehl" w:hAnsi="FrankRuehl"/>
          <w:color w:val="000000"/>
          <w:spacing w:val="6"/>
          <w:rtl w:val="true"/>
        </w:rPr>
        <w:t>-</w:t>
      </w:r>
      <w:r>
        <w:rPr>
          <w:rFonts w:ascii="FrankRuehl" w:hAnsi="FrankRuehl" w:cs="FrankRuehl"/>
          <w:color w:val="000000"/>
          <w:spacing w:val="6"/>
          <w:rtl w:val="true"/>
        </w:rPr>
        <w:t>ידי החלת הוודאות המושלמת על המשפט הפלילי</w:t>
      </w:r>
      <w:r>
        <w:rPr>
          <w:rFonts w:cs="FrankRuehl" w:ascii="FrankRuehl" w:hAnsi="FrankRuehl"/>
          <w:color w:val="000000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בעמ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cs="FrankRuehl" w:ascii="FrankRuehl" w:hAnsi="FrankRuehl"/>
          <w:color w:val="000000"/>
        </w:rPr>
        <w:t>21-20</w:t>
      </w:r>
      <w:r>
        <w:rPr>
          <w:rFonts w:cs="FrankRuehl" w:ascii="FrankRuehl" w:hAnsi="FrankRuehl"/>
          <w:color w:val="000000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 xml:space="preserve">הוועדה אמנם המליצה לצד זאת כי </w:t>
      </w:r>
      <w:r>
        <w:rPr>
          <w:rtl w:val="true"/>
        </w:rPr>
        <w:t xml:space="preserve">ערעור על הרשעה ברוב דעות ידון מחדש </w:t>
      </w:r>
      <w:r>
        <w:rPr>
          <w:rFonts w:cs="Calibri Light" w:ascii="Calibri Light" w:hAnsi="Calibri Light"/>
          <w:spacing w:val="0"/>
          <w:szCs w:val="24"/>
          <w:rtl w:val="true"/>
        </w:rPr>
        <w:t>(</w:t>
      </w:r>
      <w:r>
        <w:rPr>
          <w:rFonts w:cs="Calibri Light" w:ascii="Calibri Light" w:hAnsi="Calibri Light"/>
          <w:spacing w:val="0"/>
          <w:szCs w:val="24"/>
        </w:rPr>
        <w:t>de novo</w:t>
      </w:r>
      <w:r>
        <w:rPr>
          <w:rFonts w:cs="Calibri Light" w:ascii="Calibri Light" w:hAnsi="Calibri Light"/>
          <w:spacing w:val="0"/>
          <w:szCs w:val="24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בבית המשפט של ערעור</w:t>
      </w:r>
      <w:r>
        <w:rPr>
          <w:rtl w:val="true"/>
        </w:rPr>
        <w:t xml:space="preserve">, </w:t>
      </w:r>
      <w:r>
        <w:rPr>
          <w:rtl w:val="true"/>
        </w:rPr>
        <w:t xml:space="preserve">לרבות בממצאים עובדתיים ובממצאי מהימנות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ואולם המלצה זו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שלא זכתה לדיון והתייחסות מעמיקה בדו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 הוועדה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אומצה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אוסיף כי הצעה זו יש בה משום שינוי במהות תפקידו של בית משפט של ערעור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ולמעשה במהות הליך הערעור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הליך ערעורי אינו מאפשר דיון מחדש בממצאי עובדה ומהימנות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ומשמעות הדברים למעשה היא עריכת מעין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משפט חוזר</w:t>
      </w:r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בכל הרשעה ברוב דעות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מכל מקום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משהצעה זו לא אומצה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איני רואה צורך להרחיב בכך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sz w:val="22"/>
        </w:rPr>
      </w:pPr>
      <w:r>
        <w:rPr>
          <w:rtl w:val="true"/>
        </w:rPr>
        <w:t>ההלכה בישראל הינה</w:t>
      </w:r>
      <w:r>
        <w:rPr>
          <w:rtl w:val="true"/>
        </w:rPr>
        <w:t xml:space="preserve">, </w:t>
      </w:r>
      <w:r>
        <w:rPr>
          <w:rtl w:val="true"/>
        </w:rPr>
        <w:t>כפי שחזר ושנה 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כי אין די </w:t>
      </w:r>
      <w:r>
        <w:rPr>
          <w:sz w:val="22"/>
          <w:sz w:val="22"/>
          <w:rtl w:val="true"/>
        </w:rPr>
        <w:t xml:space="preserve">בקיומה של דעת מיעוט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כשלעצמה</w:t>
      </w:r>
      <w:r>
        <w:rPr>
          <w:sz w:val="22"/>
          <w:sz w:val="22"/>
          <w:rtl w:val="true"/>
        </w:rPr>
        <w:t xml:space="preserve"> כדי לעורר ספק סביר באשמתו של הנאשם </w:t>
      </w:r>
      <w:r>
        <w:rPr>
          <w:sz w:val="22"/>
          <w:rtl w:val="true"/>
        </w:rPr>
        <w:t>(</w:t>
      </w:r>
      <w:hyperlink r:id="rId40">
        <w:bookmarkStart w:id="16" w:name="Text1"/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8680/11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bookmarkEnd w:id="16"/>
      <w:r>
        <w:rPr>
          <w:sz w:val="22"/>
          <w:sz w:val="22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rtl w:val="true"/>
        </w:rPr>
        <w:t>(</w:t>
      </w:r>
      <w:r>
        <w:rPr>
          <w:sz w:val="22"/>
        </w:rPr>
        <w:t>5.6.2013</w:t>
      </w:r>
      <w:r>
        <w:rPr>
          <w:sz w:val="22"/>
          <w:rtl w:val="true"/>
        </w:rPr>
        <w:t>)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sz w:val="22"/>
          <w:rtl w:val="true"/>
        </w:rPr>
        <w:t xml:space="preserve">); </w:t>
      </w:r>
      <w:hyperlink r:id="rId4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10100/07</w:t>
        </w:r>
      </w:hyperlink>
      <w:r>
        <w:rPr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שחאדה</w:t>
      </w:r>
      <w:r>
        <w:rPr>
          <w:sz w:val="22"/>
          <w:sz w:val="22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rtl w:val="true"/>
        </w:rPr>
        <w:t>(</w:t>
      </w:r>
      <w:r>
        <w:rPr>
          <w:sz w:val="22"/>
        </w:rPr>
        <w:t>24.3.2010</w:t>
      </w:r>
      <w:r>
        <w:rPr>
          <w:sz w:val="22"/>
          <w:rtl w:val="true"/>
        </w:rPr>
        <w:t xml:space="preserve">); </w:t>
      </w:r>
      <w:hyperlink r:id="rId42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דנ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5776/07</w:t>
        </w:r>
      </w:hyperlink>
      <w:r>
        <w:rPr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sz w:val="22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rtl w:val="true"/>
        </w:rPr>
        <w:t>(</w:t>
      </w:r>
      <w:r>
        <w:rPr>
          <w:sz w:val="22"/>
        </w:rPr>
        <w:t>22.10.2007</w:t>
      </w:r>
      <w:r>
        <w:rPr>
          <w:sz w:val="22"/>
          <w:rtl w:val="true"/>
        </w:rPr>
        <w:t>)).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במקרים בהם קיימת עמדת מיעוט מזכה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 לנקוט משנה זהירות בבחינת הכרעת הדין המרשיעה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שכן ההתרשמות הבלתי אמצעית מהמתלונן הובילה את שופטי בית משפט קמא למסקנות </w:t>
      </w:r>
      <w:r>
        <w:rPr>
          <w:rFonts w:ascii="Century" w:hAnsi="Century" w:cs="Century"/>
          <w:sz w:val="22"/>
          <w:sz w:val="22"/>
          <w:rtl w:val="true"/>
        </w:rPr>
        <w:t xml:space="preserve">סותרות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4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3751/11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טארש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2.9.2012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4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2661/12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cs="FrankRuehl" w:ascii="FrankRuehl" w:hAnsi="FrankRuehl"/>
          <w:color w:val="000000"/>
        </w:rPr>
        <w:t>19.11.2012</w:t>
      </w:r>
      <w:r>
        <w:rPr>
          <w:rFonts w:cs="FrankRuehl" w:ascii="FrankRuehl" w:hAnsi="FrankRuehl"/>
          <w:color w:val="000000"/>
          <w:rtl w:val="true"/>
        </w:rPr>
        <w:t xml:space="preserve">); </w:t>
      </w:r>
      <w:r>
        <w:rPr>
          <w:rFonts w:ascii="FrankRuehl" w:hAnsi="FrankRuehl" w:cs="FrankRuehl"/>
          <w:color w:val="000000"/>
          <w:rtl w:val="true"/>
        </w:rPr>
        <w:t>עניין פלוני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 xml:space="preserve">בפסקה </w:t>
      </w:r>
      <w:r>
        <w:rPr>
          <w:rFonts w:cs="FrankRuehl" w:ascii="FrankRuehl" w:hAnsi="FrankRuehl"/>
          <w:color w:val="000000"/>
        </w:rPr>
        <w:t>11</w:t>
      </w:r>
      <w:r>
        <w:rPr>
          <w:sz w:val="22"/>
          <w:rtl w:val="true"/>
        </w:rPr>
        <w:t>).</w:t>
      </w:r>
    </w:p>
    <w:p>
      <w:pPr>
        <w:pStyle w:val="Ruller41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סיכומם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דברים</w:t>
      </w:r>
      <w:r>
        <w:rPr>
          <w:rtl w:val="true"/>
        </w:rPr>
        <w:t xml:space="preserve">: </w:t>
      </w:r>
      <w:r>
        <w:rPr>
          <w:rtl w:val="true"/>
        </w:rPr>
        <w:t>על יסוד הנימוקים שפורטו לעיל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הרשעתו של המערער בעבירות שיוחסו לו </w:t>
      </w:r>
      <w:r>
        <w:rPr>
          <w:rtl w:val="true"/>
        </w:rPr>
        <w:t>–</w:t>
      </w:r>
      <w:r>
        <w:rPr>
          <w:rtl w:val="true"/>
        </w:rPr>
        <w:t xml:space="preserve"> בדין יסודה</w:t>
      </w:r>
      <w:r>
        <w:rPr>
          <w:rtl w:val="true"/>
        </w:rPr>
        <w:t xml:space="preserve">, </w:t>
      </w:r>
      <w:r>
        <w:rPr>
          <w:rtl w:val="true"/>
        </w:rPr>
        <w:t>ויש להותיר את הכרעת דינו של בית משפט קמא על כנה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 מצאתי כי עונשו של המערער חורג לחומרה מרמת הענישה הראויה בנסיבות העניין</w:t>
      </w:r>
      <w:r>
        <w:rPr>
          <w:rtl w:val="true"/>
        </w:rPr>
        <w:t xml:space="preserve">. </w:t>
      </w:r>
      <w:r>
        <w:rPr>
          <w:rtl w:val="true"/>
        </w:rPr>
        <w:t>בית משפט זה עמד לא פעם על חומרתן הרבה של עבירות מין המבוצעות כלפי קטינים</w:t>
      </w:r>
      <w:r>
        <w:rPr>
          <w:rtl w:val="true"/>
        </w:rPr>
        <w:t xml:space="preserve">, </w:t>
      </w:r>
      <w:r>
        <w:rPr>
          <w:rtl w:val="true"/>
        </w:rPr>
        <w:t xml:space="preserve">ועל הצורך בהרתעתם של עברייני מין פוטנציאליים </w:t>
      </w:r>
      <w:r>
        <w:rPr>
          <w:rtl w:val="true"/>
        </w:rPr>
        <w:t xml:space="preserve">-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276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, </w:t>
      </w:r>
      <w:r>
        <w:rPr>
          <w:rtl w:val="true"/>
        </w:rPr>
        <w:t>המתאפיינות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האינהרנטיים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סופי</w:t>
      </w:r>
      <w:r>
        <w:rPr>
          <w:rtl w:val="true"/>
        </w:rPr>
        <w:t xml:space="preserve">, </w:t>
      </w:r>
      <w:r>
        <w:rPr>
          <w:rtl w:val="true"/>
        </w:rPr>
        <w:t>ומותירות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הנוטלים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ומשמעותיים</w:t>
      </w:r>
      <w:r>
        <w:rPr>
          <w:rtl w:val="true"/>
        </w:rPr>
        <w:t>" 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6882/14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cs="David;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Fonts w:cs="FrankRuehl" w:ascii="FrankRuehl" w:hAnsi="FrankRuehl"/>
          <w:color w:val="000000"/>
          <w:rtl w:val="true"/>
        </w:rPr>
        <w:t xml:space="preserve"> (</w:t>
      </w:r>
      <w:r>
        <w:rPr>
          <w:rFonts w:cs="FrankRuehl" w:ascii="FrankRuehl" w:hAnsi="FrankRuehl"/>
          <w:color w:val="000000"/>
        </w:rPr>
        <w:t>11.11.2015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tl w:val="true"/>
        </w:rPr>
        <w:t>).</w:t>
      </w:r>
    </w:p>
    <w:p>
      <w:pPr>
        <w:pStyle w:val="Ruller5"/>
        <w:spacing w:lineRule="auto" w:line="360"/>
        <w:ind w:end="1282"/>
        <w:jc w:val="both"/>
        <w:rPr>
          <w:sz w:val="30"/>
          <w:szCs w:val="32"/>
        </w:rPr>
      </w:pPr>
      <w:r>
        <w:rPr>
          <w:sz w:val="30"/>
          <w:szCs w:val="3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tl w:val="true"/>
        </w:rPr>
        <w:t xml:space="preserve">,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וברור</w:t>
      </w:r>
      <w:r>
        <w:rPr>
          <w:rtl w:val="true"/>
        </w:rPr>
        <w:t xml:space="preserve">, </w:t>
      </w:r>
      <w:r>
        <w:rPr>
          <w:rtl w:val="true"/>
        </w:rPr>
        <w:t>המעמיד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לשקף את סלידתה של החברה ממעשים אלה ולשדר מסר מרתיע לעבריינים בכוח</w:t>
      </w:r>
      <w:r>
        <w:rPr>
          <w:rFonts w:cs="Century" w:ascii="Century" w:hAnsi="Century"/>
          <w:rtl w:val="true"/>
        </w:rPr>
        <w:t>" (</w:t>
      </w:r>
      <w:hyperlink r:id="rId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10673/04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1.6.2008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לחוות דעתה של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אשר לטענת המערער בדבר שיהוי בהגשת כתב האישום נגדו</w:t>
      </w:r>
      <w:r>
        <w:rPr>
          <w:rtl w:val="true"/>
        </w:rPr>
        <w:t>.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 שנפסק לא אחת בבית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שיהוי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ניכר</w:t>
      </w:r>
      <w:r>
        <w:rPr>
          <w:rtl w:val="true"/>
        </w:rPr>
        <w:t xml:space="preserve"> בהגשת כתב אישום עשוי להוות שיקול לקולה בגזירת דינו של הנאשם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hyperlink r:id="rId4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3295/15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גפסו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31.3.2016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6288/08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1.2.2010</w:t>
      </w:r>
      <w:r>
        <w:rPr>
          <w:rtl w:val="true"/>
        </w:rPr>
        <w:t xml:space="preserve">); </w:t>
      </w:r>
      <w:hyperlink r:id="rId4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4434/10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יחזקאל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8.3.2011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אולם במקרה דנן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בו כתב האישום הוגש כשנה וחצי מאז הגשת התלונה נגד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כפר בביצוען של העבירות המיוחסות 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אינני סבור כי מדובר בשיהוי בלתי סביר אשר מצדיק כשלעצמו הקלה בעונשו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sz w:val="28"/>
          <w:sz w:val="28"/>
          <w:rtl w:val="true"/>
        </w:rPr>
        <w:t>השיקולים הצריכים לעניין נידונו ונשקלו על ידי בית משפט קמא בגזר 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והעונש שהושת בסופו של יום על המערער הינו ראוי ומאוזן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 נעלמו מעיניי נסיבותיו האישיות של המערער והשלכות ניהול ההליך הפלילי על חייו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ובכלל זה הליך הגירושין המורכב שעבר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הבושה המלווה אותו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והיטלטלותו בין תקווה לייאוש משך תקופה ארוכה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אולם אינני סבור כי אלו מצדיקים התערבות בעונשו של המערער</w:t>
      </w:r>
      <w:r>
        <w:rPr>
          <w:sz w:val="28"/>
          <w:rtl w:val="true"/>
        </w:rPr>
        <w:t xml:space="preserve">. </w:t>
      </w:r>
      <w:r>
        <w:rPr>
          <w:rtl w:val="true"/>
        </w:rPr>
        <w:t xml:space="preserve">אזכיר כי </w:t>
      </w:r>
      <w:r>
        <w:rPr>
          <w:rtl w:val="true"/>
        </w:rPr>
        <w:t>בית משפט קמא</w:t>
      </w:r>
      <w:r>
        <w:rPr>
          <w:rtl w:val="true"/>
        </w:rPr>
        <w:t xml:space="preserve"> קבע את עונשו של המערער סמוך מאוד לרף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התחתון</w:t>
      </w:r>
      <w:r>
        <w:rPr>
          <w:rtl w:val="true"/>
        </w:rPr>
        <w:t xml:space="preserve"> של מתחם הענישה שנקבע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כידוע</w:t>
      </w:r>
      <w:r>
        <w:rPr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ערכאת הערעור אינה נוטה להתערב בחומרת העונש שהוטל 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ידי הערכאה הדיונית אלא במקרים חריגים בהם נפלה בגזר הדין טעות מהותית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או שעה שהעונש שנגזר על ידה חורג באופן ממשי מרמת הענישה המקובלת או הראויה בנסיבות דומות </w:t>
      </w:r>
      <w:r>
        <w:rPr>
          <w:sz w:val="28"/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חמאיל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6.9.2016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3060/15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רגייג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21.7.2015</w:t>
      </w:r>
      <w:r>
        <w:rPr>
          <w:rtl w:val="true"/>
        </w:rPr>
        <w:t xml:space="preserve">);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3856/13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3.2.2014</w:t>
      </w:r>
      <w:r>
        <w:rPr>
          <w:rtl w:val="true"/>
        </w:rPr>
        <w:t xml:space="preserve">); </w:t>
      </w:r>
      <w:hyperlink r:id="rId53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2684/16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;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26.10.2017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איני סבור כי המקרה דנן נופל בגדר מקרים חריגים אלה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אציין לבסוף כי גם לענין גזר הדין ביקש המערער לתמוך ערעורו בקיומה של דעת המיעוט</w:t>
      </w:r>
      <w:r>
        <w:rPr>
          <w:rtl w:val="true"/>
        </w:rPr>
        <w:t xml:space="preserve">. </w:t>
      </w:r>
      <w:r>
        <w:rPr>
          <w:rtl w:val="true"/>
        </w:rPr>
        <w:t>לא מצאתי בכך ממש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כפי שכבר צוין</w:t>
      </w:r>
      <w:r>
        <w:rPr>
          <w:rtl w:val="true"/>
        </w:rPr>
        <w:t xml:space="preserve">, </w:t>
      </w:r>
      <w:r>
        <w:rPr>
          <w:rtl w:val="true"/>
        </w:rPr>
        <w:t>לענין גזר הדין צירף שופט המיעוט את דעתו לדעת הרוב</w:t>
      </w:r>
      <w:r>
        <w:rPr>
          <w:rtl w:val="true"/>
        </w:rPr>
        <w:t xml:space="preserve">, </w:t>
      </w:r>
      <w:r>
        <w:rPr>
          <w:rtl w:val="true"/>
        </w:rPr>
        <w:t>וגזר הדין ניתן פה אחד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הצעה זו מערבת מין בשאינו מינו</w:t>
      </w:r>
      <w:r>
        <w:rPr>
          <w:rtl w:val="true"/>
        </w:rPr>
        <w:t xml:space="preserve">. </w:t>
      </w:r>
      <w:r>
        <w:rPr>
          <w:rtl w:val="true"/>
        </w:rPr>
        <w:t xml:space="preserve">אציין כי ההצעה להקל על נאשם במישור העונש במקרים בהם ההרשעה לא התקבלה פה אחד הועלתה בפני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אנקר</w:t>
      </w:r>
      <w:r>
        <w:rPr>
          <w:rtl w:val="true"/>
        </w:rPr>
        <w:t xml:space="preserve">, </w:t>
      </w:r>
      <w:r>
        <w:rPr>
          <w:rtl w:val="true"/>
        </w:rPr>
        <w:t xml:space="preserve">אשר דחתה אותה </w:t>
      </w:r>
      <w:r>
        <w:rPr>
          <w:rtl w:val="true"/>
        </w:rPr>
        <w:t>"</w:t>
      </w:r>
      <w:r>
        <w:rPr>
          <w:spacing w:val="6"/>
          <w:rtl w:val="true"/>
        </w:rPr>
        <w:t xml:space="preserve">מן הטעם שמדובר בשאלות נפרדות </w:t>
      </w:r>
      <w:r>
        <w:rPr>
          <w:spacing w:val="6"/>
          <w:rtl w:val="true"/>
        </w:rPr>
        <w:t>–</w:t>
      </w:r>
      <w:r>
        <w:rPr>
          <w:spacing w:val="6"/>
          <w:rtl w:val="true"/>
        </w:rPr>
        <w:t xml:space="preserve"> שאלת האשם בהכרעת הדין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 xml:space="preserve">לעומת חומרת העונש בגזר הדין </w:t>
      </w:r>
      <w:r>
        <w:rPr>
          <w:spacing w:val="6"/>
          <w:rtl w:val="true"/>
        </w:rPr>
        <w:t>–</w:t>
      </w:r>
      <w:r>
        <w:rPr>
          <w:spacing w:val="6"/>
          <w:rtl w:val="true"/>
        </w:rPr>
        <w:t xml:space="preserve"> שבכל אחת מהן נשקלים שיקולים אחרים ולכן אין לערבב ביניהן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אנקר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אציע לחבריי לדחות את הערעור</w:t>
      </w:r>
      <w:r>
        <w:rPr>
          <w:rtl w:val="true"/>
        </w:rPr>
        <w:t xml:space="preserve">, </w:t>
      </w:r>
      <w:r>
        <w:rPr>
          <w:rtl w:val="true"/>
        </w:rPr>
        <w:t>הן על הכרעת הדין והן על גזר הדין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</w:r>
      <w:r>
        <w:rPr>
          <w:rtl w:val="true"/>
        </w:rPr>
        <w:tab/>
      </w:r>
      <w:r>
        <w:rPr>
          <w:rtl w:val="true"/>
        </w:rPr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spacing w:lineRule="auto" w:line="240"/>
        <w:ind w:firstLine="72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</w:r>
      <w:r>
        <w:rPr>
          <w:rtl w:val="true"/>
        </w:rPr>
        <w:tab/>
      </w:r>
      <w:r>
        <w:rPr>
          <w:rtl w:val="true"/>
        </w:rPr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Miriam"/>
          <w:sz w:val="24"/>
          <w:sz w:val="24"/>
          <w:szCs w:val="24"/>
          <w:u w:val="single"/>
          <w:rtl w:val="true"/>
        </w:rPr>
        <w:t>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 xml:space="preserve">המערער יתייצב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4.2.2018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בבית סוהר</w:t>
      </w:r>
      <w:r>
        <w:rPr>
          <w:rtl w:val="true"/>
        </w:rPr>
        <w:t xml:space="preserve"> ימ</w:t>
      </w:r>
      <w:r>
        <w:rPr>
          <w:rtl w:val="true"/>
        </w:rPr>
        <w:t>"</w:t>
      </w:r>
      <w:r>
        <w:rPr>
          <w:rtl w:val="true"/>
        </w:rPr>
        <w:t>ר קישון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11.1.2018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17030210</w:t>
      </w:r>
      <w:r>
        <w:rPr>
          <w:sz w:val="16"/>
          <w:rtl w:val="true"/>
        </w:rPr>
        <w:t>_</w:t>
      </w:r>
      <w:r>
        <w:rPr>
          <w:sz w:val="16"/>
        </w:rPr>
        <w:t>B05.doc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</w:t>
      </w:r>
      <w:r>
        <w:rPr>
          <w:sz w:val="16"/>
          <w:sz w:val="16"/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4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Fonts w:cs="David;David" w:ascii="David;David" w:hAnsi="David;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David" w:hAnsi="David;David" w:cs="David;David"/>
          <w:color w:val="000000"/>
          <w:szCs w:val="22"/>
        </w:rPr>
      </w:pPr>
      <w:r>
        <w:rPr>
          <w:rFonts w:ascii="David;David" w:hAnsi="David;David"/>
          <w:color w:val="000000"/>
          <w:szCs w:val="22"/>
          <w:rtl w:val="true"/>
        </w:rPr>
        <w:t>א</w:t>
      </w:r>
      <w:r>
        <w:rPr>
          <w:rFonts w:cs="David;David" w:ascii="David;David" w:hAnsi="David;David"/>
          <w:color w:val="000000"/>
          <w:szCs w:val="22"/>
          <w:rtl w:val="true"/>
        </w:rPr>
        <w:t xml:space="preserve">' </w:t>
      </w:r>
      <w:r>
        <w:rPr>
          <w:rFonts w:ascii="David;David" w:hAnsi="David;David"/>
          <w:color w:val="000000"/>
          <w:szCs w:val="22"/>
          <w:rtl w:val="true"/>
        </w:rPr>
        <w:t xml:space="preserve">שהם </w:t>
      </w:r>
      <w:r>
        <w:rPr>
          <w:rFonts w:cs="David;David" w:ascii="David;David" w:hAnsi="David;David"/>
          <w:color w:val="000000"/>
          <w:szCs w:val="22"/>
        </w:rPr>
        <w:t>54678313-3021/17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6"/>
      <w:footerReference w:type="default" r:id="rId57"/>
      <w:type w:val="nextPage"/>
      <w:pgSz w:w="11906" w:h="16838"/>
      <w:pgMar w:left="1800" w:right="1800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Calibri Light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David" w:hAnsi="David;David" w:cs="David;David"/>
        <w:color w:val="000000"/>
        <w:sz w:val="22"/>
        <w:szCs w:val="22"/>
      </w:rPr>
    </w:pPr>
    <w:r>
      <w:rPr>
        <w:rFonts w:ascii="David;David" w:hAnsi="David;David"/>
        <w:color w:val="000000"/>
        <w:sz w:val="22"/>
        <w:sz w:val="22"/>
        <w:szCs w:val="22"/>
        <w:rtl w:val="true"/>
      </w:rPr>
      <w:t xml:space="preserve">עפ </w:t>
    </w:r>
    <w:r>
      <w:rPr>
        <w:rFonts w:cs="David;David" w:ascii="David;David" w:hAnsi="David;David"/>
        <w:color w:val="000000"/>
        <w:sz w:val="22"/>
        <w:szCs w:val="22"/>
      </w:rPr>
      <w:t>3021/17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פלוני נ</w:t>
    </w:r>
    <w:r>
      <w:rPr>
        <w:rFonts w:cs="David;David" w:ascii="David;David" w:hAnsi="David;David"/>
        <w:color w:val="000000"/>
        <w:sz w:val="22"/>
        <w:szCs w:val="22"/>
        <w:rtl w:val="true"/>
      </w:rPr>
      <w:t xml:space="preserve">' </w:t>
    </w:r>
    <w:r>
      <w:rPr>
        <w:rFonts w:ascii="David;David" w:hAnsi="David;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start"/>
      <w:pPr>
        <w:tabs>
          <w:tab w:val="num" w:pos="907"/>
        </w:tabs>
        <w:ind w:start="0" w:hanging="0"/>
      </w:pPr>
      <w:rPr>
        <w:sz w:val="24"/>
        <w:b w:val="false"/>
        <w:szCs w:val="28"/>
        <w:bCs w:val="false"/>
        <w:rFonts w:cs="FrankRueh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 w:val="26"/>
        <w:szCs w:val="24"/>
        <w:rFonts w:cs="Miriam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FrankRuehl"/>
      <w:b w:val="false"/>
      <w:bCs w:val="false"/>
      <w:sz w:val="24"/>
      <w:szCs w:val="28"/>
    </w:rPr>
  </w:style>
  <w:style w:type="character" w:styleId="WW8Num12z0">
    <w:name w:val="WW8Num12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>
      <w:b w:val="false"/>
      <w:bCs w:val="false"/>
      <w:color w:val="000000"/>
      <w:lang w:val="en-US"/>
    </w:rPr>
  </w:style>
  <w:style w:type="character" w:styleId="WW8Num15z1">
    <w:name w:val="WW8Num15z1"/>
    <w:qFormat/>
    <w:rPr>
      <w:rFonts w:ascii="Calibri" w:hAnsi="Calibri" w:eastAsia="Calibri" w:cs="David;David"/>
    </w:rPr>
  </w:style>
  <w:style w:type="character" w:styleId="WW8Num16z0">
    <w:name w:val="WW8Num16z0"/>
    <w:qFormat/>
    <w:rPr>
      <w:sz w:val="28"/>
    </w:rPr>
  </w:style>
  <w:style w:type="character" w:styleId="WW8Num17z0">
    <w:name w:val="WW8Num17z0"/>
    <w:qFormat/>
    <w:rPr/>
  </w:style>
  <w:style w:type="character" w:styleId="WW8Num18z0">
    <w:name w:val="WW8Num18z0"/>
    <w:qFormat/>
    <w:rPr>
      <w:rFonts w:ascii="Symbol" w:hAnsi="Symbol" w:cs="Symbol"/>
      <w:lang w:bidi="he-I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cs="Miriam"/>
      <w:sz w:val="26"/>
      <w:szCs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CharChar">
    <w:name w:val=" Char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;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abs>
        <w:tab w:val="clear" w:pos="800"/>
      </w:tabs>
      <w:overflowPunct w:val="true"/>
      <w:autoSpaceDE w:val="true"/>
      <w:ind w:hanging="0" w:start="0" w:end="0"/>
      <w:jc w:val="both"/>
      <w:textAlignment w:val="auto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4"/>
      </w:numPr>
      <w:overflowPunct w:val="true"/>
      <w:autoSpaceDE w:val="true"/>
      <w:ind w:hanging="0" w:start="0" w:end="0"/>
      <w:jc w:val="both"/>
      <w:textAlignment w:val="auto"/>
    </w:pPr>
    <w:rPr>
      <w:sz w:val="28"/>
    </w:rPr>
  </w:style>
  <w:style w:type="paragraph" w:styleId="BalloonText">
    <w:name w:val="Balloon Text"/>
    <w:basedOn w:val="Normal"/>
    <w:qFormat/>
    <w:pPr>
      <w:overflowPunct w:val="true"/>
      <w:autoSpaceDE w:val="true"/>
      <w:bidi w:val="0"/>
      <w:jc w:val="start"/>
      <w:textAlignment w:val="auto"/>
    </w:pPr>
    <w:rPr>
      <w:rFonts w:ascii="Tahoma" w:hAnsi="Tahoma" w:cs="Tahoma"/>
      <w:sz w:val="16"/>
      <w:szCs w:val="16"/>
    </w:rPr>
  </w:style>
  <w:style w:type="paragraph" w:styleId="Style14">
    <w:name w:val="פיסקת רשימה"/>
    <w:basedOn w:val="Normal"/>
    <w:qFormat/>
    <w:pPr>
      <w:overflowPunct w:val="true"/>
      <w:autoSpaceDE w:val="true"/>
      <w:bidi w:val="0"/>
      <w:spacing w:lineRule="auto" w:line="360" w:before="0" w:after="0"/>
      <w:ind w:hanging="0" w:start="720" w:end="720"/>
      <w:contextualSpacing/>
      <w:jc w:val="start"/>
      <w:textAlignment w:val="auto"/>
    </w:pPr>
    <w:rPr>
      <w:rFonts w:cs="FrankRuehl"/>
      <w:sz w:val="28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56970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8.b" TargetMode="External"/><Relationship Id="rId7" Type="http://schemas.openxmlformats.org/officeDocument/2006/relationships/hyperlink" Target="http://www.nevo.co.il/law/70301/351.c.2" TargetMode="External"/><Relationship Id="rId8" Type="http://schemas.openxmlformats.org/officeDocument/2006/relationships/hyperlink" Target="http://www.nevo.co.il/law/98569" TargetMode="External"/><Relationship Id="rId9" Type="http://schemas.openxmlformats.org/officeDocument/2006/relationships/hyperlink" Target="http://www.nevo.co.il/law/98569/54a.b" TargetMode="External"/><Relationship Id="rId10" Type="http://schemas.openxmlformats.org/officeDocument/2006/relationships/hyperlink" Target="http://www.nevo.co.il/law/74849" TargetMode="External"/><Relationship Id="rId11" Type="http://schemas.openxmlformats.org/officeDocument/2006/relationships/hyperlink" Target="http://www.nevo.co.il/law/74849/80" TargetMode="External"/><Relationship Id="rId12" Type="http://schemas.openxmlformats.org/officeDocument/2006/relationships/hyperlink" Target="http://www.nevo.co.il/law/74849/80.a" TargetMode="External"/><Relationship Id="rId13" Type="http://schemas.openxmlformats.org/officeDocument/2006/relationships/hyperlink" Target="http://www.nevo.co.il/case/20569702" TargetMode="External"/><Relationship Id="rId14" Type="http://schemas.openxmlformats.org/officeDocument/2006/relationships/hyperlink" Target="http://www.nevo.co.il/law/70301/351.c.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48.b" TargetMode="External"/><Relationship Id="rId17" Type="http://schemas.openxmlformats.org/officeDocument/2006/relationships/hyperlink" Target="http://www.nevo.co.il/law/70301/345.a.1" TargetMode="External"/><Relationship Id="rId18" Type="http://schemas.openxmlformats.org/officeDocument/2006/relationships/hyperlink" Target="http://www.nevo.co.il/law/70301/345.b.1" TargetMode="External"/><Relationship Id="rId19" Type="http://schemas.openxmlformats.org/officeDocument/2006/relationships/hyperlink" Target="http://www.nevo.co.il/law/98569/54a.b" TargetMode="External"/><Relationship Id="rId20" Type="http://schemas.openxmlformats.org/officeDocument/2006/relationships/hyperlink" Target="http://www.nevo.co.il/law/98569" TargetMode="External"/><Relationship Id="rId21" Type="http://schemas.openxmlformats.org/officeDocument/2006/relationships/hyperlink" Target="http://www.nevo.co.il/case/6151033" TargetMode="External"/><Relationship Id="rId22" Type="http://schemas.openxmlformats.org/officeDocument/2006/relationships/hyperlink" Target="http://www.nevo.co.il/case/20923878" TargetMode="External"/><Relationship Id="rId23" Type="http://schemas.openxmlformats.org/officeDocument/2006/relationships/hyperlink" Target="http://www.nevo.co.il/case/5691529" TargetMode="External"/><Relationship Id="rId24" Type="http://schemas.openxmlformats.org/officeDocument/2006/relationships/hyperlink" Target="http://www.nevo.co.il/case/6249173" TargetMode="External"/><Relationship Id="rId25" Type="http://schemas.openxmlformats.org/officeDocument/2006/relationships/hyperlink" Target="http://www.nevo.co.il/case/5832812" TargetMode="External"/><Relationship Id="rId26" Type="http://schemas.openxmlformats.org/officeDocument/2006/relationships/hyperlink" Target="http://www.nevo.co.il/case/20489991" TargetMode="External"/><Relationship Id="rId27" Type="http://schemas.openxmlformats.org/officeDocument/2006/relationships/hyperlink" Target="http://www.nevo.co.il/case/6247208" TargetMode="External"/><Relationship Id="rId28" Type="http://schemas.openxmlformats.org/officeDocument/2006/relationships/hyperlink" Target="http://www.nevo.co.il/case/6248583" TargetMode="External"/><Relationship Id="rId29" Type="http://schemas.openxmlformats.org/officeDocument/2006/relationships/hyperlink" Target="http://www.nevo.co.il/case/5704142" TargetMode="External"/><Relationship Id="rId30" Type="http://schemas.openxmlformats.org/officeDocument/2006/relationships/hyperlink" Target="http://www.nevo.co.il/case/5748040" TargetMode="External"/><Relationship Id="rId31" Type="http://schemas.openxmlformats.org/officeDocument/2006/relationships/hyperlink" Target="http://www.nevo.co.il/case/20687345" TargetMode="External"/><Relationship Id="rId32" Type="http://schemas.openxmlformats.org/officeDocument/2006/relationships/hyperlink" Target="http://www.nevo.co.il/case/6249347" TargetMode="External"/><Relationship Id="rId33" Type="http://schemas.openxmlformats.org/officeDocument/2006/relationships/hyperlink" Target="http://www.nevo.co.il/case/7697245" TargetMode="External"/><Relationship Id="rId34" Type="http://schemas.openxmlformats.org/officeDocument/2006/relationships/hyperlink" Target="http://www.nevo.co.il/case/5573732" TargetMode="External"/><Relationship Id="rId35" Type="http://schemas.openxmlformats.org/officeDocument/2006/relationships/hyperlink" Target="http://www.nevo.co.il/law/74849/80.a" TargetMode="External"/><Relationship Id="rId36" Type="http://schemas.openxmlformats.org/officeDocument/2006/relationships/hyperlink" Target="http://www.nevo.co.il/law/74849" TargetMode="External"/><Relationship Id="rId37" Type="http://schemas.openxmlformats.org/officeDocument/2006/relationships/hyperlink" Target="http://www.nevo.co.il/law/74849/80" TargetMode="External"/><Relationship Id="rId38" Type="http://schemas.openxmlformats.org/officeDocument/2006/relationships/hyperlink" Target="http://www.nevo.co.il/law/74849" TargetMode="External"/><Relationship Id="rId39" Type="http://schemas.openxmlformats.org/officeDocument/2006/relationships/hyperlink" Target="http://www.nevo.co.il/case/5613988" TargetMode="External"/><Relationship Id="rId40" Type="http://schemas.openxmlformats.org/officeDocument/2006/relationships/hyperlink" Target="http://www.nevo.co.il/case/6248583" TargetMode="External"/><Relationship Id="rId41" Type="http://schemas.openxmlformats.org/officeDocument/2006/relationships/hyperlink" Target="http://www.nevo.co.il/case/6164956" TargetMode="External"/><Relationship Id="rId42" Type="http://schemas.openxmlformats.org/officeDocument/2006/relationships/hyperlink" Target="http://www.nevo.co.il/case/5771978" TargetMode="External"/><Relationship Id="rId43" Type="http://schemas.openxmlformats.org/officeDocument/2006/relationships/hyperlink" Target="http://www.nevo.co.il/case/5913440" TargetMode="External"/><Relationship Id="rId44" Type="http://schemas.openxmlformats.org/officeDocument/2006/relationships/hyperlink" Target="http://www.nevo.co.il/case/6244398" TargetMode="External"/><Relationship Id="rId45" Type="http://schemas.openxmlformats.org/officeDocument/2006/relationships/hyperlink" Target="http://www.nevo.co.il/case/18107147" TargetMode="External"/><Relationship Id="rId46" Type="http://schemas.openxmlformats.org/officeDocument/2006/relationships/hyperlink" Target="http://www.nevo.co.il/case/6173204" TargetMode="External"/><Relationship Id="rId47" Type="http://schemas.openxmlformats.org/officeDocument/2006/relationships/hyperlink" Target="http://www.nevo.co.il/case/20267277" TargetMode="External"/><Relationship Id="rId48" Type="http://schemas.openxmlformats.org/officeDocument/2006/relationships/hyperlink" Target="http://www.nevo.co.il/case/6057523" TargetMode="External"/><Relationship Id="rId49" Type="http://schemas.openxmlformats.org/officeDocument/2006/relationships/hyperlink" Target="http://www.nevo.co.il/case/5957372" TargetMode="External"/><Relationship Id="rId50" Type="http://schemas.openxmlformats.org/officeDocument/2006/relationships/hyperlink" Target="http://www.nevo.co.il/case/21472788" TargetMode="External"/><Relationship Id="rId51" Type="http://schemas.openxmlformats.org/officeDocument/2006/relationships/hyperlink" Target="http://www.nevo.co.il/case/20245898" TargetMode="External"/><Relationship Id="rId52" Type="http://schemas.openxmlformats.org/officeDocument/2006/relationships/hyperlink" Target="http://www.nevo.co.il/case/7029339" TargetMode="External"/><Relationship Id="rId53" Type="http://schemas.openxmlformats.org/officeDocument/2006/relationships/hyperlink" Target="http://www.nevo.co.il/case/22303085" TargetMode="External"/><Relationship Id="rId54" Type="http://schemas.openxmlformats.org/officeDocument/2006/relationships/hyperlink" Target="http://www.court.gov.il/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2018-01-14T12:21:00Z</dcterms:created>
  <dc:creator> </dc:creator>
  <dc:description/>
  <cp:keywords/>
  <dc:language>en-IL</dc:language>
  <cp:lastModifiedBy>orly</cp:lastModifiedBy>
  <cp:lastPrinted>2018-01-10T11:45:00Z</cp:lastPrinted>
  <dcterms:modified xsi:type="dcterms:W3CDTF">2018-01-14T12:21:00Z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20569702:2;6151033;20923878;5691529;6249173;5832812;20489991;6247208;6248583:2;5704142;5748040;20687345;6249347;7697245;5573732;5613988;6164956;5771978;5913440;6244398;18107147;6173204;20267277;6057523;5957372;21472788;20245898;7029339;22303085</vt:lpwstr>
  </property>
  <property fmtid="{D5CDD505-2E9C-101B-9397-08002B2CF9AE}" pid="9" name="CITY">
    <vt:lpwstr/>
  </property>
  <property fmtid="{D5CDD505-2E9C-101B-9397-08002B2CF9AE}" pid="10" name="DATE">
    <vt:lpwstr>20180111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שהם;מ' מזוז;י' וילנר</vt:lpwstr>
  </property>
  <property fmtid="{D5CDD505-2E9C-101B-9397-08002B2CF9AE}" pid="14" name="LAWLISTTMP1">
    <vt:lpwstr>70301/351.c.2;348.b;345.a.1;345.b.1</vt:lpwstr>
  </property>
  <property fmtid="{D5CDD505-2E9C-101B-9397-08002B2CF9AE}" pid="15" name="LAWLISTTMP2">
    <vt:lpwstr>98569/054a.b</vt:lpwstr>
  </property>
  <property fmtid="{D5CDD505-2E9C-101B-9397-08002B2CF9AE}" pid="16" name="LAWLISTTMP3">
    <vt:lpwstr>74849/080.a;080</vt:lpwstr>
  </property>
  <property fmtid="{D5CDD505-2E9C-101B-9397-08002B2CF9AE}" pid="17" name="LAWYER">
    <vt:lpwstr>נגה בן סידי;יפתח דוד;דן ענבר;יגאל דותן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ראיות</vt:lpwstr>
  </property>
  <property fmtid="{D5CDD505-2E9C-101B-9397-08002B2CF9AE}" pid="33" name="NOSE15">
    <vt:lpwstr>ראיות</vt:lpwstr>
  </property>
  <property fmtid="{D5CDD505-2E9C-101B-9397-08002B2CF9AE}" pid="34" name="NOSE16">
    <vt:lpwstr>בתי-משפט</vt:lpwstr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77;77;77;89;89;14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עדות</vt:lpwstr>
  </property>
  <property fmtid="{D5CDD505-2E9C-101B-9397-08002B2CF9AE}" pid="44" name="NOSE25">
    <vt:lpwstr>חיזוק</vt:lpwstr>
  </property>
  <property fmtid="{D5CDD505-2E9C-101B-9397-08002B2CF9AE}" pid="45" name="NOSE26">
    <vt:lpwstr>ערעור</vt:lpwstr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1446;1446;1446;1654;1628;333</vt:lpwstr>
  </property>
  <property fmtid="{D5CDD505-2E9C-101B-9397-08002B2CF9AE}" pid="50" name="NOSE31">
    <vt:lpwstr>מדיניות ענישה: עבירות מין במשפחה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מין בקטינים</vt:lpwstr>
  </property>
  <property fmtid="{D5CDD505-2E9C-101B-9397-08002B2CF9AE}" pid="53" name="NOSE33">
    <vt:lpwstr>מדיניות ענישה: שיקולים לקולה</vt:lpwstr>
  </property>
  <property fmtid="{D5CDD505-2E9C-101B-9397-08002B2CF9AE}" pid="54" name="NOSE34">
    <vt:lpwstr>מהימנות</vt:lpwstr>
  </property>
  <property fmtid="{D5CDD505-2E9C-101B-9397-08002B2CF9AE}" pid="55" name="NOSE35">
    <vt:lpwstr>דבר לחיזוק</vt:lpwstr>
  </property>
  <property fmtid="{D5CDD505-2E9C-101B-9397-08002B2CF9AE}" pid="56" name="NOSE36">
    <vt:lpwstr>אי התערבות בממצאים עובדתיים</vt:lpwstr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16241;16970;8996;10400;10142;16253</vt:lpwstr>
  </property>
  <property fmtid="{D5CDD505-2E9C-101B-9397-08002B2CF9AE}" pid="61" name="PADIDATE">
    <vt:lpwstr>20180114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3021</vt:lpwstr>
  </property>
  <property fmtid="{D5CDD505-2E9C-101B-9397-08002B2CF9AE}" pid="67" name="PROCYEAR">
    <vt:lpwstr>17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410120180111</vt:lpwstr>
  </property>
  <property fmtid="{D5CDD505-2E9C-101B-9397-08002B2CF9AE}" pid="71" name="TYPE_N_DATE">
    <vt:lpwstr>41020180111</vt:lpwstr>
  </property>
  <property fmtid="{D5CDD505-2E9C-101B-9397-08002B2CF9AE}" pid="72" name="VOLUME">
    <vt:lpwstr/>
  </property>
  <property fmtid="{D5CDD505-2E9C-101B-9397-08002B2CF9AE}" pid="73" name="WORDNUMPAGES">
    <vt:lpwstr>28</vt:lpwstr>
  </property>
</Properties>
</file>