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3069/22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59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4"/>
        <w:gridCol w:w="5105"/>
      </w:tblGrid>
      <w:tr>
        <w:trPr>
          <w:trHeight w:val="287" w:hRule="atLeast"/>
        </w:trPr>
        <w:tc>
          <w:tcPr>
            <w:tcW w:w="32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59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4"/>
        <w:gridCol w:w="5105"/>
      </w:tblGrid>
      <w:tr>
        <w:trPr>
          <w:trHeight w:val="287" w:hRule="atLeast"/>
        </w:trPr>
        <w:tc>
          <w:tcPr>
            <w:tcW w:w="32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24.3.2022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13267-11-19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17.11.2022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1"/>
        <w:gridCol w:w="2"/>
        <w:gridCol w:w="515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זפרני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נחום רקובר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תקנת השבים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מעמדו של עבריין שריצה את עונשו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המידע הפלילי ותקנת השבים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ההערכה הרבה לתהליך השיקום שעבר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ועמה גם הרצון להוסיף ולעודד תהליך חשוב ורצוי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בנסיבותיו הקשות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ובחומרתם הרבה של המעשים – מעשים מיניים שביצע באחותו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היה המשיב בן </w:t>
      </w:r>
      <w:r>
        <w:rPr>
          <w:rFonts w:cs="Times New Roman" w:ascii="Times New Roman" w:hAnsi="Times New Roman"/>
          <w:spacing w:val="0"/>
          <w:szCs w:val="26"/>
        </w:rPr>
        <w:t>16-14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והאחות כב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ת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12-11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כללו ניסיונות לביצוע אינוס ומעשה סדום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להימנע מהרשעתו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חמיר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לבד מעצם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ענישה – הרשעה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הימנעות מהרשעה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גמר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לנוער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שבגדרו נמנע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מהרשעת המשיב במעשים שנקבע כי אותם ביצע – מעשים מיניים שביצע באחותו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היה המשיב בן </w:t>
      </w:r>
      <w:r>
        <w:rPr>
          <w:rFonts w:cs="Times New Roman" w:ascii="Times New Roman" w:hAnsi="Times New Roman"/>
          <w:spacing w:val="0"/>
          <w:szCs w:val="26"/>
        </w:rPr>
        <w:t>16-14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והאחות כב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ת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12-11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Cs w:val="26"/>
          <w:rtl w:val="true"/>
        </w:rPr>
        <w:t>כללו ניסיונות לביצוע אינוס ומעשה סדום ומספר עבירות של מעשים מגונים – וחלף זאת הורה בצו על נקיטת דרכי טיפול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לסמכותו שלפי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נעם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השאלה הניצבת לפנינו קשה להכרעה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מהי דרך התגובה המתאימה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הערכאה הפלילית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זו העוסקת בעניינם של נאשמים בני 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הקשות והמורכבות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עיון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חרף ההערכה הרבה לתהליך השיקום שעבר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ועמה גם הרצון להוסיף ולעודד תהליך חשוב ורצוי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– בהתחשב בנסיבותיו הקשות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ובחומרתם הרבה של המעשים – להימנע מהרשעתו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ההכרעה בדבר הימנעות מהרשעתו של מי שביצע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מצריכה איזון בין שני אינטרסים מרכזיים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האחד הוא אינטרס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הקורא למיצוי הדין עם פושעים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ולהחלה שוויונית של הדין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שהעבירה הנדונה חמורה יותר – כך גובר כוחו של אינטרס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ניצב ועומד האינטרס הפרטי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בגדרו נבחנים נתוניו האישיים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הנזק שצפוי להיגרם לו כתוצאה מההרשעה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להימנע מהרשעת מי שנקבע כי ביצע עבירות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להשיב בחיוב על שתי שאלות</w:t>
      </w:r>
      <w:r>
        <w:rPr>
          <w:rFonts w:cs="Times New Roman" w:ascii="Times New Roman" w:hAnsi="Times New Roman"/>
          <w:spacing w:val="0"/>
          <w:szCs w:val="26"/>
          <w:rtl w:val="true"/>
        </w:rPr>
        <w:t>: 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סוג העבירה מאפשר להימנע מהרשעה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שיהיה בכך משום פגיעה מהותית בשיקולי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ההרשעה צפויה להביא לכדי פגיעה חמורה בסיכויי שיקומו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שתי שאלות אלה הן השאלות המנחות גם כאשר נדונה האפשרות להימנע מהרשעת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מסוג זה משתנה מערך האיזונים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שהימנעות מהרשעתו של בגיר תיעשה במקרים חריגים ויוצאי דופן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הנכונות לסטות מחובת מיצוי הדין בעניינם של קטינים היא גדולה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שבמקרים אלה נדרש לתת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משקל יתר לנסיבותיו האישיות של 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לגילו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לנזק הצפוי לו בגין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לאפשרויות הטיפול בו ולסיכויי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לכך מצטרף גם האינטרס הציבורי בהשבתו של הקטין לתפקוד נורמטיבי בחברה בעודו בתחילת דרכו בחיים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על רקע אמות המידה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את שאלת הרשעתו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שביצע המשיב – קשות כמעט מאין כמוהן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במעשים פליליים ברף הגבוה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שכללו ניסיונות לביצוע אינוס ומעשה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נעברו בנסיבות מחמירות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 בכור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דמות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בעלת השפעה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שסיפק את צרכיו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רמיסת כבודה של אחותו הקטנה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ובחר לפגוע בה מספר רב של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בעודה שרויה בחוסר אונים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במקום שצריך לשמש עבורה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מבטחים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בחדרה ובמיטתה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לגבי המתלוננת מדובר באירועים טראומתיים וקשים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שבגינם יהיה עליה לעבור התמודדות ארוכה וכואבת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אף בהתחשב בגילו של המשיב במועד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ובשיקולים שיש לשקול בענישת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שלפנינו אינו מתאים להימנעות מהרשעה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הפגיעה המהותית ביתר שיקולי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הובהר זה מכבר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אינה יוצרת 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ולעתים שיקולים של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מניעה ותגמול עולים במשקלם על השיקול השיקומי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בהתאמה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פעם ולא פעמיים 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כי יש להרשיע קטינים שביצעו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חרף הברכה על התקדמותם השיקומית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בחר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מפורש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351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351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להחמיר עם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שגילם מעל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ושביצעו עבירות של מעשה סדום או 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בקטין במשפחה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לכדי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להלום תוצאה של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התקיימות הנסיבה האמורה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שלה יִחס המחוקק חומרה יתירה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החומרה הניכרת במעשי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הלה להוכיח קיומה של פגיעה משמעותית במיוחד שתיגרם לו כתוצאה מן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הדרישה הכללית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 על המשיב להצביע על פגיעה קונקרטית שהיא חמורה מזו הטבועה מיניה וביה בהרשעה ובאות הקין הנלווה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עלה בידי המשיב להוכיח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מתקיימת לגביו פגיעה שכזו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אין בחשש לפגיעה באפשרותו של קטין להתגייס לצה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כשלעצמו הימנעות מהרשעה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וזכר 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זו בלבד שרשויות הצבא מקיימות בחינה אינדיבידואלית בכל מקרה ומקרה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שהללו הוסיפו ועיגנו גם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נוהל המלצת 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למתן חנינה לבעלי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הוראת קבע באכ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על גורמי הצבא שישקלו בשׂוֹם שכל את עניינו היִחודי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מכלול 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שהדבר יתאים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עשויים גורמים אלה אף לסייע למשיב במחיקת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מחיקה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תתאפשר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בה גם כדי להקהות מהנזק הצפוי לו בעתיד בגין הרישום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טענת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 צפויה ההרשעה לפגוע בהליך השיקום שעבר עד 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ושהוא עודנו עתיד לעבור – אין בה כדי להכריע את הכף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אלה נתמכות – ולוּ באופן חלקי – בהמלצת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המשקל הרב שיש ליתן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להמלצות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ביִחוד בעניינם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בסופו של דבר ההכרעה מוטלת על כתפי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ועליו לבסס אותה על מלוא השיקולים והאינטרסים הניצבים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מוצא כי מדובר בפגיעה קונקרטית וחריגה במשיב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בה כדי לגבור על האינטרס החזק בהרשעתו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הבחירה להסתפק בדרכי 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שהמשיב יִשא עונש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 התחשבות ראויה ומספקת בתהליך השיקום המבורך שעשה עד 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מהרשעתו – לא נ</w:t>
      </w:r>
      <w:r>
        <w:rPr>
          <w:rFonts w:ascii="Times New Roman" w:hAnsi="Times New Roman" w:cs="Times New Roman"/>
          <w:spacing w:val="0"/>
          <w:szCs w:val="26"/>
          <w:rtl w:val="true"/>
        </w:rPr>
        <w:t>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להימנע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 שהנאשם יורשע במעשים שנקבע כי אותם 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שדרכי הטיפול שאותן קבע בעניינו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– תיוותרנה על 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חמיר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לבד מעצם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על גמר הדין 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>בשבתו כבית משפט לנוער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24.3.2022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13267-11-19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באומגרט</w:t>
      </w:r>
      <w:r>
        <w:rPr>
          <w:rtl w:val="true"/>
        </w:rPr>
        <w:t xml:space="preserve">), </w:t>
      </w:r>
      <w:r>
        <w:rPr>
          <w:rtl w:val="true"/>
        </w:rPr>
        <w:t>שבגדרו נמנע בית המשפט מהרשעת המשיב</w:t>
      </w:r>
      <w:r>
        <w:rPr>
          <w:rtl w:val="true"/>
        </w:rPr>
        <w:t xml:space="preserve">, </w:t>
      </w:r>
      <w:r>
        <w:rPr>
          <w:rtl w:val="true"/>
        </w:rPr>
        <w:t>וחלף זאת הורה בצו על נקיטת דרכי טיפול שונות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לסמכותו שלפי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 מגולל מסכת חמורה ביותר של אירועים</w:t>
      </w:r>
      <w:r>
        <w:rPr>
          <w:rtl w:val="true"/>
        </w:rPr>
        <w:t xml:space="preserve">, </w:t>
      </w:r>
      <w:r>
        <w:rPr>
          <w:rtl w:val="true"/>
        </w:rPr>
        <w:t>שהתרחשו על</w:t>
      </w:r>
      <w:r>
        <w:rPr>
          <w:rtl w:val="true"/>
        </w:rPr>
        <w:t>-</w:t>
      </w:r>
      <w:r>
        <w:rPr>
          <w:rtl w:val="true"/>
        </w:rPr>
        <w:t xml:space="preserve">פני השנים </w:t>
      </w:r>
      <w:r>
        <w:rPr/>
        <w:t>2019-2018</w:t>
      </w:r>
      <w:r>
        <w:rPr>
          <w:rtl w:val="true"/>
        </w:rPr>
        <w:t xml:space="preserve">, </w:t>
      </w:r>
      <w:r>
        <w:rPr>
          <w:rtl w:val="true"/>
        </w:rPr>
        <w:t xml:space="preserve">עת היה המשיב בן </w:t>
      </w:r>
      <w:r>
        <w:rPr/>
        <w:t>15</w:t>
      </w:r>
      <w:r>
        <w:rPr/>
        <w:t>-14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>נהג המשיב להיכנס בשעות הלילה לחדרה של המתלוננת</w:t>
      </w:r>
      <w:r>
        <w:rPr>
          <w:rtl w:val="true"/>
        </w:rPr>
        <w:t xml:space="preserve">, </w:t>
      </w:r>
      <w:r>
        <w:rPr>
          <w:rtl w:val="true"/>
        </w:rPr>
        <w:t>אחותו הקטנה</w:t>
      </w:r>
      <w:r>
        <w:rPr>
          <w:rtl w:val="true"/>
        </w:rPr>
        <w:t xml:space="preserve">, </w:t>
      </w:r>
      <w:r>
        <w:rPr>
          <w:rtl w:val="true"/>
        </w:rPr>
        <w:t>שהיתה אז כב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ולבצע בה מעשים מיניים</w:t>
      </w:r>
      <w:r>
        <w:rPr>
          <w:rtl w:val="true"/>
        </w:rPr>
        <w:t xml:space="preserve">, </w:t>
      </w:r>
      <w:r>
        <w:rPr>
          <w:rtl w:val="true"/>
        </w:rPr>
        <w:t>בלא הסכמתה החופשית</w:t>
      </w:r>
      <w:r>
        <w:rPr>
          <w:rtl w:val="true"/>
        </w:rPr>
        <w:t xml:space="preserve">. </w:t>
      </w:r>
      <w:r>
        <w:rPr>
          <w:rtl w:val="true"/>
        </w:rPr>
        <w:t>ביתר פירוט</w:t>
      </w:r>
      <w:r>
        <w:rPr>
          <w:rtl w:val="true"/>
        </w:rPr>
        <w:t xml:space="preserve">, </w:t>
      </w:r>
      <w:r>
        <w:rPr>
          <w:rtl w:val="true"/>
        </w:rPr>
        <w:t>מתוארת בכתב האישום המתוקן מסכת העובדות הקשה הבאה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הזדמנויות שונות</w:t>
      </w:r>
      <w:r>
        <w:rPr>
          <w:rtl w:val="true"/>
        </w:rPr>
        <w:t xml:space="preserve">, </w:t>
      </w:r>
      <w:r>
        <w:rPr>
          <w:rtl w:val="true"/>
        </w:rPr>
        <w:t>ניסה המשיב להחדיר את איבר מינו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וחיכך את איבר מינו בין ישבניה</w:t>
      </w:r>
      <w:r>
        <w:rPr>
          <w:rtl w:val="true"/>
        </w:rPr>
        <w:t xml:space="preserve">; </w:t>
      </w:r>
      <w:r>
        <w:rPr>
          <w:rtl w:val="true"/>
        </w:rPr>
        <w:t>בהזדמנות אחרת</w:t>
      </w:r>
      <w:r>
        <w:rPr>
          <w:rtl w:val="true"/>
        </w:rPr>
        <w:t xml:space="preserve">, </w:t>
      </w:r>
      <w:r>
        <w:rPr>
          <w:rtl w:val="true"/>
        </w:rPr>
        <w:t>ניסה המשיב להחדיר את אצבעותיו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ליטף את ישבניה ולאחר מכן חיכך ביניהם את אצבעותיו</w:t>
      </w:r>
      <w:r>
        <w:rPr>
          <w:rtl w:val="true"/>
        </w:rPr>
        <w:t xml:space="preserve">; </w:t>
      </w:r>
      <w:r>
        <w:rPr>
          <w:rtl w:val="true"/>
        </w:rPr>
        <w:t>בהזדמנות נוספת</w:t>
      </w:r>
      <w:r>
        <w:rPr>
          <w:rtl w:val="true"/>
        </w:rPr>
        <w:t xml:space="preserve">, </w:t>
      </w:r>
      <w:r>
        <w:rPr>
          <w:rtl w:val="true"/>
        </w:rPr>
        <w:t>ניסה המשיב להחדיר את אצבעותיו לאיבר המין של המתלוננת</w:t>
      </w:r>
      <w:r>
        <w:rPr>
          <w:rtl w:val="true"/>
        </w:rPr>
        <w:t xml:space="preserve">, </w:t>
      </w:r>
      <w:r>
        <w:rPr>
          <w:rtl w:val="true"/>
        </w:rPr>
        <w:t>ולאחר מכן ליטפו בידיו</w:t>
      </w:r>
      <w:r>
        <w:rPr>
          <w:rtl w:val="true"/>
        </w:rPr>
        <w:t xml:space="preserve">; </w:t>
      </w:r>
      <w:r>
        <w:rPr>
          <w:rtl w:val="true"/>
        </w:rPr>
        <w:t>בהזדמנויות אחרות</w:t>
      </w:r>
      <w:r>
        <w:rPr>
          <w:rtl w:val="true"/>
        </w:rPr>
        <w:t xml:space="preserve">, </w:t>
      </w:r>
      <w:r>
        <w:rPr>
          <w:rtl w:val="true"/>
        </w:rPr>
        <w:t>ליטף המשיב את הישבן</w:t>
      </w:r>
      <w:r>
        <w:rPr>
          <w:rtl w:val="true"/>
        </w:rPr>
        <w:t xml:space="preserve">, </w:t>
      </w:r>
      <w:r>
        <w:rPr>
          <w:rtl w:val="true"/>
        </w:rPr>
        <w:t>החזה ואיבר המין של המתלוננת</w:t>
      </w:r>
      <w:r>
        <w:rPr>
          <w:rtl w:val="true"/>
        </w:rPr>
        <w:t xml:space="preserve">, </w:t>
      </w:r>
      <w:r>
        <w:rPr>
          <w:rtl w:val="true"/>
        </w:rPr>
        <w:t>מעל ומתחת לבגדיה</w:t>
      </w:r>
      <w:r>
        <w:rPr>
          <w:rtl w:val="true"/>
        </w:rPr>
        <w:t xml:space="preserve">, </w:t>
      </w:r>
      <w:r>
        <w:rPr>
          <w:rtl w:val="true"/>
        </w:rPr>
        <w:t>וזאת לשם גירוי וסיפוק מיניים</w:t>
      </w:r>
      <w:r>
        <w:rPr>
          <w:rtl w:val="true"/>
        </w:rPr>
        <w:t xml:space="preserve">. </w:t>
      </w:r>
      <w:r>
        <w:rPr>
          <w:rtl w:val="true"/>
        </w:rPr>
        <w:t>בנוסף מתואר</w:t>
      </w:r>
      <w:r>
        <w:rPr>
          <w:rtl w:val="true"/>
        </w:rPr>
        <w:t xml:space="preserve">, </w:t>
      </w:r>
      <w:r>
        <w:rPr>
          <w:rtl w:val="true"/>
        </w:rPr>
        <w:t>כי באחד הלילות נכנס המשיב לחדרה של המתלוננת</w:t>
      </w:r>
      <w:r>
        <w:rPr>
          <w:rtl w:val="true"/>
        </w:rPr>
        <w:t xml:space="preserve">, </w:t>
      </w:r>
      <w:r>
        <w:rPr>
          <w:rtl w:val="true"/>
        </w:rPr>
        <w:t>ניגש למיטתה</w:t>
      </w:r>
      <w:r>
        <w:rPr>
          <w:rtl w:val="true"/>
        </w:rPr>
        <w:t xml:space="preserve">, </w:t>
      </w:r>
      <w:r>
        <w:rPr>
          <w:rtl w:val="true"/>
        </w:rPr>
        <w:t>הפשיל את מכנסיו ותחתוניו</w:t>
      </w:r>
      <w:r>
        <w:rPr>
          <w:rtl w:val="true"/>
        </w:rPr>
        <w:t xml:space="preserve">, </w:t>
      </w:r>
      <w:r>
        <w:rPr>
          <w:rtl w:val="true"/>
        </w:rPr>
        <w:t>הפשיל גם את מכנסיה ותחתוניה של המתלוננת</w:t>
      </w:r>
      <w:r>
        <w:rPr>
          <w:rtl w:val="true"/>
        </w:rPr>
        <w:t xml:space="preserve">, </w:t>
      </w:r>
      <w:r>
        <w:rPr>
          <w:rtl w:val="true"/>
        </w:rPr>
        <w:t>הניח את רגליו על רגלי המתלוננת</w:t>
      </w:r>
      <w:r>
        <w:rPr>
          <w:rtl w:val="true"/>
        </w:rPr>
        <w:t xml:space="preserve">, </w:t>
      </w:r>
      <w:r>
        <w:rPr>
          <w:rtl w:val="true"/>
        </w:rPr>
        <w:t>ליטף את חזהּ מתחת לחולצתה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כמו </w:t>
      </w:r>
      <w:r>
        <w:rPr>
          <w:rtl w:val="true"/>
        </w:rPr>
        <w:t>כן נגע באיבר מינה – כל זאת לשם גירוי וסיפוק מיניים</w:t>
      </w:r>
      <w:r>
        <w:rPr>
          <w:rtl w:val="true"/>
        </w:rPr>
        <w:t xml:space="preserve">. </w:t>
      </w:r>
      <w:r>
        <w:rPr>
          <w:rtl w:val="true"/>
        </w:rPr>
        <w:t>בהמשך אותו אירוע</w:t>
      </w:r>
      <w:r>
        <w:rPr>
          <w:rtl w:val="true"/>
        </w:rPr>
        <w:t xml:space="preserve">, </w:t>
      </w:r>
      <w:r>
        <w:rPr>
          <w:rtl w:val="true"/>
        </w:rPr>
        <w:t>ניסה המשיב גם להחדיר את איבר מינו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ולאחר מכן חיכך את איבר מינו בין ישבניה</w:t>
      </w:r>
      <w:r>
        <w:rPr>
          <w:rtl w:val="true"/>
        </w:rPr>
        <w:t xml:space="preserve">. </w:t>
      </w:r>
      <w:r>
        <w:rPr>
          <w:rtl w:val="true"/>
        </w:rPr>
        <w:t>בלילה אחר</w:t>
      </w:r>
      <w:r>
        <w:rPr>
          <w:rtl w:val="true"/>
        </w:rPr>
        <w:t xml:space="preserve">, </w:t>
      </w:r>
      <w:r>
        <w:rPr>
          <w:rtl w:val="true"/>
        </w:rPr>
        <w:t>נכנס המשיב בלט לחדר המתלוננת</w:t>
      </w:r>
      <w:r>
        <w:rPr>
          <w:rtl w:val="true"/>
        </w:rPr>
        <w:t xml:space="preserve">, </w:t>
      </w:r>
      <w:r>
        <w:rPr>
          <w:rtl w:val="true"/>
        </w:rPr>
        <w:t>ניגש למיטתה</w:t>
      </w:r>
      <w:r>
        <w:rPr>
          <w:rtl w:val="true"/>
        </w:rPr>
        <w:t xml:space="preserve">, </w:t>
      </w:r>
      <w:r>
        <w:rPr>
          <w:rtl w:val="true"/>
        </w:rPr>
        <w:t>וזו החלה לנוע בחוסר נוחות ברגע שהתקרב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המשיב תפס את ידי המתלוננת</w:t>
      </w:r>
      <w:r>
        <w:rPr>
          <w:rtl w:val="true"/>
        </w:rPr>
        <w:t xml:space="preserve">, </w:t>
      </w:r>
      <w:r>
        <w:rPr>
          <w:rtl w:val="true"/>
        </w:rPr>
        <w:t>מישש את חזהּ</w:t>
      </w:r>
      <w:r>
        <w:rPr>
          <w:rtl w:val="true"/>
        </w:rPr>
        <w:t xml:space="preserve">, </w:t>
      </w:r>
      <w:r>
        <w:rPr>
          <w:rtl w:val="true"/>
        </w:rPr>
        <w:t>הפשיל את מכנסיה ואת תחתוניה</w:t>
      </w:r>
      <w:r>
        <w:rPr>
          <w:rtl w:val="true"/>
        </w:rPr>
        <w:t xml:space="preserve">, </w:t>
      </w:r>
      <w:r>
        <w:rPr>
          <w:rtl w:val="true"/>
        </w:rPr>
        <w:t>וניסה להחדיר אחת מאצבעותיו לפי הטבעת שלה</w:t>
      </w:r>
      <w:r>
        <w:rPr>
          <w:rtl w:val="true"/>
        </w:rPr>
        <w:t xml:space="preserve">. </w:t>
      </w:r>
      <w:r>
        <w:rPr>
          <w:rtl w:val="true"/>
        </w:rPr>
        <w:t>המתלוננת שבה ונעה בחוסר נוחות במיטתה</w:t>
      </w:r>
      <w:r>
        <w:rPr>
          <w:rtl w:val="true"/>
        </w:rPr>
        <w:t xml:space="preserve">, </w:t>
      </w:r>
      <w:r>
        <w:rPr>
          <w:rtl w:val="true"/>
        </w:rPr>
        <w:t>אך המשיב הוסיף וניסה להחדיר את אצבעו לאיבר מינה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14.5.2020</w:t>
      </w:r>
      <w:r>
        <w:rPr>
          <w:rtl w:val="true"/>
        </w:rPr>
        <w:t xml:space="preserve"> </w:t>
      </w:r>
      <w:r>
        <w:rPr>
          <w:rtl w:val="true"/>
        </w:rPr>
        <w:t>הוכרע דינו של המשיב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על יסוד הודאת המשיב במסגרת הסדר טיעון</w:t>
      </w:r>
      <w:r>
        <w:rPr>
          <w:rtl w:val="true"/>
        </w:rPr>
        <w:t xml:space="preserve">, </w:t>
      </w:r>
      <w:r>
        <w:rPr>
          <w:rtl w:val="true"/>
        </w:rPr>
        <w:t>כי הלה ביצע את העבירות שיוחסו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התייחס בית המשפט המחוזי להבחנה ה</w:t>
      </w:r>
      <w:r>
        <w:rPr>
          <w:rtl w:val="true"/>
        </w:rPr>
        <w:t>מעוגנת</w:t>
      </w:r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שעניינו בעבירות מין בתוך המשפחה – בין עבירות אינוס ומעשה סדום שבוצעו על</w:t>
      </w:r>
      <w:r>
        <w:rPr>
          <w:rtl w:val="true"/>
        </w:rPr>
        <w:t>-</w:t>
      </w:r>
      <w:r>
        <w:rPr>
          <w:rtl w:val="true"/>
        </w:rPr>
        <w:t xml:space="preserve">ידי מי שמלאו 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לבין עבירות כאמור שבוצעו על</w:t>
      </w:r>
      <w:r>
        <w:rPr>
          <w:rtl w:val="true"/>
        </w:rPr>
        <w:t>-</w:t>
      </w:r>
      <w:r>
        <w:rPr>
          <w:rtl w:val="true"/>
        </w:rPr>
        <w:t xml:space="preserve">ידי מי שטרם מלאו 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בטרם הגיעוֹ לגיל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ביצע המשיב מספר עבירות של ניסיון לביצוע מעשה סדום</w:t>
      </w:r>
      <w:r>
        <w:rPr>
          <w:rtl w:val="true"/>
        </w:rPr>
        <w:t xml:space="preserve">; </w:t>
      </w:r>
      <w:r>
        <w:rPr>
          <w:rtl w:val="true"/>
        </w:rPr>
        <w:t>עבירת ניסיון אינוס</w:t>
      </w:r>
      <w:r>
        <w:rPr>
          <w:rtl w:val="true"/>
        </w:rPr>
        <w:t xml:space="preserve">; </w:t>
      </w:r>
      <w:r>
        <w:rPr>
          <w:rtl w:val="true"/>
        </w:rPr>
        <w:t>ומספר עבירות של מעשים מגונים</w:t>
      </w:r>
      <w:r>
        <w:rPr>
          <w:rtl w:val="true"/>
        </w:rPr>
        <w:t xml:space="preserve">; </w:t>
      </w:r>
      <w:r>
        <w:rPr>
          <w:rtl w:val="true"/>
        </w:rPr>
        <w:t xml:space="preserve">וכי לאחר שמלאו 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ביצע מספר עבירות של ניסיון לביצוע מעשה סדום בקטינה בת משפחה</w:t>
      </w:r>
      <w:r>
        <w:rPr>
          <w:rtl w:val="true"/>
        </w:rPr>
        <w:t xml:space="preserve">; </w:t>
      </w:r>
      <w:r>
        <w:rPr>
          <w:rtl w:val="true"/>
        </w:rPr>
        <w:t>עבירה אחת של ניסיון אינוס של קטינה בת משפחה</w:t>
      </w:r>
      <w:r>
        <w:rPr>
          <w:rtl w:val="true"/>
        </w:rPr>
        <w:t xml:space="preserve">; </w:t>
      </w:r>
      <w:r>
        <w:rPr>
          <w:rtl w:val="true"/>
        </w:rPr>
        <w:t>וריבוי עבירות של מעשים מגונים בקטינה בת משפחה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הכרעת הדין</w:t>
      </w:r>
      <w:r>
        <w:rPr>
          <w:rtl w:val="true"/>
        </w:rPr>
        <w:t xml:space="preserve">, </w:t>
      </w:r>
      <w:r>
        <w:rPr>
          <w:rtl w:val="true"/>
        </w:rPr>
        <w:t>ניגש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24.3.2022</w:t>
      </w:r>
      <w:r>
        <w:rPr>
          <w:rtl w:val="true"/>
        </w:rPr>
        <w:t xml:space="preserve">, </w:t>
      </w:r>
      <w:r>
        <w:rPr>
          <w:rtl w:val="true"/>
        </w:rPr>
        <w:t xml:space="preserve">לקבוע את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 xml:space="preserve">ר </w:t>
      </w:r>
      <w:r>
        <w:rPr>
          <w:rtl w:val="true"/>
        </w:rPr>
        <w:t>י</w:t>
      </w:r>
      <w:r>
        <w:rPr>
          <w:rtl w:val="true"/>
        </w:rPr>
        <w:t>ֵ</w:t>
      </w:r>
      <w:r>
        <w:rPr>
          <w:rtl w:val="true"/>
        </w:rPr>
        <w:t>עשה בעניינו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לנוכח הוראת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</w:t>
      </w:r>
      <w:r>
        <w:rPr>
          <w:rtl w:val="true"/>
        </w:rPr>
        <w:t xml:space="preserve">, </w:t>
      </w:r>
      <w:r>
        <w:rPr>
          <w:rtl w:val="true"/>
        </w:rPr>
        <w:t>מן העבר האחד</w:t>
      </w:r>
      <w:r>
        <w:rPr>
          <w:rtl w:val="true"/>
        </w:rPr>
        <w:t xml:space="preserve">, </w:t>
      </w:r>
      <w:r>
        <w:rPr>
          <w:rtl w:val="true"/>
        </w:rPr>
        <w:t>את חומרתן הרבה של העבירות</w:t>
      </w:r>
      <w:r>
        <w:rPr>
          <w:rtl w:val="true"/>
        </w:rPr>
        <w:t xml:space="preserve">, </w:t>
      </w:r>
      <w:r>
        <w:rPr>
          <w:rtl w:val="true"/>
        </w:rPr>
        <w:t>את הישנותן והימשכותן על פני פרק זמן ארוך</w:t>
      </w:r>
      <w:r>
        <w:rPr>
          <w:rtl w:val="true"/>
        </w:rPr>
        <w:t xml:space="preserve">, </w:t>
      </w:r>
      <w:r>
        <w:rPr>
          <w:rtl w:val="true"/>
        </w:rPr>
        <w:t>כשנתיים</w:t>
      </w:r>
      <w:r>
        <w:rPr>
          <w:rtl w:val="true"/>
        </w:rPr>
        <w:t>-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וכן את הנזקים הקשים שנגרמו למתלוננת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הסביבה המשפחתית המורכבת שבה גדל המשיב</w:t>
      </w:r>
      <w:r>
        <w:rPr>
          <w:rtl w:val="true"/>
        </w:rPr>
        <w:t xml:space="preserve">, </w:t>
      </w:r>
      <w:r>
        <w:rPr>
          <w:rtl w:val="true"/>
        </w:rPr>
        <w:t>את גילו הצעיר במועד ביצוע המעשים</w:t>
      </w:r>
      <w:r>
        <w:rPr>
          <w:rtl w:val="true"/>
        </w:rPr>
        <w:t xml:space="preserve">, </w:t>
      </w:r>
      <w:r>
        <w:rPr>
          <w:rtl w:val="true"/>
        </w:rPr>
        <w:t>ואת הודאתו המיידית במיוחס לו מרגע שנחשפו המעשים</w:t>
      </w:r>
      <w:r>
        <w:rPr>
          <w:rtl w:val="true"/>
        </w:rPr>
        <w:t xml:space="preserve">, </w:t>
      </w:r>
      <w:r>
        <w:rPr>
          <w:rtl w:val="true"/>
        </w:rPr>
        <w:t>שיתוף הפעולה עם גורמי החקירה</w:t>
      </w:r>
      <w:r>
        <w:rPr>
          <w:rtl w:val="true"/>
        </w:rPr>
        <w:t xml:space="preserve">, </w:t>
      </w:r>
      <w:r>
        <w:rPr>
          <w:rtl w:val="true"/>
        </w:rPr>
        <w:t>הבעת החרטה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ופעולותיו למען שיקום היחסים עם המתלוננת</w:t>
      </w:r>
      <w:r>
        <w:rPr>
          <w:rtl w:val="true"/>
        </w:rPr>
        <w:t xml:space="preserve">. </w:t>
      </w:r>
      <w:r>
        <w:rPr>
          <w:rtl w:val="true"/>
        </w:rPr>
        <w:t>שיקול נוסף ששקל בית המשפט</w:t>
      </w:r>
      <w:r>
        <w:rPr>
          <w:rtl w:val="true"/>
        </w:rPr>
        <w:t xml:space="preserve">, </w:t>
      </w:r>
      <w:r>
        <w:rPr>
          <w:rtl w:val="true"/>
        </w:rPr>
        <w:t>לקוּלה</w:t>
      </w:r>
      <w:r>
        <w:rPr>
          <w:rtl w:val="true"/>
        </w:rPr>
        <w:t xml:space="preserve">, </w:t>
      </w:r>
      <w:r>
        <w:rPr>
          <w:rtl w:val="true"/>
        </w:rPr>
        <w:t>היה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מלמדת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כי בעניינו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שיקול זה</w:t>
      </w:r>
      <w:r>
        <w:rPr>
          <w:rtl w:val="true"/>
        </w:rPr>
        <w:t xml:space="preserve">, </w:t>
      </w:r>
      <w:r>
        <w:rPr>
          <w:rtl w:val="true"/>
        </w:rPr>
        <w:t>אשר קיבל משקל נכבד בגמר הדין</w:t>
      </w:r>
      <w:r>
        <w:rPr>
          <w:rtl w:val="true"/>
        </w:rPr>
        <w:t xml:space="preserve">, </w:t>
      </w:r>
      <w:r>
        <w:rPr>
          <w:rtl w:val="true"/>
        </w:rPr>
        <w:t>בהתאם להוראות חוק הנוער</w:t>
      </w:r>
      <w:r>
        <w:rPr>
          <w:rtl w:val="true"/>
        </w:rPr>
        <w:t xml:space="preserve">, </w:t>
      </w:r>
      <w:r>
        <w:rPr>
          <w:rtl w:val="true"/>
        </w:rPr>
        <w:t>סוכם על</w:t>
      </w:r>
      <w:r>
        <w:rPr>
          <w:rtl w:val="true"/>
        </w:rPr>
        <w:t>-</w:t>
      </w:r>
      <w:r>
        <w:rPr>
          <w:rtl w:val="true"/>
        </w:rPr>
        <w:t>ידי בית המשפט המחוזי 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שקלקל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להיתקל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המתקרבת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וחצי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לאור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בנסיבות 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ראוי להושיט למשיב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וכישוריו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ולהפנותם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התחברות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וצעידה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כראוי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חרף חומרת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נמנע בית המשפט המחוזי מהרשעת המשיב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חלף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פי </w:t>
      </w:r>
      <w:r>
        <w:rPr>
          <w:rFonts w:ascii="Century" w:hAnsi="Century" w:cs="Century"/>
          <w:sz w:val="22"/>
          <w:sz w:val="22"/>
          <w:rtl w:val="true"/>
        </w:rPr>
        <w:t xml:space="preserve">הוראת </w:t>
      </w:r>
      <w:hyperlink r:id="rId2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24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הנוער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הורה בית המשפט המחוזי על נקיטת מספר דרכי טיפול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שבכללן צו מבחן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המשך מגורים בבית קרובי משפחתו של המשיב</w:t>
      </w:r>
      <w:r>
        <w:rPr>
          <w:rtl w:val="true"/>
        </w:rPr>
        <w:t xml:space="preserve">, </w:t>
      </w:r>
      <w:r>
        <w:rPr>
          <w:rtl w:val="true"/>
        </w:rPr>
        <w:t>תוך שביקורים בבית המשפחה הגרעינית</w:t>
      </w:r>
      <w:r>
        <w:rPr>
          <w:rtl w:val="true"/>
        </w:rPr>
        <w:t xml:space="preserve">, </w:t>
      </w:r>
      <w:r>
        <w:rPr>
          <w:rtl w:val="true"/>
        </w:rPr>
        <w:t>או ביישוב מגוריה</w:t>
      </w:r>
      <w:r>
        <w:rPr>
          <w:rtl w:val="true"/>
        </w:rPr>
        <w:t xml:space="preserve">, </w:t>
      </w:r>
      <w:r>
        <w:rPr>
          <w:rtl w:val="true"/>
        </w:rPr>
        <w:t>שם מתגוררת המתלוננת</w:t>
      </w:r>
      <w:r>
        <w:rPr>
          <w:rtl w:val="true"/>
        </w:rPr>
        <w:t xml:space="preserve">, </w:t>
      </w:r>
      <w:r>
        <w:rPr>
          <w:rtl w:val="true"/>
        </w:rPr>
        <w:t>יערכו בתיאום ובליווי של גורמי הטיפול</w:t>
      </w:r>
      <w:r>
        <w:rPr>
          <w:rtl w:val="true"/>
        </w:rPr>
        <w:t xml:space="preserve">; </w:t>
      </w:r>
      <w:r>
        <w:rPr>
          <w:rtl w:val="true"/>
        </w:rPr>
        <w:t xml:space="preserve">התחייבות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להימנע מביצוע כל עבירת מין למשך שנתיים</w:t>
      </w:r>
      <w:r>
        <w:rPr>
          <w:rtl w:val="true"/>
        </w:rPr>
        <w:t xml:space="preserve">; </w:t>
      </w:r>
      <w:r>
        <w:rPr>
          <w:rtl w:val="true"/>
        </w:rPr>
        <w:t>פיצוי כספי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30,000</w:t>
      </w:r>
      <w:r>
        <w:rPr>
          <w:rtl w:val="true"/>
        </w:rPr>
        <w:t xml:space="preserve"> ₪; </w:t>
      </w:r>
      <w:r>
        <w:rPr>
          <w:rtl w:val="true"/>
        </w:rPr>
        <w:t>וכן ביצוע עבודות שירות לתועלת הציבור</w:t>
      </w:r>
      <w:r>
        <w:rPr>
          <w:rtl w:val="true"/>
        </w:rPr>
        <w:t xml:space="preserve">, </w:t>
      </w:r>
      <w:r>
        <w:rPr>
          <w:rtl w:val="true"/>
        </w:rPr>
        <w:t xml:space="preserve">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עקב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תקלה</w:t>
      </w:r>
      <w:r>
        <w:rPr>
          <w:rFonts w:cs="Century" w:ascii="Century" w:hAnsi="Century"/>
          <w:sz w:val="22"/>
          <w:rtl w:val="true"/>
        </w:rPr>
        <w:t xml:space="preserve">' – </w:t>
      </w:r>
      <w:r>
        <w:rPr>
          <w:rFonts w:ascii="Century" w:hAnsi="Century" w:cs="Century"/>
          <w:sz w:val="22"/>
          <w:sz w:val="22"/>
          <w:rtl w:val="true"/>
        </w:rPr>
        <w:t>כדברי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המדינה בדיון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פה שנערך שלפנינו – לא הוגשה יחד עם הודעת הערעור בקשה לעיכוב ביצוע רכיב העונש שעניינו בשירות לתועלת הציבור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ובנקודת הזמן הנוכחית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שהובהר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המשיב כבר השלים את ביצועו של </w:t>
      </w:r>
      <w:r>
        <w:rPr>
          <w:rFonts w:ascii="Century" w:hAnsi="Century" w:cs="Century"/>
          <w:sz w:val="22"/>
          <w:sz w:val="22"/>
          <w:rtl w:val="true"/>
        </w:rPr>
        <w:t>השל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צ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לנוער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הוגש לעיוננו</w:t>
      </w:r>
      <w:r>
        <w:rPr>
          <w:rtl w:val="true"/>
        </w:rPr>
        <w:t xml:space="preserve">, </w:t>
      </w:r>
      <w:r>
        <w:rPr>
          <w:rtl w:val="true"/>
        </w:rPr>
        <w:t>מוסיף ומתקף את ממצאי התסקיר אשר עמד לנגד עיני שופטי בית המשפט המחוזי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מתואר בתסקיר כי המשיב לוקח אחריות מלאה על העבירות שביצע</w:t>
      </w:r>
      <w:r>
        <w:rPr>
          <w:rtl w:val="true"/>
        </w:rPr>
        <w:t xml:space="preserve">, </w:t>
      </w:r>
      <w:r>
        <w:rPr>
          <w:rtl w:val="true"/>
        </w:rPr>
        <w:t>ומביע חרטה כנה על המעשים</w:t>
      </w:r>
      <w:r>
        <w:rPr>
          <w:rtl w:val="true"/>
        </w:rPr>
        <w:t xml:space="preserve">. </w:t>
      </w:r>
      <w:r>
        <w:rPr>
          <w:rtl w:val="true"/>
        </w:rPr>
        <w:t>עוד מתוארת ההתקדמות השיקומית שעבר המשיב</w:t>
      </w:r>
      <w:r>
        <w:rPr>
          <w:rtl w:val="true"/>
        </w:rPr>
        <w:t xml:space="preserve">, </w:t>
      </w:r>
      <w:r>
        <w:rPr>
          <w:rtl w:val="true"/>
        </w:rPr>
        <w:t>הן בנוגע להתמודדות וליחס למעשים החמורים שביצע</w:t>
      </w:r>
      <w:r>
        <w:rPr>
          <w:rtl w:val="true"/>
        </w:rPr>
        <w:t xml:space="preserve">, </w:t>
      </w:r>
      <w:r>
        <w:rPr>
          <w:rtl w:val="true"/>
        </w:rPr>
        <w:t>הן בנוגע למסגרות החינוכיות שבהן למד ופעל בשנים האחרונות</w:t>
      </w:r>
      <w:r>
        <w:rPr>
          <w:rtl w:val="true"/>
        </w:rPr>
        <w:t xml:space="preserve">. </w:t>
      </w:r>
      <w:r>
        <w:rPr>
          <w:rtl w:val="true"/>
        </w:rPr>
        <w:t>התסקיר אף מתאר את נכונות המשיב להשתלב בתכניות טיפול ומוגנות עתידיות</w:t>
      </w:r>
      <w:r>
        <w:rPr>
          <w:rtl w:val="true"/>
        </w:rPr>
        <w:t xml:space="preserve">; </w:t>
      </w:r>
      <w:r>
        <w:rPr>
          <w:rtl w:val="true"/>
        </w:rPr>
        <w:t>את העדרן המלא של הפרות חוק נוספות</w:t>
      </w:r>
      <w:r>
        <w:rPr>
          <w:rtl w:val="true"/>
        </w:rPr>
        <w:t xml:space="preserve">, </w:t>
      </w:r>
      <w:r>
        <w:rPr>
          <w:rtl w:val="true"/>
        </w:rPr>
        <w:t>מצד המשיב</w:t>
      </w:r>
      <w:r>
        <w:rPr>
          <w:rtl w:val="true"/>
        </w:rPr>
        <w:t xml:space="preserve">, </w:t>
      </w:r>
      <w:r>
        <w:rPr>
          <w:rtl w:val="true"/>
        </w:rPr>
        <w:t>בתקופה שלאחר חשיפת העבירות</w:t>
      </w:r>
      <w:r>
        <w:rPr>
          <w:rtl w:val="true"/>
        </w:rPr>
        <w:t xml:space="preserve">; </w:t>
      </w:r>
      <w:r>
        <w:rPr>
          <w:rtl w:val="true"/>
        </w:rPr>
        <w:t>וכן את החשש מכך שהרשעה תפגע באפיקי השיקום</w:t>
      </w:r>
      <w:r>
        <w:rPr>
          <w:rtl w:val="true"/>
        </w:rPr>
        <w:t xml:space="preserve">, </w:t>
      </w:r>
      <w:r>
        <w:rPr>
          <w:rtl w:val="true"/>
        </w:rPr>
        <w:t>ואף תסיג לאחור את שהושג עד כה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המדינה ממוקד בסוגיית אי</w:t>
      </w:r>
      <w:r>
        <w:rPr>
          <w:rtl w:val="true"/>
        </w:rPr>
        <w:t>-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 בין היתר נוכח הטעות שנפלה בנוגע לרכיב העונש שעניינו בשירות לתועלת הציבור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תוצאה של אי</w:t>
      </w:r>
      <w:r>
        <w:rPr>
          <w:rtl w:val="true"/>
        </w:rPr>
        <w:t>-</w:t>
      </w:r>
      <w:r>
        <w:rPr>
          <w:rtl w:val="true"/>
        </w:rPr>
        <w:t>הרשעה אינה הולמת את חומרת המעשים שבביצועם הודה המשיב</w:t>
      </w:r>
      <w:r>
        <w:rPr>
          <w:rtl w:val="true"/>
        </w:rPr>
        <w:t xml:space="preserve">, </w:t>
      </w:r>
      <w:r>
        <w:rPr>
          <w:rtl w:val="true"/>
        </w:rPr>
        <w:t>הכוללים פגיעות מיניות ברף הגבוה</w:t>
      </w:r>
      <w:r>
        <w:rPr>
          <w:rtl w:val="true"/>
        </w:rPr>
        <w:t xml:space="preserve">, </w:t>
      </w:r>
      <w:r>
        <w:rPr>
          <w:rtl w:val="true"/>
        </w:rPr>
        <w:t>שבוצעו באופן שיטתי</w:t>
      </w:r>
      <w:r>
        <w:rPr>
          <w:rtl w:val="true"/>
        </w:rPr>
        <w:t xml:space="preserve">, </w:t>
      </w:r>
      <w:r>
        <w:rPr>
          <w:rtl w:val="true"/>
        </w:rPr>
        <w:t>חוזר ונשנה</w:t>
      </w:r>
      <w:r>
        <w:rPr>
          <w:rtl w:val="true"/>
        </w:rPr>
        <w:t xml:space="preserve">, </w:t>
      </w:r>
      <w:r>
        <w:rPr>
          <w:rtl w:val="true"/>
        </w:rPr>
        <w:t>משך תקופת זמן ארוכה</w:t>
      </w:r>
      <w:r>
        <w:rPr>
          <w:rtl w:val="true"/>
        </w:rPr>
        <w:t xml:space="preserve">, </w:t>
      </w:r>
      <w:r>
        <w:rPr>
          <w:rtl w:val="true"/>
        </w:rPr>
        <w:t>באישון לילה</w:t>
      </w:r>
      <w:r>
        <w:rPr>
          <w:rtl w:val="true"/>
        </w:rPr>
        <w:t xml:space="preserve">, </w:t>
      </w:r>
      <w:r>
        <w:rPr>
          <w:rtl w:val="true"/>
        </w:rPr>
        <w:t>בחדרה ובמיטתה של המתלוננת</w:t>
      </w:r>
      <w:r>
        <w:rPr>
          <w:rtl w:val="true"/>
        </w:rPr>
        <w:t xml:space="preserve">. </w:t>
      </w:r>
      <w:r>
        <w:rPr>
          <w:rtl w:val="true"/>
        </w:rPr>
        <w:t>זאת ועוד – כעניין עקרוני</w:t>
      </w:r>
      <w:r>
        <w:rPr>
          <w:rtl w:val="true"/>
        </w:rPr>
        <w:t xml:space="preserve">, </w:t>
      </w:r>
      <w:r>
        <w:rPr>
          <w:rtl w:val="true"/>
        </w:rPr>
        <w:t>הוסיפה המדינה וטענה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שיוחסו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שלזכותו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תוכלנה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לגישת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ההרשעה יש לשמור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שוכנע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בעטיה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כלל זה יפה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אף לגבי קטינים</w:t>
      </w:r>
      <w:r>
        <w:rPr>
          <w:rtl w:val="true"/>
        </w:rPr>
        <w:t xml:space="preserve">, </w:t>
      </w:r>
      <w:r>
        <w:rPr>
          <w:rtl w:val="true"/>
        </w:rPr>
        <w:t>חרף המשקל הרב שיש ליתן לשיקולי שיקום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בפרט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שבהם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המרתיע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וגמול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עצם ההרשעה</w:t>
      </w:r>
      <w:r>
        <w:rPr>
          <w:rtl w:val="true"/>
        </w:rPr>
        <w:t xml:space="preserve">, </w:t>
      </w:r>
      <w:r>
        <w:rPr>
          <w:rtl w:val="true"/>
        </w:rPr>
        <w:t>כך גורסת המדינה</w:t>
      </w:r>
      <w:r>
        <w:rPr>
          <w:rtl w:val="true"/>
        </w:rPr>
        <w:t xml:space="preserve">, </w:t>
      </w:r>
      <w:r>
        <w:rPr>
          <w:rtl w:val="true"/>
        </w:rPr>
        <w:t>תעביר מסר חד וברור למשיב עצמו</w:t>
      </w:r>
      <w:r>
        <w:rPr>
          <w:rtl w:val="true"/>
        </w:rPr>
        <w:t xml:space="preserve">, </w:t>
      </w:r>
      <w:r>
        <w:rPr>
          <w:rtl w:val="true"/>
        </w:rPr>
        <w:t>כמו גם לציבור בכללותו</w:t>
      </w:r>
      <w:r>
        <w:rPr>
          <w:rtl w:val="true"/>
        </w:rPr>
        <w:t xml:space="preserve">, </w:t>
      </w:r>
      <w:r>
        <w:rPr>
          <w:rtl w:val="true"/>
        </w:rPr>
        <w:t>בדבר החומרה היתרה שדבקה במעשיו</w:t>
      </w:r>
      <w:r>
        <w:rPr>
          <w:rtl w:val="true"/>
        </w:rPr>
        <w:t xml:space="preserve">, </w:t>
      </w:r>
      <w:r>
        <w:rPr>
          <w:rtl w:val="true"/>
        </w:rPr>
        <w:t>תהלום את הנזק הקשה שנגרם למתלוננת</w:t>
      </w:r>
      <w:r>
        <w:rPr>
          <w:rtl w:val="true"/>
        </w:rPr>
        <w:t xml:space="preserve">, </w:t>
      </w:r>
      <w:r>
        <w:rPr>
          <w:rtl w:val="true"/>
        </w:rPr>
        <w:t>ואף תוכל לסייע לה להתמודד עם הטראומה הקשה שחוותה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בשולי דבריה</w:t>
      </w:r>
      <w:r>
        <w:rPr>
          <w:rtl w:val="true"/>
        </w:rPr>
        <w:t xml:space="preserve">, </w:t>
      </w:r>
      <w:r>
        <w:rPr>
          <w:rtl w:val="true"/>
        </w:rPr>
        <w:t>מוסיפה המדינה וטוענת</w:t>
      </w:r>
      <w:r>
        <w:rPr>
          <w:rtl w:val="true"/>
        </w:rPr>
        <w:t xml:space="preserve">, </w:t>
      </w:r>
      <w:r>
        <w:rPr>
          <w:rtl w:val="true"/>
        </w:rPr>
        <w:t>כי נכון היה להשית על המשיב ענישה מחמירה יותר מזו שהושתה עליו</w:t>
      </w:r>
      <w:r>
        <w:rPr>
          <w:rtl w:val="true"/>
        </w:rPr>
        <w:t xml:space="preserve">, </w:t>
      </w:r>
      <w:r>
        <w:rPr>
          <w:rtl w:val="true"/>
        </w:rPr>
        <w:t xml:space="preserve">שתהווה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מנגד</w:t>
      </w:r>
      <w:r>
        <w:rPr>
          <w:rtl w:val="true"/>
        </w:rPr>
        <w:t xml:space="preserve">, </w:t>
      </w:r>
      <w:r>
        <w:rPr>
          <w:rtl w:val="true"/>
        </w:rPr>
        <w:t>טוען כי אין מקום להתערב בפסק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 להעתר לבקשת המדינה</w:t>
      </w:r>
      <w:r>
        <w:rPr>
          <w:rtl w:val="true"/>
        </w:rPr>
        <w:t xml:space="preserve">, </w:t>
      </w:r>
      <w:r>
        <w:rPr>
          <w:rtl w:val="true"/>
        </w:rPr>
        <w:t>לקיים דיון 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בעלת השלכות רחבות</w:t>
      </w:r>
      <w:r>
        <w:rPr>
          <w:rtl w:val="true"/>
        </w:rPr>
        <w:t xml:space="preserve">, </w:t>
      </w:r>
      <w:r>
        <w:rPr>
          <w:rtl w:val="true"/>
        </w:rPr>
        <w:t>על גבו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במסגרת הערעור דנן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השאלה העקרונית שמעלה המדינה – לאו שאלה היא</w:t>
      </w:r>
      <w:r>
        <w:rPr>
          <w:rtl w:val="true"/>
        </w:rPr>
        <w:t xml:space="preserve">, </w:t>
      </w:r>
      <w:r>
        <w:rPr>
          <w:rtl w:val="true"/>
        </w:rPr>
        <w:t>מאחר שהמחוקק הסמיך את בית המשפט לנוער במפורש</w:t>
      </w:r>
      <w:r>
        <w:rPr>
          <w:rtl w:val="true"/>
        </w:rPr>
        <w:t xml:space="preserve">, </w:t>
      </w:r>
      <w:r>
        <w:rPr>
          <w:rtl w:val="true"/>
        </w:rPr>
        <w:t xml:space="preserve">בגדרי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ולהחזיר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תוך הידרשות בלבדית 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הפרטניות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לעמדת המשיב</w:t>
      </w:r>
      <w:r>
        <w:rPr>
          <w:rtl w:val="true"/>
        </w:rPr>
        <w:t xml:space="preserve">, </w:t>
      </w:r>
      <w:r>
        <w:rPr>
          <w:rtl w:val="true"/>
        </w:rPr>
        <w:t>אפילו היה מקום לקיים דיון בסוגיה העקרונית</w:t>
      </w:r>
      <w:r>
        <w:rPr>
          <w:rtl w:val="true"/>
        </w:rPr>
        <w:t xml:space="preserve">, </w:t>
      </w:r>
      <w:r>
        <w:rPr>
          <w:rtl w:val="true"/>
        </w:rPr>
        <w:t>כפי בקשת המדינה</w:t>
      </w:r>
      <w:r>
        <w:rPr>
          <w:rtl w:val="true"/>
        </w:rPr>
        <w:t xml:space="preserve">, </w:t>
      </w:r>
      <w:r>
        <w:rPr>
          <w:rtl w:val="true"/>
        </w:rPr>
        <w:t>הרי שהמקרה דנן אינו מתאים לכך – שכן הוא ממלא</w:t>
      </w:r>
      <w:r>
        <w:rPr>
          <w:rtl w:val="true"/>
        </w:rPr>
        <w:t xml:space="preserve">, </w:t>
      </w:r>
      <w:r>
        <w:rPr>
          <w:rtl w:val="true"/>
        </w:rPr>
        <w:t>במובהק</w:t>
      </w:r>
      <w:r>
        <w:rPr>
          <w:rtl w:val="true"/>
        </w:rPr>
        <w:t xml:space="preserve">, </w:t>
      </w:r>
      <w:r>
        <w:rPr>
          <w:rtl w:val="true"/>
        </w:rPr>
        <w:t>אחר כלל התנאים שגיבשה הפסיקה ביחס לאפשרות לנקוט דרכי טיפול</w:t>
      </w:r>
      <w:r>
        <w:rPr>
          <w:rtl w:val="true"/>
        </w:rPr>
        <w:t xml:space="preserve">, </w:t>
      </w:r>
      <w:r>
        <w:rPr>
          <w:rtl w:val="true"/>
        </w:rPr>
        <w:t>ללא ההרשעה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בהיותו קטין</w:t>
      </w:r>
      <w:r>
        <w:rPr>
          <w:rtl w:val="true"/>
        </w:rPr>
        <w:t xml:space="preserve">, </w:t>
      </w:r>
      <w:r>
        <w:rPr>
          <w:rtl w:val="true"/>
        </w:rPr>
        <w:t>נקודת המוצא היא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מקובלת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תוך ששיקולי השיקום גוברים על שיקולי הלימה</w:t>
      </w:r>
      <w:r>
        <w:rPr>
          <w:rtl w:val="true"/>
        </w:rPr>
        <w:t xml:space="preserve">, </w:t>
      </w:r>
      <w:r>
        <w:rPr>
          <w:rtl w:val="true"/>
        </w:rPr>
        <w:t>וכל כיוצא בהם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המשיב</w:t>
      </w:r>
      <w:r>
        <w:rPr>
          <w:rtl w:val="true"/>
        </w:rPr>
        <w:t xml:space="preserve">, </w:t>
      </w:r>
      <w:r>
        <w:rPr>
          <w:rtl w:val="true"/>
        </w:rPr>
        <w:t>יִש</w:t>
      </w:r>
      <w:r>
        <w:rPr>
          <w:rtl w:val="true"/>
        </w:rPr>
        <w:t>ׂ</w:t>
      </w:r>
      <w:r>
        <w:rPr>
          <w:rtl w:val="true"/>
        </w:rPr>
        <w:t>ו</w:t>
      </w:r>
      <w:r>
        <w:rPr>
          <w:rtl w:val="true"/>
        </w:rPr>
        <w:t>ּ</w:t>
      </w:r>
      <w:r>
        <w:rPr>
          <w:rtl w:val="true"/>
        </w:rPr>
        <w:t>ם גישה זו בעניינו</w:t>
      </w:r>
      <w:r>
        <w:rPr>
          <w:rtl w:val="true"/>
        </w:rPr>
        <w:t xml:space="preserve">, </w:t>
      </w:r>
      <w:r>
        <w:rPr>
          <w:rtl w:val="true"/>
        </w:rPr>
        <w:t>נוכח הליך השיקום המשמעותי שעבר</w:t>
      </w:r>
      <w:r>
        <w:rPr>
          <w:rtl w:val="true"/>
        </w:rPr>
        <w:t xml:space="preserve">, </w:t>
      </w:r>
      <w:r>
        <w:rPr>
          <w:rtl w:val="true"/>
        </w:rPr>
        <w:t>ושעודנו עובר במאמץ רב</w:t>
      </w:r>
      <w:r>
        <w:rPr>
          <w:rtl w:val="true"/>
        </w:rPr>
        <w:t xml:space="preserve">, </w:t>
      </w:r>
      <w:r>
        <w:rPr>
          <w:rtl w:val="true"/>
        </w:rPr>
        <w:t>מלמד בבירור כי יש הצדקה להימנע מהרשעתו</w:t>
      </w:r>
      <w:r>
        <w:rPr>
          <w:rtl w:val="true"/>
        </w:rPr>
        <w:t xml:space="preserve">. </w:t>
      </w:r>
      <w:r>
        <w:rPr>
          <w:rtl w:val="true"/>
        </w:rPr>
        <w:t>עוד טוען המשיב</w:t>
      </w:r>
      <w:r>
        <w:rPr>
          <w:rtl w:val="true"/>
        </w:rPr>
        <w:t xml:space="preserve">, </w:t>
      </w:r>
      <w:r>
        <w:rPr>
          <w:rtl w:val="true"/>
        </w:rPr>
        <w:t>כי הלכה פסוקה היא</w:t>
      </w:r>
      <w:r>
        <w:rPr>
          <w:rtl w:val="true"/>
        </w:rPr>
        <w:t xml:space="preserve">, </w:t>
      </w:r>
      <w:r>
        <w:rPr>
          <w:rtl w:val="true"/>
        </w:rPr>
        <w:t>שנדרשים טעמים כבדי משקל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tl w:val="true"/>
        </w:rPr>
        <w:t xml:space="preserve"> סטיה מהמלצת שירות המבחן</w:t>
      </w:r>
      <w:r>
        <w:rPr>
          <w:rtl w:val="true"/>
        </w:rPr>
        <w:t xml:space="preserve">, </w:t>
      </w:r>
      <w:r>
        <w:rPr>
          <w:rtl w:val="true"/>
        </w:rPr>
        <w:t>והמדינה לא הצביעה על טעמים שכאלה במקרה דנא</w:t>
      </w:r>
      <w:r>
        <w:rPr>
          <w:rtl w:val="true"/>
        </w:rPr>
        <w:t xml:space="preserve">. </w:t>
      </w:r>
      <w:r>
        <w:rPr>
          <w:rtl w:val="true"/>
        </w:rPr>
        <w:t xml:space="preserve">כמו </w:t>
      </w:r>
      <w:r>
        <w:rPr>
          <w:rtl w:val="true"/>
        </w:rPr>
        <w:t>כן מוסיף המשיב וטוען</w:t>
      </w:r>
      <w:r>
        <w:rPr>
          <w:rtl w:val="true"/>
        </w:rPr>
        <w:t xml:space="preserve">, </w:t>
      </w:r>
      <w:r>
        <w:rPr>
          <w:rtl w:val="true"/>
        </w:rPr>
        <w:t>בכל הנוגע לסוגיית נזקי ההרשעה</w:t>
      </w:r>
      <w:r>
        <w:rPr>
          <w:rtl w:val="true"/>
        </w:rPr>
        <w:t xml:space="preserve">, </w:t>
      </w:r>
      <w:r>
        <w:rPr>
          <w:rtl w:val="true"/>
        </w:rPr>
        <w:t>כי משמעות ההרשעה תהיה פגיעה קשה</w:t>
      </w:r>
      <w:r>
        <w:rPr>
          <w:rtl w:val="true"/>
        </w:rPr>
        <w:t xml:space="preserve">, </w:t>
      </w:r>
      <w:r>
        <w:rPr>
          <w:rtl w:val="true"/>
        </w:rPr>
        <w:t>הן בהליך שיקומו</w:t>
      </w:r>
      <w:r>
        <w:rPr>
          <w:rtl w:val="true"/>
        </w:rPr>
        <w:t xml:space="preserve">, </w:t>
      </w:r>
      <w:r>
        <w:rPr>
          <w:rtl w:val="true"/>
        </w:rPr>
        <w:t>הן בהליך האיחוי המורכב שהוא עובר ביחד עם המתלוננת ועם משפחתו בכללותה</w:t>
      </w:r>
      <w:r>
        <w:rPr>
          <w:rtl w:val="true"/>
        </w:rPr>
        <w:t xml:space="preserve">; </w:t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הרשעה תסכל את שאיפתו לשירות משמעותי</w:t>
      </w:r>
      <w:r>
        <w:rPr>
          <w:rtl w:val="true"/>
        </w:rPr>
        <w:t xml:space="preserve">, </w:t>
      </w:r>
      <w:r>
        <w:rPr>
          <w:rtl w:val="true"/>
        </w:rPr>
        <w:t>תורם ומיטיב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ראשיתו של סיפור המעשה הנורא – חושך ואפילה</w:t>
      </w:r>
      <w:r>
        <w:rPr>
          <w:rtl w:val="true"/>
        </w:rPr>
        <w:t xml:space="preserve">; </w:t>
      </w:r>
      <w:r>
        <w:rPr>
          <w:rtl w:val="true"/>
        </w:rPr>
        <w:t>מעשי המשיב – נפשעים ושפלים</w:t>
      </w:r>
      <w:r>
        <w:rPr>
          <w:rtl w:val="true"/>
        </w:rPr>
        <w:t xml:space="preserve">, </w:t>
      </w:r>
      <w:r>
        <w:rPr>
          <w:rtl w:val="true"/>
        </w:rPr>
        <w:t>מזעזעים ומעוררי חלחלה</w:t>
      </w:r>
      <w:r>
        <w:rPr>
          <w:rtl w:val="true"/>
        </w:rPr>
        <w:t xml:space="preserve">. </w:t>
      </w:r>
      <w:r>
        <w:rPr>
          <w:rtl w:val="true"/>
        </w:rPr>
        <w:t>הלב יוצא למתלוננת</w:t>
      </w:r>
      <w:r>
        <w:rPr>
          <w:rtl w:val="true"/>
        </w:rPr>
        <w:t xml:space="preserve">, </w:t>
      </w:r>
      <w:r>
        <w:rPr>
          <w:rtl w:val="true"/>
        </w:rPr>
        <w:t>כאבה עומד כל העת לנגד עינינו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בהמשך הדברים – בקעה מתוך האפילה קרן אור קטנה</w:t>
      </w:r>
      <w:r>
        <w:rPr>
          <w:rtl w:val="true"/>
        </w:rPr>
        <w:t xml:space="preserve">, </w:t>
      </w:r>
      <w:r>
        <w:rPr>
          <w:rtl w:val="true"/>
        </w:rPr>
        <w:t>אשר יש רק לקוות כי תוסיף להתעצם</w:t>
      </w:r>
      <w:r>
        <w:rPr>
          <w:rtl w:val="true"/>
        </w:rPr>
        <w:t xml:space="preserve">, </w:t>
      </w:r>
      <w:r>
        <w:rPr>
          <w:rtl w:val="true"/>
        </w:rPr>
        <w:t>ועד כמה שהדבר אפשרי</w:t>
      </w:r>
      <w:r>
        <w:rPr>
          <w:rtl w:val="true"/>
        </w:rPr>
        <w:t xml:space="preserve">, </w:t>
      </w:r>
      <w:r>
        <w:rPr>
          <w:rtl w:val="true"/>
        </w:rPr>
        <w:t>אף תִדחה דחיית</w:t>
      </w:r>
      <w:r>
        <w:rPr>
          <w:rtl w:val="true"/>
        </w:rPr>
        <w:t>-</w:t>
      </w:r>
      <w:r>
        <w:rPr>
          <w:rtl w:val="true"/>
        </w:rPr>
        <w:t>מה את החושך</w:t>
      </w:r>
      <w:r>
        <w:rPr>
          <w:rtl w:val="true"/>
        </w:rPr>
        <w:t xml:space="preserve">. </w:t>
      </w:r>
      <w:r>
        <w:rPr>
          <w:rtl w:val="true"/>
        </w:rPr>
        <w:t>השאלה הניצבת לפנינו קשה להכרעה</w:t>
      </w:r>
      <w:r>
        <w:rPr>
          <w:rtl w:val="true"/>
        </w:rPr>
        <w:t xml:space="preserve">: </w:t>
      </w:r>
      <w:r>
        <w:rPr>
          <w:rtl w:val="true"/>
        </w:rPr>
        <w:t>מהי דרך התגובה המתאימה</w:t>
      </w:r>
      <w:r>
        <w:rPr>
          <w:rtl w:val="true"/>
        </w:rPr>
        <w:t xml:space="preserve">, </w:t>
      </w:r>
      <w:r>
        <w:rPr>
          <w:rtl w:val="true"/>
        </w:rPr>
        <w:t>מצד הערכאה הפלילית</w:t>
      </w:r>
      <w:r>
        <w:rPr>
          <w:rtl w:val="true"/>
        </w:rPr>
        <w:t xml:space="preserve">, </w:t>
      </w:r>
      <w:r>
        <w:rPr>
          <w:rtl w:val="true"/>
        </w:rPr>
        <w:t>ובפרט זו העוסקת בעניינם של נאשמים בני נוער</w:t>
      </w:r>
      <w:r>
        <w:rPr>
          <w:rtl w:val="true"/>
        </w:rPr>
        <w:t xml:space="preserve">, </w:t>
      </w:r>
      <w:r>
        <w:rPr>
          <w:rtl w:val="true"/>
        </w:rPr>
        <w:t>בנסיבות הקשות והמורכבות שתוארו</w:t>
      </w:r>
      <w:r>
        <w:rPr>
          <w:rtl w:val="true"/>
        </w:rPr>
        <w:t xml:space="preserve">. </w:t>
      </w:r>
      <w:r>
        <w:rPr>
          <w:rtl w:val="true"/>
        </w:rPr>
        <w:t>לאחר עיון</w:t>
      </w:r>
      <w:r>
        <w:rPr>
          <w:rtl w:val="true"/>
        </w:rPr>
        <w:t xml:space="preserve">, </w:t>
      </w:r>
      <w:r>
        <w:rPr>
          <w:rtl w:val="true"/>
        </w:rPr>
        <w:t>סבורני כי חרף ההערכה הרבה לתהליך השיקום שעבר המשיב</w:t>
      </w:r>
      <w:r>
        <w:rPr>
          <w:rtl w:val="true"/>
        </w:rPr>
        <w:t xml:space="preserve">, </w:t>
      </w:r>
      <w:r>
        <w:rPr>
          <w:rtl w:val="true"/>
        </w:rPr>
        <w:t>ועמה גם הרצון להוסיף ולעודד תהליך חשוב ורצוי זה</w:t>
      </w:r>
      <w:r>
        <w:rPr>
          <w:rtl w:val="true"/>
        </w:rPr>
        <w:t xml:space="preserve">, </w:t>
      </w:r>
      <w:r>
        <w:rPr>
          <w:rtl w:val="true"/>
        </w:rPr>
        <w:t>אין מקום – בהתחשב בנסיבותיו הקשות של המקרה</w:t>
      </w:r>
      <w:r>
        <w:rPr>
          <w:rtl w:val="true"/>
        </w:rPr>
        <w:t xml:space="preserve">, </w:t>
      </w:r>
      <w:r>
        <w:rPr>
          <w:rtl w:val="true"/>
        </w:rPr>
        <w:t>ובחומרתם הרבה של המעשים – להימנע מהרשעתו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ההכרעה בדבר הימנעות מהרשעתו של מי שביצע עבירה</w:t>
      </w:r>
      <w:r>
        <w:rPr>
          <w:rtl w:val="true"/>
        </w:rPr>
        <w:t xml:space="preserve">, </w:t>
      </w:r>
      <w:r>
        <w:rPr>
          <w:rtl w:val="true"/>
        </w:rPr>
        <w:t xml:space="preserve">מצריכה איזון בין שני אינטרסים </w:t>
      </w:r>
      <w:r>
        <w:rPr>
          <w:rFonts w:ascii="Century" w:hAnsi="Century" w:cs="Century"/>
          <w:sz w:val="22"/>
          <w:sz w:val="22"/>
          <w:rtl w:val="true"/>
        </w:rPr>
        <w:t>מרכזיים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האחד הוא אינטרס הציבור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הקורא למיצוי הדין עם פושעים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ולהחלה שוויונית של הדין הפלילי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מטבע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 שהעבירה הנדונה חמורה יותר – כך גובר כוחו של אינטרס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ניצב ועומד האינטרס</w:t>
      </w:r>
      <w:r>
        <w:rPr>
          <w:rtl w:val="true"/>
        </w:rPr>
        <w:t xml:space="preserve"> הפרטי של הנאשם</w:t>
      </w:r>
      <w:r>
        <w:rPr>
          <w:rtl w:val="true"/>
        </w:rPr>
        <w:t xml:space="preserve">, </w:t>
      </w:r>
      <w:r>
        <w:rPr>
          <w:rtl w:val="true"/>
        </w:rPr>
        <w:t>אשר בגדרו נבחנים נתוניו האישיים</w:t>
      </w:r>
      <w:r>
        <w:rPr>
          <w:rtl w:val="true"/>
        </w:rPr>
        <w:t xml:space="preserve">, </w:t>
      </w:r>
      <w:r>
        <w:rPr>
          <w:rtl w:val="true"/>
        </w:rPr>
        <w:t xml:space="preserve">וכן הנזק שצפוי להיגרם לו כתוצאה מההרשעה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10.2.2014</w:t>
      </w:r>
      <w:r>
        <w:rPr>
          <w:rtl w:val="true"/>
        </w:rPr>
        <w:t xml:space="preserve">)). </w:t>
      </w:r>
      <w:r>
        <w:rPr>
          <w:rtl w:val="true"/>
        </w:rPr>
        <w:t>על מנת להימנע מהרשעת מי שנקבע כי ביצע עבירות שיוחסו לו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להשיב בחיוב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שתי שאלות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האם סוג העבירה מאפשר להימנע מהרשעה</w:t>
      </w:r>
      <w:r>
        <w:rPr>
          <w:rtl w:val="true"/>
        </w:rPr>
        <w:t xml:space="preserve">, </w:t>
      </w:r>
      <w:r>
        <w:rPr>
          <w:rtl w:val="true"/>
        </w:rPr>
        <w:t>מבלי שיהיה בכך משום פגיעה מהותית בשיקולי ענישה אחרים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האם ההרשעה צפויה להביא לכדי פגיעה חמורה בסיכויי שיקומו של הנאשם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יב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23.10.2019</w:t>
      </w:r>
      <w:r>
        <w:rPr>
          <w:rtl w:val="true"/>
        </w:rPr>
        <w:t xml:space="preserve">)). </w:t>
      </w:r>
      <w:r>
        <w:rPr>
          <w:rtl w:val="true"/>
        </w:rPr>
        <w:t>שתי שאלות אלה הן השאלות המנחות גם כאשר נדונה האפשרות להימנע מהרשעת קטין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במקרים מסוג זה משתנה מערך האיזונים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שהימנעות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שבמקרים אלה נדרש 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ולסיכויי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תוך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מצטרף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בהשבתו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לתפקוד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19.7.2016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אמות המידה האמורות</w:t>
      </w:r>
      <w:r>
        <w:rPr>
          <w:rtl w:val="true"/>
        </w:rPr>
        <w:t xml:space="preserve">, </w:t>
      </w:r>
      <w:r>
        <w:rPr>
          <w:rtl w:val="true"/>
        </w:rPr>
        <w:t>אגש לבחון את שאלת הרשעתו של המשיב</w:t>
      </w:r>
      <w:r>
        <w:rPr>
          <w:rtl w:val="true"/>
        </w:rPr>
        <w:t xml:space="preserve">.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העבירות שביצע המשיב – קשות כמעט מאין כמוהן</w:t>
      </w:r>
      <w:r>
        <w:rPr>
          <w:rtl w:val="true"/>
        </w:rPr>
        <w:t xml:space="preserve">. </w:t>
      </w:r>
      <w:r>
        <w:rPr>
          <w:rtl w:val="true"/>
        </w:rPr>
        <w:t>מדובר במעשים פליליים ברף הגבוה</w:t>
      </w:r>
      <w:r>
        <w:rPr>
          <w:rtl w:val="true"/>
        </w:rPr>
        <w:t xml:space="preserve">, </w:t>
      </w:r>
      <w:r>
        <w:rPr>
          <w:rtl w:val="true"/>
        </w:rPr>
        <w:t>שכללו ניסיונות לביצוע אינוס ומעשה סדום</w:t>
      </w:r>
      <w:r>
        <w:rPr>
          <w:rtl w:val="true"/>
        </w:rPr>
        <w:t xml:space="preserve">, </w:t>
      </w:r>
      <w:r>
        <w:rPr>
          <w:rtl w:val="true"/>
        </w:rPr>
        <w:t>אשר נעברו בנסיבות מחמירות ביותר</w:t>
      </w:r>
      <w:r>
        <w:rPr>
          <w:rtl w:val="true"/>
        </w:rPr>
        <w:t xml:space="preserve">: </w:t>
      </w:r>
      <w:r>
        <w:rPr>
          <w:rtl w:val="true"/>
        </w:rPr>
        <w:t>אח בכור</w:t>
      </w:r>
      <w:r>
        <w:rPr>
          <w:rtl w:val="true"/>
        </w:rPr>
        <w:t xml:space="preserve">, </w:t>
      </w:r>
      <w:r>
        <w:rPr>
          <w:rtl w:val="true"/>
        </w:rPr>
        <w:t xml:space="preserve">דמות </w:t>
      </w:r>
      <w:r>
        <w:rPr>
          <w:rtl w:val="true"/>
        </w:rPr>
        <w:t>'</w:t>
      </w:r>
      <w:r>
        <w:rPr>
          <w:rtl w:val="true"/>
        </w:rPr>
        <w:t>בעלת השפעה</w:t>
      </w:r>
      <w:r>
        <w:rPr>
          <w:rtl w:val="true"/>
        </w:rPr>
        <w:t xml:space="preserve">'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שסיפק את צרכיו המיניים</w:t>
      </w:r>
      <w:r>
        <w:rPr>
          <w:rtl w:val="true"/>
        </w:rPr>
        <w:t xml:space="preserve">, </w:t>
      </w:r>
      <w:r>
        <w:rPr>
          <w:rtl w:val="true"/>
        </w:rPr>
        <w:t>תוך רמיסת כבודה של אחותו הקטנה</w:t>
      </w:r>
      <w:r>
        <w:rPr>
          <w:rtl w:val="true"/>
        </w:rPr>
        <w:t xml:space="preserve">, </w:t>
      </w:r>
      <w:r>
        <w:rPr>
          <w:rtl w:val="true"/>
        </w:rPr>
        <w:t>ובחר לפגוע בה מספר רב של פעמים</w:t>
      </w:r>
      <w:r>
        <w:rPr>
          <w:rtl w:val="true"/>
        </w:rPr>
        <w:t xml:space="preserve">, </w:t>
      </w:r>
      <w:r>
        <w:rPr>
          <w:rtl w:val="true"/>
        </w:rPr>
        <w:t>בעודה שרויה בחוסר אונים</w:t>
      </w:r>
      <w:r>
        <w:rPr>
          <w:rtl w:val="true"/>
        </w:rPr>
        <w:t xml:space="preserve">, </w:t>
      </w:r>
      <w:r>
        <w:rPr>
          <w:rtl w:val="true"/>
        </w:rPr>
        <w:t xml:space="preserve">במקום שצריך לשמש עבורה </w:t>
      </w:r>
      <w:r>
        <w:rPr>
          <w:rtl w:val="true"/>
        </w:rPr>
        <w:t>'</w:t>
      </w:r>
      <w:r>
        <w:rPr>
          <w:rtl w:val="true"/>
        </w:rPr>
        <w:t>מקום מבטחים</w:t>
      </w:r>
      <w:r>
        <w:rPr>
          <w:rtl w:val="true"/>
        </w:rPr>
        <w:t xml:space="preserve">' –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בחדרה ובמיטתה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לגבי </w:t>
      </w:r>
      <w:r>
        <w:rPr>
          <w:rtl w:val="true"/>
        </w:rPr>
        <w:t>המתלוננת מדובר באירועים טראומתיים וקשים עד מאוד</w:t>
      </w:r>
      <w:r>
        <w:rPr>
          <w:rtl w:val="true"/>
        </w:rPr>
        <w:t xml:space="preserve">, </w:t>
      </w:r>
      <w:r>
        <w:rPr>
          <w:rtl w:val="true"/>
        </w:rPr>
        <w:t>שבגינם יהיה עליה לעבור התמודדות ארוכה וכואבת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אף בהתחשב בגילו של המשיב במועד ביצוע המעשים</w:t>
      </w:r>
      <w:r>
        <w:rPr>
          <w:rtl w:val="true"/>
        </w:rPr>
        <w:t xml:space="preserve">, </w:t>
      </w:r>
      <w:r>
        <w:rPr>
          <w:rtl w:val="true"/>
        </w:rPr>
        <w:t>ובשיקולים שיש לשקול בענישת קטינים</w:t>
      </w:r>
      <w:r>
        <w:rPr>
          <w:rtl w:val="true"/>
        </w:rPr>
        <w:t xml:space="preserve">, </w:t>
      </w:r>
      <w:r>
        <w:rPr>
          <w:rtl w:val="true"/>
        </w:rPr>
        <w:t>המקרה שלפנינו אינו מתאים להימנעות מהרשעה</w:t>
      </w:r>
      <w:r>
        <w:rPr>
          <w:rtl w:val="true"/>
        </w:rPr>
        <w:t xml:space="preserve">, </w:t>
      </w:r>
      <w:r>
        <w:rPr>
          <w:rtl w:val="true"/>
        </w:rPr>
        <w:t>לנוכח הפגיעה המהותית ביתר שיקולי הענישה</w:t>
      </w:r>
      <w:r>
        <w:rPr>
          <w:rtl w:val="true"/>
        </w:rPr>
        <w:t xml:space="preserve">. </w:t>
      </w:r>
      <w:r>
        <w:rPr>
          <w:rtl w:val="true"/>
        </w:rPr>
        <w:t>בפסיקה הובהר זה מכבר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ותגמול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במשקלם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584-583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ברוח זו</w:t>
      </w:r>
      <w:r>
        <w:rPr>
          <w:rtl w:val="true"/>
        </w:rPr>
        <w:t xml:space="preserve">, </w:t>
      </w:r>
      <w:r>
        <w:rPr>
          <w:rtl w:val="true"/>
        </w:rPr>
        <w:t>ובמקרה קרוב קרבת</w:t>
      </w:r>
      <w:r>
        <w:rPr>
          <w:rtl w:val="true"/>
        </w:rPr>
        <w:t>-</w:t>
      </w:r>
      <w:r>
        <w:rPr>
          <w:rtl w:val="true"/>
        </w:rPr>
        <w:t>מה לענייננו – שבו נדונו עבירות של פגיעה בפרטיות</w:t>
      </w:r>
      <w:r>
        <w:rPr>
          <w:rtl w:val="true"/>
        </w:rPr>
        <w:t xml:space="preserve">, </w:t>
      </w:r>
      <w:r>
        <w:rPr>
          <w:rtl w:val="true"/>
        </w:rPr>
        <w:t>בדרך של פרסום סרטון מיני של מתלוננת – נקבע כי מדובר 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המצדיקה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ככלל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10.3.2017</w:t>
      </w:r>
      <w:r>
        <w:rPr>
          <w:rtl w:val="true"/>
        </w:rPr>
        <w:t xml:space="preserve">)); </w:t>
      </w:r>
      <w:r>
        <w:rPr>
          <w:rtl w:val="true"/>
        </w:rPr>
        <w:t>ההדגשה הוּספה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בהתאמה לכך</w:t>
      </w:r>
      <w:r>
        <w:rPr>
          <w:rtl w:val="true"/>
        </w:rPr>
        <w:t xml:space="preserve">, </w:t>
      </w:r>
      <w:r>
        <w:rPr>
          <w:rtl w:val="true"/>
        </w:rPr>
        <w:t>לא פעם ולא פעמיים קבע בית משפט זה כי יש להרשיע קטינים שביצעו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וזאת חרף הברכה על התקדמותם השיקומית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4472/22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3.10.2022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18.3.2020</w:t>
      </w:r>
      <w:r>
        <w:rPr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2502/06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9.7.2006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אוסיף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>כי כאשר נעברת בקטין עבירה של אינוס או של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בידי מי שהוא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 הקטין</w:t>
      </w:r>
      <w:r>
        <w:rPr>
          <w:rtl w:val="true"/>
        </w:rPr>
        <w:t xml:space="preserve">, </w:t>
      </w:r>
      <w:r>
        <w:rPr>
          <w:rtl w:val="true"/>
        </w:rPr>
        <w:t xml:space="preserve">עולה עונש המקסימום מתקופת מאסר בת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לתקופת מאסר בת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לאותו חוק</w:t>
      </w:r>
      <w:r>
        <w:rPr>
          <w:rtl w:val="true"/>
        </w:rPr>
        <w:t xml:space="preserve">, </w:t>
      </w:r>
      <w:r>
        <w:rPr>
          <w:rtl w:val="true"/>
        </w:rPr>
        <w:t xml:space="preserve">כולל בהגדרת </w:t>
      </w:r>
      <w:r>
        <w:rPr>
          <w:rtl w:val="true"/>
        </w:rPr>
        <w:t>'</w:t>
      </w:r>
      <w:r>
        <w:rPr>
          <w:rtl w:val="true"/>
        </w:rPr>
        <w:t>בן משפחה</w:t>
      </w:r>
      <w:r>
        <w:rPr>
          <w:rtl w:val="true"/>
        </w:rPr>
        <w:t xml:space="preserve">',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אח אשר מלאו 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כפי ש</w:t>
      </w:r>
      <w:r>
        <w:rPr>
          <w:rtl w:val="true"/>
        </w:rPr>
        <w:t>ציינתי</w:t>
      </w:r>
      <w:r>
        <w:rPr>
          <w:rtl w:val="true"/>
        </w:rPr>
        <w:t xml:space="preserve"> לעיל</w:t>
      </w:r>
      <w:r>
        <w:rPr>
          <w:rtl w:val="true"/>
        </w:rPr>
        <w:t xml:space="preserve">, </w:t>
      </w:r>
      <w:r>
        <w:rPr>
          <w:rtl w:val="true"/>
        </w:rPr>
        <w:t>נסיבה מחמירה זו מתקיימת בחלק לא מבוטל מן העבירות שביצע המשיב באחותו הקטינה</w:t>
      </w:r>
      <w:r>
        <w:rPr>
          <w:rtl w:val="true"/>
        </w:rPr>
        <w:t xml:space="preserve">. </w:t>
      </w:r>
      <w:r>
        <w:rPr>
          <w:rtl w:val="true"/>
        </w:rPr>
        <w:t>נמצאנו למדים</w:t>
      </w:r>
      <w:r>
        <w:rPr>
          <w:rtl w:val="true"/>
        </w:rPr>
        <w:t xml:space="preserve">, </w:t>
      </w:r>
      <w:r>
        <w:rPr>
          <w:rtl w:val="true"/>
        </w:rPr>
        <w:t>כי המחוקק בחר</w:t>
      </w:r>
      <w:r>
        <w:rPr>
          <w:rtl w:val="true"/>
        </w:rPr>
        <w:t xml:space="preserve">, </w:t>
      </w:r>
      <w:r>
        <w:rPr>
          <w:rtl w:val="true"/>
        </w:rPr>
        <w:t>באופן מפורש</w:t>
      </w:r>
      <w:r>
        <w:rPr>
          <w:rtl w:val="true"/>
        </w:rPr>
        <w:t xml:space="preserve">, </w:t>
      </w:r>
      <w:r>
        <w:rPr>
          <w:rtl w:val="true"/>
        </w:rPr>
        <w:t>להחמיר עם קטינים</w:t>
      </w:r>
      <w:r>
        <w:rPr>
          <w:rtl w:val="true"/>
        </w:rPr>
        <w:t xml:space="preserve">, </w:t>
      </w:r>
      <w:r>
        <w:rPr>
          <w:rtl w:val="true"/>
        </w:rPr>
        <w:t xml:space="preserve">שגילם מעל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ושביצעו עבירות של מעשה סדום או אינוס</w:t>
      </w:r>
      <w:r>
        <w:rPr>
          <w:rtl w:val="true"/>
        </w:rPr>
        <w:t xml:space="preserve">. </w:t>
      </w:r>
      <w:r>
        <w:rPr>
          <w:rtl w:val="true"/>
        </w:rPr>
        <w:t>בהינתן זאת</w:t>
      </w:r>
      <w:r>
        <w:rPr>
          <w:rtl w:val="true"/>
        </w:rPr>
        <w:t xml:space="preserve">, </w:t>
      </w:r>
      <w:r>
        <w:rPr>
          <w:rtl w:val="true"/>
        </w:rPr>
        <w:t>קשה להלום תוצאה של 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למרות התקיימות הנסיבה האמורה</w:t>
      </w:r>
      <w:r>
        <w:rPr>
          <w:rtl w:val="true"/>
        </w:rPr>
        <w:t xml:space="preserve">, </w:t>
      </w:r>
      <w:r>
        <w:rPr>
          <w:rtl w:val="true"/>
        </w:rPr>
        <w:t>שלה יִחס המחוקק חומרה יתירה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החומרה הניכרת במעשי המשיב</w:t>
      </w:r>
      <w:r>
        <w:rPr>
          <w:rtl w:val="true"/>
        </w:rPr>
        <w:t xml:space="preserve">, </w:t>
      </w:r>
      <w:r>
        <w:rPr>
          <w:rtl w:val="true"/>
        </w:rPr>
        <w:t>נדרש הלה להוכיח קיומה של פגיעה משמעותית במיוחד שתיגרם לו כתוצאה מן ההרשעה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נוסף על הדרישה הכללית</w:t>
      </w:r>
      <w:r>
        <w:rPr>
          <w:rtl w:val="true"/>
        </w:rPr>
        <w:t xml:space="preserve">, </w:t>
      </w:r>
      <w:r>
        <w:rPr>
          <w:rtl w:val="true"/>
        </w:rPr>
        <w:t xml:space="preserve">שלפיה על המשיב להצביע על פגיעה קונקרטית שהיא חמורה מזו הטבועה מיניה וביה בהרשעה ובאות הקין הנלווה לה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1233/20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12.8.2020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סבורני כי לא עלה בידי המשיב להוכיח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מתקיימת לגביו פגיעה שכזו</w:t>
      </w:r>
      <w:r>
        <w:rPr>
          <w:rtl w:val="true"/>
        </w:rPr>
        <w:t xml:space="preserve">. </w:t>
      </w:r>
      <w:r>
        <w:rPr>
          <w:rtl w:val="true"/>
        </w:rPr>
        <w:t>המשיב טוען</w:t>
      </w:r>
      <w:r>
        <w:rPr>
          <w:rtl w:val="true"/>
        </w:rPr>
        <w:t xml:space="preserve">, </w:t>
      </w:r>
      <w:r>
        <w:rPr>
          <w:rtl w:val="true"/>
        </w:rPr>
        <w:t>כי משמעות הרשעתו בדין</w:t>
      </w:r>
      <w:r>
        <w:rPr>
          <w:rtl w:val="true"/>
        </w:rPr>
        <w:t xml:space="preserve">, </w:t>
      </w:r>
      <w:r>
        <w:rPr>
          <w:rtl w:val="true"/>
        </w:rPr>
        <w:t>תהיה פגיעה והכבדה בכל הנוגע לגיוסו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שאליו נשואות עיניו</w:t>
      </w:r>
      <w:r>
        <w:rPr>
          <w:rtl w:val="true"/>
        </w:rPr>
        <w:t xml:space="preserve">, </w:t>
      </w:r>
      <w:r>
        <w:rPr>
          <w:rtl w:val="true"/>
        </w:rPr>
        <w:t>עד כדי מניעת הגיוס לגמרי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כפי שהובהר ונשנה בפסיקה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עניין זה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השוקל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לגופו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וממילא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באפשרותו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להתגייס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לצה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כשלעצמו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הימנעות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מהרשעה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 (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207/16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19.8.2013</w:t>
      </w:r>
      <w:r>
        <w:rPr>
          <w:rtl w:val="true"/>
        </w:rPr>
        <w:t xml:space="preserve">)). </w:t>
      </w:r>
      <w:r>
        <w:rPr>
          <w:rtl w:val="true"/>
        </w:rPr>
        <w:t>בהקשר זה יוזכר עוד</w:t>
      </w:r>
      <w:r>
        <w:rPr>
          <w:rtl w:val="true"/>
        </w:rPr>
        <w:t xml:space="preserve">, </w:t>
      </w:r>
      <w:r>
        <w:rPr>
          <w:rtl w:val="true"/>
        </w:rPr>
        <w:t>כי לא זו בלבד שרשויות הצבא מקיימות בחינה אינדיבידואלית בכל מקרה ומקרה</w:t>
      </w:r>
      <w:r>
        <w:rPr>
          <w:rtl w:val="true"/>
        </w:rPr>
        <w:t xml:space="preserve">, </w:t>
      </w:r>
      <w:r>
        <w:rPr>
          <w:rtl w:val="true"/>
        </w:rPr>
        <w:t xml:space="preserve">אלא שהללו הוסיפו ועיגנו גם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במסגרת הוראת קבע באכ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נוהל זה קובע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לשורותיו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ומגייסם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בהתגייס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כבגיר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בתרומתו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מעידותיו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גיוסו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למחיקת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גיוסו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למדינתו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לנוהל</w:t>
      </w:r>
      <w:r>
        <w:rPr>
          <w:rtl w:val="true"/>
        </w:rPr>
        <w:t xml:space="preserve">). </w:t>
      </w:r>
      <w:r>
        <w:rPr>
          <w:rtl w:val="true"/>
        </w:rPr>
        <w:t>לאור כל זאת</w:t>
      </w:r>
      <w:r>
        <w:rPr>
          <w:rtl w:val="true"/>
        </w:rPr>
        <w:t xml:space="preserve">, </w:t>
      </w:r>
      <w:r>
        <w:rPr>
          <w:rtl w:val="true"/>
        </w:rPr>
        <w:t>חזקה על גורמי הצבא שישקלו בש</w:t>
      </w:r>
      <w:r>
        <w:rPr>
          <w:rtl w:val="true"/>
        </w:rPr>
        <w:t>ׂ</w:t>
      </w:r>
      <w:r>
        <w:rPr>
          <w:rtl w:val="true"/>
        </w:rPr>
        <w:t>ו</w:t>
      </w:r>
      <w:r>
        <w:rPr>
          <w:rtl w:val="true"/>
        </w:rPr>
        <w:t>ֹ</w:t>
      </w:r>
      <w:r>
        <w:rPr>
          <w:rtl w:val="true"/>
        </w:rPr>
        <w:t>ם שכל את עניינו היִחודי של המשיב</w:t>
      </w:r>
      <w:r>
        <w:rPr>
          <w:rtl w:val="true"/>
        </w:rPr>
        <w:t xml:space="preserve">, </w:t>
      </w:r>
      <w:r>
        <w:rPr>
          <w:rtl w:val="true"/>
        </w:rPr>
        <w:t>על מכלול נסיבותיו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ככל שהדבר יתאים</w:t>
      </w:r>
      <w:r>
        <w:rPr>
          <w:rtl w:val="true"/>
        </w:rPr>
        <w:t xml:space="preserve">, </w:t>
      </w:r>
      <w:r>
        <w:rPr>
          <w:rtl w:val="true"/>
        </w:rPr>
        <w:t>עשויים גורמים אלה אף לסייע למשיב במחיקת הרשעתו</w:t>
      </w:r>
      <w:r>
        <w:rPr>
          <w:rtl w:val="true"/>
        </w:rPr>
        <w:t xml:space="preserve">. </w:t>
      </w:r>
      <w:r>
        <w:rPr>
          <w:rtl w:val="true"/>
        </w:rPr>
        <w:t>מחיקה זו</w:t>
      </w:r>
      <w:r>
        <w:rPr>
          <w:rtl w:val="true"/>
        </w:rPr>
        <w:t xml:space="preserve">, </w:t>
      </w:r>
      <w:r>
        <w:rPr>
          <w:rtl w:val="true"/>
        </w:rPr>
        <w:t>אם תתאפשר</w:t>
      </w:r>
      <w:r>
        <w:rPr>
          <w:rtl w:val="true"/>
        </w:rPr>
        <w:t xml:space="preserve">, </w:t>
      </w:r>
      <w:r>
        <w:rPr>
          <w:rtl w:val="true"/>
        </w:rPr>
        <w:t xml:space="preserve">יהיה בה גם כדי להקהות מהנזק הצפוי לו בעתיד בגין הרישום הפלילי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ביחס לכך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5931/13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דעתו של השופט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10.2.2014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highlight w:val="green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טענת המשיב</w:t>
      </w:r>
      <w:r>
        <w:rPr>
          <w:rtl w:val="true"/>
        </w:rPr>
        <w:t xml:space="preserve">, </w:t>
      </w:r>
      <w:r>
        <w:rPr>
          <w:rtl w:val="true"/>
        </w:rPr>
        <w:t>שלפיה צפויה ההרשעה לפגוע בהליך השיקום שעבר עד כה</w:t>
      </w:r>
      <w:r>
        <w:rPr>
          <w:rtl w:val="true"/>
        </w:rPr>
        <w:t xml:space="preserve">, </w:t>
      </w:r>
      <w:r>
        <w:rPr>
          <w:rtl w:val="true"/>
        </w:rPr>
        <w:t>ושהוא עודנו עתיד לעבור – אין בה כדי להכריע את הכף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טענות אלה נתמכות – ולוּ באופן חלקי – בהמלצת שירות המבחן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חרף המשקל הרב שיש ליתן</w:t>
      </w:r>
      <w:r>
        <w:rPr>
          <w:rtl w:val="true"/>
        </w:rPr>
        <w:t xml:space="preserve">, </w:t>
      </w:r>
      <w:r>
        <w:rPr>
          <w:rtl w:val="true"/>
        </w:rPr>
        <w:t>דרך כלל</w:t>
      </w:r>
      <w:r>
        <w:rPr>
          <w:rtl w:val="true"/>
        </w:rPr>
        <w:t xml:space="preserve">, </w:t>
      </w:r>
      <w:r>
        <w:rPr>
          <w:rtl w:val="true"/>
        </w:rPr>
        <w:t>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ביִחוד בעניינם של קטינים</w:t>
      </w:r>
      <w:r>
        <w:rPr>
          <w:rtl w:val="true"/>
        </w:rPr>
        <w:t xml:space="preserve">, </w:t>
      </w:r>
      <w:r>
        <w:rPr>
          <w:rtl w:val="true"/>
        </w:rPr>
        <w:t xml:space="preserve">בסופו של </w:t>
      </w:r>
      <w:r>
        <w:rPr>
          <w:rtl w:val="true"/>
        </w:rPr>
        <w:t xml:space="preserve">דבר </w:t>
      </w:r>
      <w:r>
        <w:rPr>
          <w:rtl w:val="true"/>
        </w:rPr>
        <w:t>ההכרעה מוטלת על כתפי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ועליו לבסס אותה על מלוא השיקולים והאינטרסים הניצבים לפניו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207/16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איני מוצא כי מדובר בפגיעה קונקרטית וחריגה במשיב</w:t>
      </w:r>
      <w:r>
        <w:rPr>
          <w:rtl w:val="true"/>
        </w:rPr>
        <w:t xml:space="preserve">, </w:t>
      </w:r>
      <w:r>
        <w:rPr>
          <w:rtl w:val="true"/>
        </w:rPr>
        <w:t>שיש בה כדי לגבור על האינטרס החזק בהרשעתו</w:t>
      </w:r>
      <w:r>
        <w:rPr>
          <w:rtl w:val="true"/>
        </w:rPr>
        <w:t xml:space="preserve">. </w:t>
      </w:r>
      <w:r>
        <w:rPr>
          <w:rtl w:val="true"/>
        </w:rPr>
        <w:t>בהקשר זה אציין</w:t>
      </w:r>
      <w:r>
        <w:rPr>
          <w:rtl w:val="true"/>
        </w:rPr>
        <w:t xml:space="preserve">, </w:t>
      </w:r>
      <w:r>
        <w:rPr>
          <w:rtl w:val="true"/>
        </w:rPr>
        <w:t>כי קיים קושי אינהרנטי בטענה כי קביעה שיפוטית בדבר הרשעה תסב נזק כה קשה לתהליך השיקום</w:t>
      </w:r>
      <w:r>
        <w:rPr>
          <w:rtl w:val="true"/>
        </w:rPr>
        <w:t xml:space="preserve">, </w:t>
      </w:r>
      <w:r>
        <w:rPr>
          <w:rtl w:val="true"/>
        </w:rPr>
        <w:t>עד כדי איונו</w:t>
      </w:r>
      <w:r>
        <w:rPr>
          <w:rtl w:val="true"/>
        </w:rPr>
        <w:t xml:space="preserve">. </w:t>
      </w:r>
      <w:r>
        <w:rPr>
          <w:rtl w:val="true"/>
        </w:rPr>
        <w:t>מבלי להפחית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מן המורכבות והקושי אשר טמונים בשיקום ובהתמודדות עם חטאי העבר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אם אכן מדובר בתהליך שיקומי מעמיק ומשמעותי</w:t>
      </w:r>
      <w:r>
        <w:rPr>
          <w:rtl w:val="true"/>
        </w:rPr>
        <w:t xml:space="preserve">, </w:t>
      </w:r>
      <w:r>
        <w:rPr>
          <w:rtl w:val="true"/>
        </w:rPr>
        <w:t>כזה שמוצדק כי יובא בחשבון על</w:t>
      </w:r>
      <w:r>
        <w:rPr>
          <w:rtl w:val="true"/>
        </w:rPr>
        <w:t>-</w:t>
      </w:r>
      <w:r>
        <w:rPr>
          <w:rtl w:val="true"/>
        </w:rPr>
        <w:t>ידי בית המשפט – יהיה בו כדי לגלות עמידות</w:t>
      </w:r>
      <w:r>
        <w:rPr>
          <w:rtl w:val="true"/>
        </w:rPr>
        <w:t>-</w:t>
      </w:r>
      <w:r>
        <w:rPr>
          <w:rtl w:val="true"/>
        </w:rPr>
        <w:t>מה כלפי הכרעות שיפוטיות שונות</w:t>
      </w:r>
      <w:r>
        <w:rPr>
          <w:rtl w:val="true"/>
        </w:rPr>
        <w:t xml:space="preserve">, </w:t>
      </w:r>
      <w:r>
        <w:rPr>
          <w:rtl w:val="true"/>
        </w:rPr>
        <w:t>לרבות הרשעה</w:t>
      </w:r>
      <w:r>
        <w:rPr>
          <w:rtl w:val="true"/>
        </w:rPr>
        <w:t xml:space="preserve">, </w:t>
      </w:r>
      <w:r>
        <w:rPr>
          <w:rtl w:val="true"/>
        </w:rPr>
        <w:t xml:space="preserve">שלא כפי שעולה מטיעוני המשיב לפנינו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 xml:space="preserve">)).        </w:t>
      </w:r>
    </w:p>
    <w:p>
      <w:pPr>
        <w:pStyle w:val="Ruller41"/>
        <w:spacing w:lineRule="auto" w:line="240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לבד מן האמור</w:t>
      </w:r>
      <w:r>
        <w:rPr>
          <w:rtl w:val="true"/>
        </w:rPr>
        <w:t xml:space="preserve">, </w:t>
      </w:r>
      <w:r>
        <w:rPr>
          <w:rtl w:val="true"/>
        </w:rPr>
        <w:t>אני סבור כי המגבלות והכבלים שבהם נתון שופט בשר ודם</w:t>
      </w:r>
      <w:r>
        <w:rPr>
          <w:rtl w:val="true"/>
        </w:rPr>
        <w:t xml:space="preserve">, </w:t>
      </w:r>
      <w:r>
        <w:rPr>
          <w:rtl w:val="true"/>
        </w:rPr>
        <w:t>מחייבים את זה האחרון למו</w:t>
      </w:r>
      <w:r>
        <w:rPr>
          <w:rtl w:val="true"/>
        </w:rPr>
        <w:t>ֹ</w:t>
      </w:r>
      <w:r>
        <w:rPr>
          <w:rtl w:val="true"/>
        </w:rPr>
        <w:t>ד היטב את המשקל שיִנתן לתשובתם ולשיקומם של נאשמים</w:t>
      </w:r>
      <w:r>
        <w:rPr>
          <w:rtl w:val="true"/>
        </w:rPr>
        <w:t xml:space="preserve">, </w:t>
      </w:r>
      <w:r>
        <w:rPr>
          <w:rtl w:val="true"/>
        </w:rPr>
        <w:t>בבואו להכריע בדבר ענישתם או הרשעתם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תועלת רבה נוכל להפיק מארון הספרים היהודי</w:t>
      </w:r>
      <w:r>
        <w:rPr>
          <w:rtl w:val="true"/>
        </w:rPr>
        <w:t xml:space="preserve">, </w:t>
      </w:r>
      <w:r>
        <w:rPr>
          <w:rtl w:val="true"/>
        </w:rPr>
        <w:t xml:space="preserve">ומגישות המצויות בו </w:t>
      </w:r>
      <w:r>
        <w:rPr>
          <w:rtl w:val="true"/>
        </w:rPr>
        <w:t xml:space="preserve">על </w:t>
      </w:r>
      <w:r>
        <w:rPr>
          <w:rtl w:val="true"/>
        </w:rPr>
        <w:t>אודות היחס לתשובת החוטא</w:t>
      </w:r>
      <w:r>
        <w:rPr>
          <w:rtl w:val="true"/>
        </w:rPr>
        <w:t xml:space="preserve">. </w:t>
      </w:r>
      <w:r>
        <w:rPr>
          <w:rtl w:val="true"/>
        </w:rPr>
        <w:t>העמדות המגוונות שהובעו בעניין זה במשך הדורות</w:t>
      </w:r>
      <w:r>
        <w:rPr>
          <w:rtl w:val="true"/>
        </w:rPr>
        <w:t xml:space="preserve">, </w:t>
      </w:r>
      <w:r>
        <w:rPr>
          <w:rtl w:val="true"/>
        </w:rPr>
        <w:t>השפיעו השפעה ניכרת על הדין הישראלי בעניינים קרובים</w:t>
      </w:r>
      <w:r>
        <w:rPr>
          <w:rtl w:val="true"/>
        </w:rPr>
        <w:t xml:space="preserve">, </w:t>
      </w:r>
      <w:r>
        <w:rPr>
          <w:rtl w:val="true"/>
        </w:rPr>
        <w:t>והיוו השראה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לחקיקת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המידע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tl w:val="true"/>
        </w:rPr>
        <w:t xml:space="preserve">, </w:t>
      </w:r>
      <w:r>
        <w:rPr>
          <w:rtl w:val="true"/>
        </w:rPr>
        <w:t>ובשמו הקודם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המרשם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 xml:space="preserve">ח הממשלה </w:t>
      </w:r>
      <w:r>
        <w:rPr/>
        <w:t>1514</w:t>
      </w:r>
      <w:r>
        <w:rPr>
          <w:rtl w:val="true"/>
        </w:rPr>
        <w:t xml:space="preserve">, </w:t>
      </w:r>
      <w:r>
        <w:rPr/>
        <w:t>217-216</w:t>
      </w:r>
      <w:r>
        <w:rPr>
          <w:rtl w:val="true"/>
        </w:rPr>
        <w:t xml:space="preserve"> (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); </w:t>
      </w:r>
      <w:r>
        <w:rPr>
          <w:rtl w:val="true"/>
        </w:rPr>
        <w:t xml:space="preserve">נחום </w:t>
      </w:r>
      <w:hyperlink r:id="rId47">
        <w:r>
          <w:rPr>
            <w:rStyle w:val="Hyperlink"/>
            <w:color w:val="0000FF"/>
            <w:u w:val="single"/>
            <w:rtl w:val="true"/>
          </w:rPr>
          <w:t>רקובר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תקנת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מעמדו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tl w:val="true"/>
        </w:rPr>
        <w:t xml:space="preserve"> </w:t>
      </w:r>
      <w:r>
        <w:rPr/>
        <w:t>24-22</w:t>
      </w:r>
      <w:r>
        <w:rPr>
          <w:rtl w:val="true"/>
        </w:rPr>
        <w:t xml:space="preserve">, </w:t>
      </w:r>
      <w:r>
        <w:rPr/>
        <w:t>609-603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רקובר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עמדתי בעבר על הקושי שבו נתקל שכל אנוש</w:t>
      </w:r>
      <w:r>
        <w:rPr>
          <w:rtl w:val="true"/>
        </w:rPr>
        <w:t xml:space="preserve">, </w:t>
      </w:r>
      <w:r>
        <w:rPr>
          <w:rtl w:val="true"/>
        </w:rPr>
        <w:t>למקרא דברי חז</w:t>
      </w:r>
      <w:r>
        <w:rPr>
          <w:rtl w:val="true"/>
        </w:rPr>
        <w:t>"</w:t>
      </w:r>
      <w:r>
        <w:rPr>
          <w:rtl w:val="true"/>
        </w:rPr>
        <w:t>ל על מעלת התשובה</w:t>
      </w:r>
      <w:r>
        <w:rPr>
          <w:rtl w:val="true"/>
        </w:rPr>
        <w:t xml:space="preserve">, </w:t>
      </w:r>
      <w:r>
        <w:rPr>
          <w:rtl w:val="true"/>
        </w:rPr>
        <w:t xml:space="preserve">המעמידה את בעליה במקום שבו צדיקים גמורים אינם עומדים </w:t>
      </w:r>
      <w:r>
        <w:rPr>
          <w:rtl w:val="true"/>
        </w:rPr>
        <w:t>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ברכות לד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משנה תורה</w:t>
      </w:r>
      <w:r>
        <w:rPr>
          <w:rtl w:val="true"/>
        </w:rPr>
        <w:t xml:space="preserve">, </w:t>
      </w:r>
      <w:r>
        <w:rPr>
          <w:rtl w:val="true"/>
        </w:rPr>
        <w:t>הלכות תשובה ז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ובמקום אחר נאמר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שזדונות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כזכויות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יומא פו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כאשר אפילו הרהור תשובה – הרי הוא כבר כתשובה </w:t>
      </w:r>
      <w:r>
        <w:rPr>
          <w:rtl w:val="true"/>
        </w:rPr>
        <w:t>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קידושין מט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ראו עוד</w:t>
      </w:r>
      <w:r>
        <w:rPr>
          <w:rtl w:val="true"/>
        </w:rPr>
        <w:t xml:space="preserve">: </w:t>
      </w:r>
      <w:r>
        <w:rPr>
          <w:rtl w:val="true"/>
        </w:rPr>
        <w:t>חוות דעתי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2392/21</w:t>
        </w:r>
      </w:hyperlink>
      <w:r>
        <w:rPr>
          <w:rtl w:val="true"/>
        </w:rPr>
        <w:t xml:space="preserve">)); </w:t>
      </w:r>
      <w:r>
        <w:rPr>
          <w:rtl w:val="true"/>
        </w:rPr>
        <w:t xml:space="preserve">נעם סולברג </w:t>
      </w:r>
      <w:r>
        <w:rPr>
          <w:rtl w:val="true"/>
        </w:rPr>
        <w:t>"</w:t>
      </w:r>
      <w:r>
        <w:rPr>
          <w:rtl w:val="true"/>
        </w:rPr>
        <w:t>חרטה של נאשם – קלות התשובה וקשייה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והמרכז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בישראל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חרף הדברים הנשגבים שנזכרו לגבי התשובה במקורות המשפט העברי</w:t>
      </w:r>
      <w:r>
        <w:rPr>
          <w:rtl w:val="true"/>
        </w:rPr>
        <w:t xml:space="preserve">, </w:t>
      </w:r>
      <w:r>
        <w:rPr>
          <w:rtl w:val="true"/>
        </w:rPr>
        <w:t>אשר המובא לעיל מהווה אך מעט שבמעט מהם</w:t>
      </w:r>
      <w:r>
        <w:rPr>
          <w:rtl w:val="true"/>
        </w:rPr>
        <w:t xml:space="preserve">, </w:t>
      </w:r>
      <w:r>
        <w:rPr>
          <w:rtl w:val="true"/>
        </w:rPr>
        <w:t>נקבע גם 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התשובה אינה מועילה לחוטא כנגד ענישת בית דין </w:t>
      </w:r>
      <w:r>
        <w:rPr>
          <w:rtl w:val="true"/>
        </w:rPr>
        <w:t>'</w:t>
      </w:r>
      <w:r>
        <w:rPr>
          <w:rtl w:val="true"/>
        </w:rPr>
        <w:t>דלמטה</w:t>
      </w:r>
      <w:r>
        <w:rPr>
          <w:rtl w:val="true"/>
        </w:rPr>
        <w:t xml:space="preserve">', </w:t>
      </w:r>
      <w:r>
        <w:rPr>
          <w:rtl w:val="true"/>
        </w:rPr>
        <w:t>כך שחרף תשובתו</w:t>
      </w:r>
      <w:r>
        <w:rPr>
          <w:rtl w:val="true"/>
        </w:rPr>
        <w:t xml:space="preserve">, </w:t>
      </w:r>
      <w:r>
        <w:rPr>
          <w:rtl w:val="true"/>
        </w:rPr>
        <w:t>ותהיה המעולה שבמעולות – יִשא החוטא</w:t>
      </w:r>
      <w:r>
        <w:rPr>
          <w:rtl w:val="true"/>
        </w:rPr>
        <w:t>-</w:t>
      </w:r>
      <w:r>
        <w:rPr>
          <w:rtl w:val="true"/>
        </w:rPr>
        <w:t xml:space="preserve">השב בעונשו </w:t>
      </w:r>
      <w:r>
        <w:rPr>
          <w:rtl w:val="true"/>
        </w:rPr>
        <w:t>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מכות יג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רקובר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52-49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אאריך בהצעות שהועלו להסברת פער לכאורי זה</w:t>
      </w:r>
      <w:r>
        <w:rPr>
          <w:rtl w:val="true"/>
        </w:rPr>
        <w:t xml:space="preserve">, </w:t>
      </w:r>
      <w:r>
        <w:rPr>
          <w:rtl w:val="true"/>
        </w:rPr>
        <w:t>בין מידת א</w:t>
      </w:r>
      <w:r>
        <w:rPr>
          <w:rtl w:val="true"/>
        </w:rPr>
        <w:t>-</w:t>
      </w:r>
      <w:r>
        <w:rPr>
          <w:rtl w:val="true"/>
        </w:rPr>
        <w:t>לוה למידת בשר ודם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להשפעת התשובה על הענישה </w:t>
      </w:r>
      <w:r>
        <w:rPr>
          <w:rtl w:val="true"/>
        </w:rPr>
        <w:t>(</w:t>
      </w:r>
      <w:r>
        <w:rPr>
          <w:rtl w:val="true"/>
        </w:rPr>
        <w:t>ראו על כך</w:t>
      </w:r>
      <w:r>
        <w:rPr>
          <w:rtl w:val="true"/>
        </w:rPr>
        <w:t xml:space="preserve">, </w:t>
      </w:r>
      <w:r>
        <w:rPr>
          <w:rtl w:val="true"/>
        </w:rPr>
        <w:t>בהרחבה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83-57</w:t>
      </w:r>
      <w:r>
        <w:rPr>
          <w:rtl w:val="true"/>
        </w:rPr>
        <w:t xml:space="preserve">); </w:t>
      </w:r>
      <w:r>
        <w:rPr>
          <w:rtl w:val="true"/>
        </w:rPr>
        <w:t>אסתפק בשני הסברים מרכזיים</w:t>
      </w:r>
      <w:r>
        <w:rPr>
          <w:rtl w:val="true"/>
        </w:rPr>
        <w:t xml:space="preserve">, </w:t>
      </w:r>
      <w:r>
        <w:rPr>
          <w:rtl w:val="true"/>
        </w:rPr>
        <w:t>הרלבנטיים לענייננו</w:t>
      </w:r>
      <w:r>
        <w:rPr>
          <w:rtl w:val="true"/>
        </w:rPr>
        <w:t xml:space="preserve">, </w:t>
      </w:r>
      <w:r>
        <w:rPr>
          <w:rtl w:val="true"/>
        </w:rPr>
        <w:t>שהראשון להביאם היה ר</w:t>
      </w:r>
      <w:r>
        <w:rPr>
          <w:rtl w:val="true"/>
        </w:rPr>
        <w:t xml:space="preserve">' </w:t>
      </w:r>
      <w:r>
        <w:rPr>
          <w:rtl w:val="true"/>
        </w:rPr>
        <w:t>משה מטראני</w:t>
      </w:r>
      <w:r>
        <w:rPr>
          <w:rtl w:val="true"/>
        </w:rPr>
        <w:t xml:space="preserve">, </w:t>
      </w:r>
      <w:r>
        <w:rPr>
          <w:rtl w:val="true"/>
        </w:rPr>
        <w:t>המבי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חכם בן המאה ה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הסבר ראשון</w:t>
      </w:r>
      <w:r>
        <w:rPr>
          <w:rtl w:val="true"/>
        </w:rPr>
        <w:t xml:space="preserve">, </w:t>
      </w:r>
      <w:r>
        <w:rPr>
          <w:rtl w:val="true"/>
        </w:rPr>
        <w:t>עניינו בכך שהתשובה עדיין אינה מייתרת את הצורך בענישת בית דין בשר ודם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בוידוי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משה מטראני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61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מהדורת ווארשא תרמ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בסיבת הדבר</w:t>
      </w:r>
      <w:r>
        <w:rPr>
          <w:rtl w:val="true"/>
        </w:rPr>
        <w:t xml:space="preserve">, </w:t>
      </w:r>
      <w:r>
        <w:rPr>
          <w:rtl w:val="true"/>
        </w:rPr>
        <w:t xml:space="preserve">אבקש להציע – ברוח פרשנותו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רקובר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58</w:t>
      </w:r>
      <w:r>
        <w:rPr>
          <w:rtl w:val="true"/>
        </w:rPr>
        <w:t xml:space="preserve">) – </w:t>
      </w:r>
      <w:r>
        <w:rPr>
          <w:rtl w:val="true"/>
        </w:rPr>
        <w:t>כי אף לאחר פעולת התשובה</w:t>
      </w:r>
      <w:r>
        <w:rPr>
          <w:rtl w:val="true"/>
        </w:rPr>
        <w:t xml:space="preserve">, </w:t>
      </w:r>
      <w:r>
        <w:rPr>
          <w:rtl w:val="true"/>
        </w:rPr>
        <w:t>הממוקדת ביחסו המחשבתי של החוטא</w:t>
      </w:r>
      <w:r>
        <w:rPr>
          <w:rtl w:val="true"/>
        </w:rPr>
        <w:t>-</w:t>
      </w:r>
      <w:r>
        <w:rPr>
          <w:rtl w:val="true"/>
        </w:rPr>
        <w:t>השב לחטאי העבר</w:t>
      </w:r>
      <w:r>
        <w:rPr>
          <w:rtl w:val="true"/>
        </w:rPr>
        <w:t xml:space="preserve">, </w:t>
      </w:r>
      <w:r>
        <w:rPr>
          <w:rtl w:val="true"/>
        </w:rPr>
        <w:t>עדיין נותר מקום לענישה</w:t>
      </w:r>
      <w:r>
        <w:rPr>
          <w:rtl w:val="true"/>
        </w:rPr>
        <w:t xml:space="preserve">, </w:t>
      </w:r>
      <w:r>
        <w:rPr>
          <w:rtl w:val="true"/>
        </w:rPr>
        <w:t>שכן זו מבטאת התייחסות מסוימת למעשי העבר</w:t>
      </w:r>
      <w:r>
        <w:rPr>
          <w:rtl w:val="true"/>
        </w:rPr>
        <w:t xml:space="preserve">, </w:t>
      </w:r>
      <w:r>
        <w:rPr>
          <w:rtl w:val="true"/>
        </w:rPr>
        <w:t>ולרשמים שהותירו</w:t>
      </w:r>
      <w:r>
        <w:rPr>
          <w:rtl w:val="true"/>
        </w:rPr>
        <w:t xml:space="preserve">, </w:t>
      </w:r>
      <w:r>
        <w:rPr>
          <w:rtl w:val="true"/>
        </w:rPr>
        <w:t>גם בעולם המעשה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הכורכת עִמה גינוי למעשי החוטא</w:t>
      </w:r>
      <w:r>
        <w:rPr>
          <w:rtl w:val="true"/>
        </w:rPr>
        <w:t xml:space="preserve">, </w:t>
      </w:r>
      <w:r>
        <w:rPr>
          <w:rtl w:val="true"/>
        </w:rPr>
        <w:t>נוטלת אפוא חלק בעיצוב יחסוֹ להתנהגותו העבריינית שבעבר</w:t>
      </w:r>
      <w:r>
        <w:rPr>
          <w:rtl w:val="true"/>
        </w:rPr>
        <w:t xml:space="preserve">, </w:t>
      </w:r>
      <w:r>
        <w:rPr>
          <w:rtl w:val="true"/>
        </w:rPr>
        <w:t>ומכוח זאת ביכולתה להועיל לו גם לאימוץ דרכו השונה</w:t>
      </w:r>
      <w:r>
        <w:rPr>
          <w:rtl w:val="true"/>
        </w:rPr>
        <w:t xml:space="preserve">, </w:t>
      </w:r>
      <w:r>
        <w:rPr>
          <w:rtl w:val="true"/>
        </w:rPr>
        <w:t>בהווה ובעתיד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סבורני כי לא זו בלבד שאין לקבל גישה שלפיה עצם ההרשעה מנוגדת לשיקולי שיקום</w:t>
      </w:r>
      <w:r>
        <w:rPr>
          <w:rtl w:val="true"/>
        </w:rPr>
        <w:t xml:space="preserve">, </w:t>
      </w:r>
      <w:r>
        <w:rPr>
          <w:rtl w:val="true"/>
        </w:rPr>
        <w:t>אלא שלפחות בהיבטים מסוימים – יש בה אפילו כדי לתרום לתהליך השיקומי</w:t>
      </w:r>
      <w:r>
        <w:rPr>
          <w:rtl w:val="true"/>
        </w:rPr>
        <w:t xml:space="preserve">; </w:t>
      </w:r>
      <w:r>
        <w:rPr>
          <w:rtl w:val="true"/>
        </w:rPr>
        <w:t>להעמיק וגם להשלים את היחס הראוי למעשי העבר</w:t>
      </w:r>
      <w:r>
        <w:rPr>
          <w:rtl w:val="true"/>
        </w:rPr>
        <w:t xml:space="preserve">, </w:t>
      </w:r>
      <w:r>
        <w:rPr>
          <w:rtl w:val="true"/>
        </w:rPr>
        <w:t>על נזקיהם ועל פגיעתם</w:t>
      </w:r>
      <w:r>
        <w:rPr>
          <w:rtl w:val="true"/>
        </w:rPr>
        <w:t xml:space="preserve">. </w:t>
      </w:r>
      <w:r>
        <w:rPr>
          <w:rtl w:val="true"/>
        </w:rPr>
        <w:t>מעשים חמורים אלה</w:t>
      </w:r>
      <w:r>
        <w:rPr>
          <w:rtl w:val="true"/>
        </w:rPr>
        <w:t xml:space="preserve">, </w:t>
      </w:r>
      <w:r>
        <w:rPr>
          <w:rtl w:val="true"/>
        </w:rPr>
        <w:t>שוּמה עלינו לזכור</w:t>
      </w:r>
      <w:r>
        <w:rPr>
          <w:rtl w:val="true"/>
        </w:rPr>
        <w:t xml:space="preserve">, </w:t>
      </w:r>
      <w:r>
        <w:rPr>
          <w:rtl w:val="true"/>
        </w:rPr>
        <w:t>אינם נעלמים ואינם נמחקים</w:t>
      </w:r>
      <w:r>
        <w:rPr>
          <w:rtl w:val="true"/>
        </w:rPr>
        <w:t xml:space="preserve">, </w:t>
      </w:r>
      <w:r>
        <w:rPr>
          <w:rtl w:val="true"/>
        </w:rPr>
        <w:t>מותירים הם רושם בחיי המעשה</w:t>
      </w:r>
      <w:r>
        <w:rPr>
          <w:rtl w:val="true"/>
        </w:rPr>
        <w:t xml:space="preserve">, </w:t>
      </w:r>
      <w:r>
        <w:rPr>
          <w:rtl w:val="true"/>
        </w:rPr>
        <w:t>בנאשם ובקרבן העבירה</w:t>
      </w:r>
      <w:r>
        <w:rPr>
          <w:rtl w:val="true"/>
        </w:rPr>
        <w:t xml:space="preserve">. </w:t>
      </w:r>
      <w:r>
        <w:rPr>
          <w:rtl w:val="true"/>
        </w:rPr>
        <w:t>הסבר שני המובא אצל המבי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נוגע למוגבלות התפיסה האנושית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יכולין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לחקור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ליבו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גמר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בלבו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לאו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המבי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בהקשר זה ציינתי לא מכבר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ובתמים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בתשובה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2392/21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להמשגה קרובה של הטעמים הנזכרים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232/16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הדעת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8.5.2016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כללו של דבר</w:t>
      </w:r>
      <w:r>
        <w:rPr>
          <w:rtl w:val="true"/>
        </w:rPr>
        <w:t xml:space="preserve">: </w:t>
      </w:r>
      <w:r>
        <w:rPr>
          <w:rtl w:val="true"/>
        </w:rPr>
        <w:t>חרף משיכת הלב לסייע ככל הניתן לחוטא</w:t>
      </w:r>
      <w:r>
        <w:rPr>
          <w:rtl w:val="true"/>
        </w:rPr>
        <w:t>-</w:t>
      </w:r>
      <w:r>
        <w:rPr>
          <w:rtl w:val="true"/>
        </w:rPr>
        <w:t>השב</w:t>
      </w:r>
      <w:r>
        <w:rPr>
          <w:rtl w:val="true"/>
        </w:rPr>
        <w:t xml:space="preserve">, </w:t>
      </w:r>
      <w:r>
        <w:rPr>
          <w:rtl w:val="true"/>
        </w:rPr>
        <w:t>ובכלל זאת אף להימנע מהרשעתו או מענישתו</w:t>
      </w:r>
      <w:r>
        <w:rPr>
          <w:rtl w:val="true"/>
        </w:rPr>
        <w:t xml:space="preserve">, </w:t>
      </w:r>
      <w:r>
        <w:rPr>
          <w:rtl w:val="true"/>
        </w:rPr>
        <w:t>סבורני כי טעמים כבדי</w:t>
      </w:r>
      <w:r>
        <w:rPr>
          <w:rtl w:val="true"/>
        </w:rPr>
        <w:t>-</w:t>
      </w:r>
      <w:r>
        <w:rPr>
          <w:rtl w:val="true"/>
        </w:rPr>
        <w:t>משקל מורים לנו לנקוט לגבי צעדים מעין אלה משנה זהירות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למרות הרצון שלא לרפות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את ידי המשיב</w:t>
      </w:r>
      <w:r>
        <w:rPr>
          <w:rtl w:val="true"/>
        </w:rPr>
        <w:t xml:space="preserve">, </w:t>
      </w:r>
      <w:r>
        <w:rPr>
          <w:rtl w:val="true"/>
        </w:rPr>
        <w:t>שעשה עד כה דרך שיקומית משמעותית</w:t>
      </w:r>
      <w:r>
        <w:rPr>
          <w:rtl w:val="true"/>
        </w:rPr>
        <w:t xml:space="preserve">, </w:t>
      </w:r>
      <w:r>
        <w:rPr>
          <w:rtl w:val="true"/>
        </w:rPr>
        <w:t>שיש אך לקוות כי יוסיף לילך בה</w:t>
      </w:r>
      <w:r>
        <w:rPr>
          <w:rtl w:val="true"/>
        </w:rPr>
        <w:t xml:space="preserve">, </w:t>
      </w:r>
      <w:r>
        <w:rPr>
          <w:rtl w:val="true"/>
        </w:rPr>
        <w:t>סבורני כי מעשיו הקשים – אינם מותירים בידינו ברירה</w:t>
      </w:r>
      <w:r>
        <w:rPr>
          <w:rtl w:val="true"/>
        </w:rPr>
        <w:t xml:space="preserve">. </w:t>
      </w:r>
      <w:r>
        <w:rPr>
          <w:rtl w:val="true"/>
        </w:rPr>
        <w:t>הבחירה להסתפק בדרכי טיפול</w:t>
      </w:r>
      <w:r>
        <w:rPr>
          <w:rtl w:val="true"/>
        </w:rPr>
        <w:t xml:space="preserve">, </w:t>
      </w:r>
      <w:r>
        <w:rPr>
          <w:rtl w:val="true"/>
        </w:rPr>
        <w:t>מבלי שהמשיב יִשא עונש מאחורי סורג ובריח</w:t>
      </w:r>
      <w:r>
        <w:rPr>
          <w:rtl w:val="true"/>
        </w:rPr>
        <w:t xml:space="preserve">, </w:t>
      </w:r>
      <w:r>
        <w:rPr>
          <w:rtl w:val="true"/>
        </w:rPr>
        <w:t>מהווה לטעמי התחשבות ראויה ומספקת בתהליך השיקום המבורך שעשה עד כה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מהרשעתו – לא נוכל להימנע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 לחברַי כי נקבל את הערעור</w:t>
      </w:r>
      <w:r>
        <w:rPr>
          <w:rtl w:val="true"/>
        </w:rPr>
        <w:t xml:space="preserve">, </w:t>
      </w:r>
      <w:r>
        <w:rPr>
          <w:rtl w:val="true"/>
        </w:rPr>
        <w:t>במובן זה שהנאשם יורשע במעשים שנקבע כי אותם ביצע</w:t>
      </w:r>
      <w:r>
        <w:rPr>
          <w:rtl w:val="true"/>
        </w:rPr>
        <w:t xml:space="preserve">, </w:t>
      </w:r>
      <w:r>
        <w:rPr>
          <w:rtl w:val="true"/>
        </w:rPr>
        <w:t>תוך שדרכי הטיפול שאותן קבע בעניינו בית המשפט המחוזי – תיוותרנה על כנן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 נחמיר בעונשו</w:t>
      </w:r>
      <w:r>
        <w:rPr>
          <w:rtl w:val="true"/>
        </w:rPr>
        <w:t xml:space="preserve">, </w:t>
      </w:r>
      <w:r>
        <w:rPr>
          <w:rtl w:val="true"/>
        </w:rPr>
        <w:t>לבד מעצם ההרשעה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עיינתי בפסק דינו המקיף והרגיש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והנני מסכים לנימוקיו ולתוצאה שבסופו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לא יהיה זה מיותר להדגיש כי גם לאחר קבלת ערעור המאשימה לעניין אי הרשעתו של המשיב</w:t>
      </w:r>
      <w:r>
        <w:rPr>
          <w:rtl w:val="true"/>
        </w:rPr>
        <w:t xml:space="preserve">, </w:t>
      </w:r>
      <w:r>
        <w:rPr>
          <w:rtl w:val="true"/>
        </w:rPr>
        <w:t>התוצאה היוצאת תחת ידינו</w:t>
      </w:r>
      <w:r>
        <w:rPr>
          <w:rtl w:val="true"/>
        </w:rPr>
        <w:t xml:space="preserve">, </w:t>
      </w:r>
      <w:r>
        <w:rPr>
          <w:rtl w:val="true"/>
        </w:rPr>
        <w:t>במסגרת ערעור זה</w:t>
      </w:r>
      <w:r>
        <w:rPr>
          <w:rtl w:val="true"/>
        </w:rPr>
        <w:t xml:space="preserve">, </w:t>
      </w:r>
      <w:r>
        <w:rPr>
          <w:rtl w:val="true"/>
        </w:rPr>
        <w:t>מקלה עד מאוד עם המשיב</w:t>
      </w:r>
      <w:r>
        <w:rPr>
          <w:rtl w:val="true"/>
        </w:rPr>
        <w:t xml:space="preserve">, </w:t>
      </w:r>
      <w:r>
        <w:rPr>
          <w:rtl w:val="true"/>
        </w:rPr>
        <w:t>לאור חומרתן היתרה של העבירות בהן הורשע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16.6.2020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5962/11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2.5.2012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9.9.2009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",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חסד עשתה המאשימה עם המשיב כאשר בחרה בתיק דנן</w:t>
      </w:r>
      <w:r>
        <w:rPr>
          <w:rtl w:val="true"/>
        </w:rPr>
        <w:t xml:space="preserve">, </w:t>
      </w:r>
      <w:r>
        <w:rPr>
          <w:rtl w:val="true"/>
        </w:rPr>
        <w:t>בשל נסיבותיו המיוחדות</w:t>
      </w:r>
      <w:r>
        <w:rPr>
          <w:rtl w:val="true"/>
        </w:rPr>
        <w:t xml:space="preserve">, </w:t>
      </w:r>
      <w:r>
        <w:rPr>
          <w:rtl w:val="true"/>
        </w:rPr>
        <w:t>עוד בעת שהציגה את עמדתה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tl w:val="true"/>
        </w:rPr>
        <w:t xml:space="preserve">, </w:t>
      </w:r>
      <w:r>
        <w:rPr>
          <w:rtl w:val="true"/>
        </w:rPr>
        <w:t>בצד הרשעה</w:t>
      </w:r>
      <w:r>
        <w:rPr>
          <w:rtl w:val="true"/>
        </w:rPr>
        <w:t xml:space="preserve">, </w:t>
      </w:r>
      <w:r>
        <w:rPr>
          <w:rtl w:val="true"/>
        </w:rPr>
        <w:t xml:space="preserve">עונש מקל </w:t>
      </w:r>
      <w:r>
        <w:rPr>
          <w:rtl w:val="true"/>
        </w:rPr>
        <w:t>(</w:t>
      </w:r>
      <w:r>
        <w:rPr>
          <w:rtl w:val="true"/>
        </w:rPr>
        <w:t>מאוד</w:t>
      </w:r>
      <w:r>
        <w:rPr>
          <w:rtl w:val="true"/>
        </w:rPr>
        <w:t xml:space="preserve">) </w:t>
      </w:r>
      <w:r>
        <w:rPr>
          <w:rtl w:val="true"/>
        </w:rPr>
        <w:t>של מאסר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אין זו עמדה הברורה מאליה כלל ועיקר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קשוחה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הימנה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קיצורם של דברים</w:t>
      </w:r>
      <w:r>
        <w:rPr>
          <w:rtl w:val="true"/>
        </w:rPr>
        <w:t xml:space="preserve">: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הנני מצטרף לפסק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20.12.2022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22030690</w:t>
      </w:r>
      <w:r>
        <w:rPr>
          <w:sz w:val="16"/>
          <w:rtl w:val="true"/>
        </w:rPr>
        <w:t>_</w:t>
      </w:r>
      <w:r>
        <w:rPr>
          <w:sz w:val="16"/>
        </w:rPr>
        <w:t>O07.docx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</w:t>
      </w:r>
      <w:r>
        <w:rPr>
          <w:rtl w:val="true"/>
        </w:rPr>
        <w:t>י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54678313-3069/22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3069/22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162317" TargetMode="External"/><Relationship Id="rId3" Type="http://schemas.openxmlformats.org/officeDocument/2006/relationships/hyperlink" Target="http://www.nevo.co.il/safrut/bookgroup/1247" TargetMode="External"/><Relationship Id="rId4" Type="http://schemas.openxmlformats.org/officeDocument/2006/relationships/hyperlink" Target="http://www.nevo.co.il/safrut/bookgroup/1247" TargetMode="External"/><Relationship Id="rId5" Type="http://schemas.openxmlformats.org/officeDocument/2006/relationships/hyperlink" Target="http://www.nevo.co.il/law/70348" TargetMode="External"/><Relationship Id="rId6" Type="http://schemas.openxmlformats.org/officeDocument/2006/relationships/hyperlink" Target="http://www.nevo.co.il/law/70348/24" TargetMode="External"/><Relationship Id="rId7" Type="http://schemas.openxmlformats.org/officeDocument/2006/relationships/hyperlink" Target="http://www.nevo.co.il/law/70348/24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e" TargetMode="External"/><Relationship Id="rId11" Type="http://schemas.openxmlformats.org/officeDocument/2006/relationships/hyperlink" Target="http://www.nevo.co.il/law/159619" TargetMode="External"/><Relationship Id="rId12" Type="http://schemas.openxmlformats.org/officeDocument/2006/relationships/hyperlink" Target="http://www.nevo.co.il/law/70302" TargetMode="External"/><Relationship Id="rId13" Type="http://schemas.openxmlformats.org/officeDocument/2006/relationships/hyperlink" Target="http://www.nevo.co.il/case/25380374" TargetMode="External"/><Relationship Id="rId14" Type="http://schemas.openxmlformats.org/officeDocument/2006/relationships/hyperlink" Target="http://www.nevo.co.il/case/25380374" TargetMode="External"/><Relationship Id="rId15" Type="http://schemas.openxmlformats.org/officeDocument/2006/relationships/hyperlink" Target="http://www.nevo.co.il/law/70348/24" TargetMode="External"/><Relationship Id="rId16" Type="http://schemas.openxmlformats.org/officeDocument/2006/relationships/hyperlink" Target="http://www.nevo.co.il/law/70348" TargetMode="External"/><Relationship Id="rId17" Type="http://schemas.openxmlformats.org/officeDocument/2006/relationships/hyperlink" Target="http://www.nevo.co.il/law/70301/351.a" TargetMode="External"/><Relationship Id="rId18" Type="http://schemas.openxmlformats.org/officeDocument/2006/relationships/hyperlink" Target="http://www.nevo.co.il/law/70301/351.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6162317" TargetMode="External"/><Relationship Id="rId21" Type="http://schemas.openxmlformats.org/officeDocument/2006/relationships/hyperlink" Target="http://www.nevo.co.il/law/70348/24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01/351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48/24" TargetMode="External"/><Relationship Id="rId26" Type="http://schemas.openxmlformats.org/officeDocument/2006/relationships/hyperlink" Target="http://www.nevo.co.il/law/70348/24.2" TargetMode="External"/><Relationship Id="rId27" Type="http://schemas.openxmlformats.org/officeDocument/2006/relationships/hyperlink" Target="http://www.nevo.co.il/law/70348/24" TargetMode="External"/><Relationship Id="rId28" Type="http://schemas.openxmlformats.org/officeDocument/2006/relationships/hyperlink" Target="http://www.nevo.co.il/case/11309002" TargetMode="External"/><Relationship Id="rId29" Type="http://schemas.openxmlformats.org/officeDocument/2006/relationships/hyperlink" Target="http://www.nevo.co.il/case/5810781" TargetMode="External"/><Relationship Id="rId30" Type="http://schemas.openxmlformats.org/officeDocument/2006/relationships/hyperlink" Target="http://www.nevo.co.il/case/26012800" TargetMode="External"/><Relationship Id="rId31" Type="http://schemas.openxmlformats.org/officeDocument/2006/relationships/hyperlink" Target="http://www.nevo.co.il/case/20924175" TargetMode="External"/><Relationship Id="rId32" Type="http://schemas.openxmlformats.org/officeDocument/2006/relationships/hyperlink" Target="http://www.nevo.co.il/case/6239005" TargetMode="External"/><Relationship Id="rId33" Type="http://schemas.openxmlformats.org/officeDocument/2006/relationships/hyperlink" Target="http://www.nevo.co.il/case/22317656" TargetMode="External"/><Relationship Id="rId34" Type="http://schemas.openxmlformats.org/officeDocument/2006/relationships/hyperlink" Target="http://www.nevo.co.il/case/28738626" TargetMode="External"/><Relationship Id="rId35" Type="http://schemas.openxmlformats.org/officeDocument/2006/relationships/hyperlink" Target="http://www.nevo.co.il/case/26146713" TargetMode="External"/><Relationship Id="rId36" Type="http://schemas.openxmlformats.org/officeDocument/2006/relationships/hyperlink" Target="http://www.nevo.co.il/case/6207178" TargetMode="External"/><Relationship Id="rId37" Type="http://schemas.openxmlformats.org/officeDocument/2006/relationships/hyperlink" Target="http://www.nevo.co.il/law/70301/351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51.e" TargetMode="External"/><Relationship Id="rId40" Type="http://schemas.openxmlformats.org/officeDocument/2006/relationships/hyperlink" Target="http://www.nevo.co.il/case/26462148" TargetMode="External"/><Relationship Id="rId41" Type="http://schemas.openxmlformats.org/officeDocument/2006/relationships/hyperlink" Target="http://www.nevo.co.il/case/20891752" TargetMode="External"/><Relationship Id="rId42" Type="http://schemas.openxmlformats.org/officeDocument/2006/relationships/hyperlink" Target="http://www.nevo.co.il/case/10442463" TargetMode="External"/><Relationship Id="rId43" Type="http://schemas.openxmlformats.org/officeDocument/2006/relationships/hyperlink" Target="http://www.nevo.co.il/case/11309002" TargetMode="External"/><Relationship Id="rId44" Type="http://schemas.openxmlformats.org/officeDocument/2006/relationships/hyperlink" Target="http://www.nevo.co.il/case/27529712" TargetMode="External"/><Relationship Id="rId45" Type="http://schemas.openxmlformats.org/officeDocument/2006/relationships/hyperlink" Target="http://www.nevo.co.il/law/159619" TargetMode="External"/><Relationship Id="rId46" Type="http://schemas.openxmlformats.org/officeDocument/2006/relationships/hyperlink" Target="http://www.nevo.co.il/law/70302" TargetMode="External"/><Relationship Id="rId47" Type="http://schemas.openxmlformats.org/officeDocument/2006/relationships/hyperlink" Target="http://www.nevo.co.il/safrut/bookgroup/1247" TargetMode="External"/><Relationship Id="rId48" Type="http://schemas.openxmlformats.org/officeDocument/2006/relationships/hyperlink" Target="http://www.nevo.co.il/case/27525981" TargetMode="External"/><Relationship Id="rId49" Type="http://schemas.openxmlformats.org/officeDocument/2006/relationships/hyperlink" Target="http://www.nevo.co.il/case/27525981" TargetMode="External"/><Relationship Id="rId50" Type="http://schemas.openxmlformats.org/officeDocument/2006/relationships/hyperlink" Target="http://www.nevo.co.il/case/27525981" TargetMode="External"/><Relationship Id="rId51" Type="http://schemas.openxmlformats.org/officeDocument/2006/relationships/hyperlink" Target="http://www.nevo.co.il/case/20874314" TargetMode="External"/><Relationship Id="rId52" Type="http://schemas.openxmlformats.org/officeDocument/2006/relationships/hyperlink" Target="http://www.nevo.co.il/case/20493070" TargetMode="External"/><Relationship Id="rId53" Type="http://schemas.openxmlformats.org/officeDocument/2006/relationships/hyperlink" Target="http://www.nevo.co.il/case/6246738" TargetMode="External"/><Relationship Id="rId54" Type="http://schemas.openxmlformats.org/officeDocument/2006/relationships/hyperlink" Target="http://www.nevo.co.il/case/6245736" TargetMode="External"/><Relationship Id="rId55" Type="http://schemas.openxmlformats.org/officeDocument/2006/relationships/hyperlink" Target="http://www.nevo.co.il/law/70301/351.e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s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2023-01-23T14:35:00Z</dcterms:created>
  <dc:creator>h4</dc:creator>
  <dc:description/>
  <cp:keywords/>
  <dc:language>en-IL</dc:language>
  <cp:lastModifiedBy>hofit</cp:lastModifiedBy>
  <cp:lastPrinted>2022-12-20T11:01:00Z</cp:lastPrinted>
  <dcterms:modified xsi:type="dcterms:W3CDTF">2023-01-23T14:35:00Z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1247</vt:lpwstr>
  </property>
  <property fmtid="{D5CDD505-2E9C-101B-9397-08002B2CF9AE}" pid="9" name="CASESLISTTMP1">
    <vt:lpwstr>26162317:2;11309002:2;5810781;26012800;20924175;6239005;22317656;28738626;26146713;6207178;26462148;20891752;10442463;27529712;27525981:3;20874314;20493070;6246738;6245736</vt:lpwstr>
  </property>
  <property fmtid="{D5CDD505-2E9C-101B-9397-08002B2CF9AE}" pid="10" name="CITY">
    <vt:lpwstr/>
  </property>
  <property fmtid="{D5CDD505-2E9C-101B-9397-08002B2CF9AE}" pid="11" name="DATE">
    <vt:lpwstr>20221220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סולברג;ג' כנפי שטייניץ;י' כשר</vt:lpwstr>
  </property>
  <property fmtid="{D5CDD505-2E9C-101B-9397-08002B2CF9AE}" pid="15" name="LAWLISTTMP1">
    <vt:lpwstr>70348/024:3;024.2</vt:lpwstr>
  </property>
  <property fmtid="{D5CDD505-2E9C-101B-9397-08002B2CF9AE}" pid="16" name="LAWLISTTMP2">
    <vt:lpwstr>70301/351.a:2;351.e:2</vt:lpwstr>
  </property>
  <property fmtid="{D5CDD505-2E9C-101B-9397-08002B2CF9AE}" pid="17" name="LAWLISTTMP3">
    <vt:lpwstr>159619</vt:lpwstr>
  </property>
  <property fmtid="{D5CDD505-2E9C-101B-9397-08002B2CF9AE}" pid="18" name="LAWLISTTMP4">
    <vt:lpwstr>70302</vt:lpwstr>
  </property>
  <property fmtid="{D5CDD505-2E9C-101B-9397-08002B2CF9AE}" pid="19" name="LAWYER">
    <vt:lpwstr>מורן לוי;דיאנה זפרני;נגה בן סידי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נוער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>עונשין</vt:lpwstr>
  </property>
  <property fmtid="{D5CDD505-2E9C-101B-9397-08002B2CF9AE}" pid="34" name="NOSE14">
    <vt:lpwstr>נוער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65;18;77;65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הרשעה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1296;465;1446;1296</vt:lpwstr>
  </property>
  <property fmtid="{D5CDD505-2E9C-101B-9397-08002B2CF9AE}" pid="52" name="NOSE31">
    <vt:lpwstr>הרשעה</vt:lpwstr>
  </property>
  <property fmtid="{D5CDD505-2E9C-101B-9397-08002B2CF9AE}" pid="53" name="NOSE310">
    <vt:lpwstr/>
  </property>
  <property fmtid="{D5CDD505-2E9C-101B-9397-08002B2CF9AE}" pid="54" name="NOSE32">
    <vt:lpwstr>הימנעות מהרשעה</vt:lpwstr>
  </property>
  <property fmtid="{D5CDD505-2E9C-101B-9397-08002B2CF9AE}" pid="55" name="NOSE33">
    <vt:lpwstr>מדיניות ענישה: שיקום</vt:lpwstr>
  </property>
  <property fmtid="{D5CDD505-2E9C-101B-9397-08002B2CF9AE}" pid="56" name="NOSE34">
    <vt:lpwstr>שיקול בית-המשפט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7904;3634;14346;7907</vt:lpwstr>
  </property>
  <property fmtid="{D5CDD505-2E9C-101B-9397-08002B2CF9AE}" pid="63" name="PADIDATE">
    <vt:lpwstr>20221221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3069</vt:lpwstr>
  </property>
  <property fmtid="{D5CDD505-2E9C-101B-9397-08002B2CF9AE}" pid="69" name="PROCYEAR">
    <vt:lpwstr>22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410120221220</vt:lpwstr>
  </property>
  <property fmtid="{D5CDD505-2E9C-101B-9397-08002B2CF9AE}" pid="73" name="TYPE_N_DATE">
    <vt:lpwstr>41020221220</vt:lpwstr>
  </property>
  <property fmtid="{D5CDD505-2E9C-101B-9397-08002B2CF9AE}" pid="74" name="VOLUME">
    <vt:lpwstr/>
  </property>
  <property fmtid="{D5CDD505-2E9C-101B-9397-08002B2CF9AE}" pid="75" name="WORDNUMPAGES">
    <vt:lpwstr>14</vt:lpwstr>
  </property>
</Properties>
</file>