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6"/>
          <w:szCs w:val="10"/>
        </w:rPr>
      </w:pPr>
      <w:r>
        <w:rPr>
          <w:rFonts w:cs="Miriam"/>
          <w:b/>
          <w:bCs/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3092/20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נאצר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1.3.2020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רובין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62883-10-18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5.11.2020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10"/>
          <w:szCs w:val="14"/>
        </w:rPr>
      </w:pPr>
      <w:r>
        <w:rPr>
          <w:rFonts w:cs="FrankRuehl" w:ascii="FrankRuehl" w:hAnsi="FrankRuehl"/>
          <w:color w:val="0000FF"/>
          <w:sz w:val="10"/>
          <w:szCs w:val="1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מצא מקום להתערב בעונש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 w:val="24"/>
          <w:szCs w:val="26"/>
        </w:rPr>
        <w:t>78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בעבירות הריגה ופציעה בנסיבות מחמירות שנגרמו כתוצאה משימוש בסכין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עמד על הצורך לעקור מן השורש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תרבות הסכין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התחשב בכל הנסיבות להן טען המערער ושיקלל אותן בעת קביעת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אף אין מקום להתערב בשיעור הפיצוי שנפסק לנפגעי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תופעת הסכינאות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במסגרתו נדון המערער לעונש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78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בניכוי תקופת מעצרו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ותשלום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לאחר שהורשע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הודאתו במיוחס לו בכתב אישום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של הריגה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298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ופציעה בנסיבות מחמירות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334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בצירוף סעיף </w:t>
      </w:r>
      <w:r>
        <w:rPr>
          <w:rFonts w:cs="Times New Roman" w:ascii="Times New Roman" w:hAnsi="Times New Roman"/>
          <w:spacing w:val="0"/>
          <w:sz w:val="24"/>
          <w:szCs w:val="26"/>
        </w:rPr>
        <w:t>335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ברון ובהסכמת השופטים אלרון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אינו נמנה עם המקרים החריגים המצדיקים את התערבות ערכאת הערעור בגזר הדין כפי שנקבע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העונש שהוטל על המערער ראוי והולם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על פי הודאתו בעבירות של הריגה ופציעה בנסיבות מחמירות שנגרמו כתוצאה משימוש בסכין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נפסק בדבר הצורך לעקור מן השורש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תרבות הסכין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הטומנת בחובה פוטנציאל לנזק רב ומצדיקה נקיטה באמצעי ענישה מחמירים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והדברים נכונים ביתר שאת מקום שבו הסיכון התממש במלוא 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בסכסוך של מה בכך בין משפחות שהוביל לתוצאה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כי שומה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להעביר מסר חד וברור לגבי החומרה הרבה הנודעת לשימוש באלימות כאמצעי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סכסוכים ממין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טענות המערער מופנות כנגד המשקל המצומצם שניתן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לנסיבות ביצוע העבירה וכן לנסיבות חייו שאינן קשורות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התחשב במפורש בכל אותן הנסיבות שהמערער טוען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ושיקלל אותן בעת קביעת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וקבע כי יש למקם את עונש המאסר של המערער בחלק התחתון של מתחם הענישה שנקבע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אכן 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מנעד הענישה בגין הרשעה בעבירות הריגה ופציעה בנסיבות מחמירות הוא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מקרה ונסיבותיו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וכפי שהוברר הנסיבות במקרה זה אינן מצדיקות התערבות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לעטווה שנערכה בין המשפחות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בגדרה שילמה משפחת המערער סכום כסף למשפחת המנוח ולמשפחת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ומשפחת המערער אף עזבה את שכונת מגוריה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ולטענת המערער שלפיה ראוי היה להפחית גם את הפיצוי הכספי שהוטל עליו בשל התשלום שהעבירה משפחתו במסגרת העטווה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שבדין ניתן משקל מוגבל לטענה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 שלא הובאו לכך תימוכין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התוצאה הקטלנית של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והפגיעה הקשה בבני משפחתו של המנוח שנושאים עמם את כאב האובדן שלא נותן מנוח ונדרשים להתמודדות עם מעמסה רגשית ומצוקה כלכלית גם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מקום להתערב בפיצוי שנפסק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10"/>
          <w:szCs w:val="14"/>
        </w:rPr>
      </w:pPr>
      <w:r>
        <w:rPr>
          <w:rFonts w:cs="Times New Roman"/>
          <w:spacing w:val="0"/>
          <w:sz w:val="10"/>
          <w:szCs w:val="14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62883-10-18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1.3.2020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16"/>
          <w:szCs w:val="22"/>
        </w:rPr>
      </w:pPr>
      <w:r>
        <w:rPr>
          <w:rFonts w:cs="Miriam" w:ascii="Century" w:hAnsi="Century"/>
          <w:b/>
          <w:spacing w:val="0"/>
          <w:sz w:val="16"/>
          <w:szCs w:val="22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8.10.2018</w:t>
      </w:r>
      <w:r>
        <w:rPr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ו</w:t>
      </w:r>
      <w:r>
        <w:rPr>
          <w:rtl w:val="true"/>
        </w:rPr>
        <w:t>ואדי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נסאר</w:t>
      </w:r>
      <w:r>
        <w:rPr>
          <w:rtl w:val="true"/>
        </w:rPr>
        <w:t xml:space="preserve">. </w:t>
      </w:r>
      <w:r>
        <w:rPr>
          <w:rtl w:val="true"/>
        </w:rPr>
        <w:t>בקטטה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. </w:t>
      </w:r>
      <w:r>
        <w:rPr>
          <w:rtl w:val="true"/>
        </w:rPr>
        <w:t>המתקוטטים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באלות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ובסכינים</w:t>
      </w:r>
      <w:r>
        <w:rPr>
          <w:rtl w:val="true"/>
        </w:rPr>
        <w:t xml:space="preserve">, </w:t>
      </w:r>
      <w:r>
        <w:rPr>
          <w:rtl w:val="true"/>
        </w:rPr>
        <w:t>והכו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ומוטות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נעמאן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אלגוואד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ודקרו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</w:t>
      </w:r>
      <w:r>
        <w:rPr>
          <w:rtl w:val="true"/>
        </w:rPr>
        <w:t>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מירכו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נפחי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27.6.2019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24.9.2019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>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, </w:t>
      </w:r>
      <w:r>
        <w:rPr>
          <w:rtl w:val="true"/>
        </w:rPr>
        <w:t>ממשפחתו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ומאלוהים</w:t>
      </w:r>
      <w:r>
        <w:rPr>
          <w:rtl w:val="true"/>
        </w:rPr>
        <w:t xml:space="preserve">"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עטווה</w:t>
      </w:r>
      <w:r>
        <w:rPr>
          <w:rtl w:val="true"/>
        </w:rPr>
        <w:t xml:space="preserve">",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העטווה</w:t>
      </w:r>
      <w:r>
        <w:rPr>
          <w:rtl w:val="true"/>
        </w:rPr>
        <w:t xml:space="preserve">).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26.11.2019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וכוללת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הפתאומיות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1.3.2020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לקרב</w:t>
      </w:r>
      <w:r>
        <w:rPr>
          <w:rtl w:val="true"/>
        </w:rPr>
        <w:t xml:space="preserve">";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1005/20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9.9.2020</w:t>
      </w:r>
      <w:r>
        <w:rPr>
          <w:rtl w:val="true"/>
        </w:rPr>
        <w:t xml:space="preserve">)).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דקירתו</w:t>
      </w:r>
      <w:r>
        <w:rPr>
          <w:rtl w:val="true"/>
        </w:rPr>
        <w:t xml:space="preserve">, </w:t>
      </w:r>
      <w:r>
        <w:rPr>
          <w:rtl w:val="true"/>
        </w:rPr>
        <w:t>ואמורה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ומשבר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2.11.2020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באגף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" </w:t>
      </w:r>
      <w:r>
        <w:rPr>
          <w:rtl w:val="true"/>
        </w:rPr>
        <w:t>מתהלך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כפשוטם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קולקטיבית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)).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", </w:t>
      </w:r>
      <w:r>
        <w:rPr>
          <w:rtl w:val="true"/>
        </w:rPr>
        <w:t>הטומנת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8.5.2019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4.4.2019</w:t>
      </w:r>
      <w:r>
        <w:rPr>
          <w:rtl w:val="true"/>
        </w:rPr>
        <w:t xml:space="preserve">))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פתרון</w:t>
      </w:r>
      <w:r>
        <w:rPr>
          <w:rtl w:val="true"/>
        </w:rPr>
        <w:t xml:space="preserve">"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מריסאת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rtl w:val="true"/>
        </w:rPr>
        <w:t>‏</w:t>
      </w:r>
      <w:r>
        <w:rPr>
          <w:rFonts w:cs="FrankRuehl" w:ascii="FrankRuehl" w:hAnsi="FrankRuehl"/>
          <w:color w:val="000000"/>
          <w:sz w:val="28"/>
        </w:rPr>
        <w:t>27.7.2016</w:t>
      </w:r>
      <w:r>
        <w:rPr>
          <w:rtl w:val="true"/>
        </w:rPr>
        <w:t xml:space="preserve">)). </w:t>
      </w:r>
      <w:r>
        <w:rPr>
          <w:rtl w:val="true"/>
        </w:rPr>
        <w:t>ויפים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6.10.2014</w:t>
      </w:r>
      <w:r>
        <w:rPr>
          <w:rFonts w:cs="FrankRuehl" w:ascii="FrankRuehl" w:hAnsi="FrankRuehl"/>
          <w:color w:val="000000"/>
          <w:sz w:val="28"/>
          <w:rtl w:val="true"/>
        </w:rPr>
        <w:t>):</w:t>
      </w:r>
    </w:p>
    <w:p>
      <w:pPr>
        <w:pStyle w:val="Ruller4"/>
        <w:spacing w:lineRule="auto" w:line="240"/>
        <w:ind w:end="0"/>
        <w:jc w:val="both"/>
        <w:rPr>
          <w:rFonts w:ascii="FrankRuehl" w:hAnsi="FrankRuehl" w:cs="FrankRuehl"/>
          <w:color w:val="000000"/>
          <w:sz w:val="14"/>
          <w:szCs w:val="20"/>
        </w:rPr>
      </w:pPr>
      <w:r>
        <w:rPr>
          <w:rFonts w:cs="FrankRuehl" w:ascii="FrankRuehl" w:hAnsi="FrankRuehl"/>
          <w:color w:val="000000"/>
          <w:sz w:val="14"/>
          <w:szCs w:val="20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ותגמול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סכסוכים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יריבות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ולדרוש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הסכסוך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יריביו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התופעה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למקרא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לעטווה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עטווה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סבורתני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>
          <w:sz w:val="4"/>
          <w:szCs w:val="10"/>
        </w:rPr>
      </w:pPr>
      <w:r>
        <w:rPr>
          <w:sz w:val="4"/>
          <w:szCs w:val="10"/>
          <w:rtl w:val="true"/>
        </w:rPr>
      </w:r>
    </w:p>
    <w:p>
      <w:pPr>
        <w:pStyle w:val="Ruller4"/>
        <w:ind w:end="0"/>
        <w:jc w:val="both"/>
        <w:rPr>
          <w:sz w:val="4"/>
          <w:szCs w:val="10"/>
        </w:rPr>
      </w:pPr>
      <w:r>
        <w:rPr>
          <w:sz w:val="4"/>
          <w:szCs w:val="10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spacing w:lineRule="auto" w:line="240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sz w:val="2"/>
          <w:szCs w:val="8"/>
        </w:rPr>
      </w:pPr>
      <w:r>
        <w:rPr>
          <w:sz w:val="2"/>
          <w:szCs w:val="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"/>
        <w:ind w:end="0"/>
        <w:jc w:val="both"/>
        <w:rPr>
          <w:sz w:val="32"/>
          <w:szCs w:val="38"/>
        </w:rPr>
      </w:pPr>
      <w:bookmarkStart w:id="18" w:name="Nitan"/>
      <w:r>
        <w:rPr>
          <w:color w:val="FFFFFF"/>
          <w:sz w:val="32"/>
          <w:szCs w:val="38"/>
        </w:rPr>
        <w:t>5129371</w:t>
      </w:r>
      <w:r>
        <w:rPr>
          <w:sz w:val="32"/>
          <w:szCs w:val="38"/>
          <w:rtl w:val="true"/>
        </w:rPr>
        <w:t xml:space="preserve"> </w:t>
      </w:r>
      <w:r>
        <w:rPr>
          <w:sz w:val="32"/>
          <w:sz w:val="32"/>
          <w:szCs w:val="38"/>
          <w:rtl w:val="true"/>
        </w:rPr>
        <w:t>ניתן</w:t>
      </w:r>
      <w:r>
        <w:rPr>
          <w:rFonts w:eastAsia="Arial TUR;Arial" w:cs="Arial TUR;Arial"/>
          <w:sz w:val="32"/>
          <w:sz w:val="32"/>
          <w:szCs w:val="38"/>
          <w:rtl w:val="true"/>
        </w:rPr>
        <w:t xml:space="preserve"> </w:t>
      </w:r>
      <w:r>
        <w:rPr>
          <w:sz w:val="32"/>
          <w:sz w:val="32"/>
          <w:szCs w:val="38"/>
          <w:rtl w:val="true"/>
        </w:rPr>
        <w:t>היום</w:t>
      </w:r>
      <w:r>
        <w:rPr>
          <w:sz w:val="32"/>
          <w:szCs w:val="38"/>
          <w:rtl w:val="true"/>
        </w:rPr>
        <w:t>, ‏</w:t>
      </w:r>
      <w:r>
        <w:rPr>
          <w:sz w:val="32"/>
          <w:sz w:val="32"/>
          <w:szCs w:val="38"/>
          <w:rtl w:val="true"/>
        </w:rPr>
        <w:t>ג</w:t>
      </w:r>
      <w:r>
        <w:rPr>
          <w:sz w:val="32"/>
          <w:szCs w:val="38"/>
          <w:rtl w:val="true"/>
        </w:rPr>
        <w:t xml:space="preserve">' </w:t>
      </w:r>
      <w:r>
        <w:rPr>
          <w:sz w:val="32"/>
          <w:sz w:val="32"/>
          <w:szCs w:val="38"/>
          <w:rtl w:val="true"/>
        </w:rPr>
        <w:t>בכסלו</w:t>
      </w:r>
      <w:r>
        <w:rPr>
          <w:rFonts w:eastAsia="Arial TUR;Arial" w:cs="Arial TUR;Arial"/>
          <w:sz w:val="32"/>
          <w:sz w:val="32"/>
          <w:szCs w:val="38"/>
          <w:rtl w:val="true"/>
        </w:rPr>
        <w:t xml:space="preserve"> </w:t>
      </w:r>
      <w:r>
        <w:rPr>
          <w:sz w:val="32"/>
          <w:sz w:val="32"/>
          <w:szCs w:val="38"/>
          <w:rtl w:val="true"/>
        </w:rPr>
        <w:t>התשפ</w:t>
      </w:r>
      <w:r>
        <w:rPr>
          <w:sz w:val="32"/>
          <w:szCs w:val="38"/>
          <w:rtl w:val="true"/>
        </w:rPr>
        <w:t>"</w:t>
      </w:r>
      <w:r>
        <w:rPr>
          <w:sz w:val="32"/>
          <w:sz w:val="32"/>
          <w:szCs w:val="38"/>
          <w:rtl w:val="true"/>
        </w:rPr>
        <w:t>א</w:t>
      </w:r>
      <w:r>
        <w:rPr>
          <w:rFonts w:eastAsia="Arial TUR;Arial" w:cs="Arial TUR;Arial"/>
          <w:sz w:val="32"/>
          <w:sz w:val="32"/>
          <w:szCs w:val="38"/>
          <w:rtl w:val="true"/>
        </w:rPr>
        <w:t xml:space="preserve"> </w:t>
      </w:r>
      <w:r>
        <w:rPr>
          <w:sz w:val="32"/>
          <w:szCs w:val="38"/>
          <w:rtl w:val="true"/>
        </w:rPr>
        <w:t>(‏</w:t>
      </w:r>
      <w:r>
        <w:rPr>
          <w:sz w:val="32"/>
          <w:szCs w:val="38"/>
        </w:rPr>
        <w:t>19.11.2020</w:t>
      </w:r>
      <w:r>
        <w:rPr>
          <w:sz w:val="32"/>
          <w:szCs w:val="38"/>
          <w:rtl w:val="true"/>
        </w:rPr>
        <w:t xml:space="preserve">). </w:t>
      </w:r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20030920</w:t>
      </w:r>
      <w:r>
        <w:rPr>
          <w:sz w:val="16"/>
          <w:rtl w:val="true"/>
        </w:rPr>
        <w:t>_</w:t>
      </w:r>
      <w:r>
        <w:rPr>
          <w:sz w:val="16"/>
        </w:rPr>
        <w:t>G01.docx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54678313-3092/20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3092/20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נור נאצר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876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case/25087624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case/26430901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25388948" TargetMode="External"/><Relationship Id="rId18" Type="http://schemas.openxmlformats.org/officeDocument/2006/relationships/hyperlink" Target="http://www.nevo.co.il/case/25305753" TargetMode="External"/><Relationship Id="rId19" Type="http://schemas.openxmlformats.org/officeDocument/2006/relationships/hyperlink" Target="http://www.nevo.co.il/case/25092075" TargetMode="External"/><Relationship Id="rId20" Type="http://schemas.openxmlformats.org/officeDocument/2006/relationships/hyperlink" Target="http://www.nevo.co.il/case/20523160" TargetMode="External"/><Relationship Id="rId21" Type="http://schemas.openxmlformats.org/officeDocument/2006/relationships/hyperlink" Target="http://www.nevo.co.il/case/11317298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2020-11-22T14:22:00Z</dcterms:created>
  <dc:creator>h4</dc:creator>
  <dc:description/>
  <cp:keywords/>
  <dc:language>en-IL</dc:language>
  <cp:lastModifiedBy>orly</cp:lastModifiedBy>
  <cp:lastPrinted>2020-11-19T16:06:00Z</cp:lastPrinted>
  <dcterms:modified xsi:type="dcterms:W3CDTF">2020-11-22T14:22:00Z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נאצר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25087624:2;26430901;25612982;25388948;25305753;25092075;20523160;11317298</vt:lpwstr>
  </property>
  <property fmtid="{D5CDD505-2E9C-101B-9397-08002B2CF9AE}" pid="9" name="CITY">
    <vt:lpwstr/>
  </property>
  <property fmtid="{D5CDD505-2E9C-101B-9397-08002B2CF9AE}" pid="10" name="DATE">
    <vt:lpwstr>20201119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אלרון;ע' גרוסקופף</vt:lpwstr>
  </property>
  <property fmtid="{D5CDD505-2E9C-101B-9397-08002B2CF9AE}" pid="14" name="LAWLISTTMP1">
    <vt:lpwstr>70301/298:2;334:2;335.a.1:2</vt:lpwstr>
  </property>
  <property fmtid="{D5CDD505-2E9C-101B-9397-08002B2CF9AE}" pid="15" name="LAWYER">
    <vt:lpwstr>נורית הרצמן;יוסי זילברברג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תופעת הסכינאות</vt:lpwstr>
  </property>
  <property fmtid="{D5CDD505-2E9C-101B-9397-08002B2CF9AE}" pid="49" name="NOSE310">
    <vt:lpwstr/>
  </property>
  <property fmtid="{D5CDD505-2E9C-101B-9397-08002B2CF9AE}" pid="50" name="NOSE32">
    <vt:lpwstr>מדיניות ענישה: הריגה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דרכי ענישה: פיצויים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18248;14739;8982;8995;8968</vt:lpwstr>
  </property>
  <property fmtid="{D5CDD505-2E9C-101B-9397-08002B2CF9AE}" pid="59" name="PADIDATE">
    <vt:lpwstr>20201122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3092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410120201119</vt:lpwstr>
  </property>
  <property fmtid="{D5CDD505-2E9C-101B-9397-08002B2CF9AE}" pid="69" name="TYPE_N_DATE">
    <vt:lpwstr>41020201119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