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3105/23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3243/23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3105/23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3243/23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vMerge w:val="restart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3105/23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3243/23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</w:p>
        </w:tc>
      </w:tr>
      <w:tr>
        <w:trPr>
          <w:trHeight w:val="287" w:hRule="atLeast"/>
        </w:trPr>
        <w:tc>
          <w:tcPr>
            <w:tcW w:w="3210" w:type="dxa"/>
            <w:vMerge w:val="continue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54787-06-21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סלאמה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13.7.2023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3105/23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3243/23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סראחנה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3105/23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3243/23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אמיתי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פסק כי זהו מקרה בו על ערכאת הערעור להתערב בעונשים שהושתו על המשיבים בגין הרשעתם בביצוע עבירות אלימות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לא יִחס משקל מספיק לשורה של 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המשווֹת למעשים אופי חמור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חמור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בכוונה מחמירה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עלי ומוחמד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3243/23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עלי הורשע בביצוע עבירה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מוחמד הורשע בביצוע עבירה של סיוע לחבלה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ובעבירת ניסיון תקיפה הגורמת חבלה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עלי נגזרו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מוחמד נגזרו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טוענת בערעורה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3105/23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יש להחמיר בענישה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עם עלי ומוחמד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מערערים עלי ומוחמד על חומרת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3105/23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3243/23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לא בנקל תתערב ערכאת הערעור בגזר הדין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אפשרות זו שמורה למקרים של סטייה ממשית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</w:t>
      </w:r>
      <w:r>
        <w:rPr>
          <w:rFonts w:ascii="Times New Roman" w:hAnsi="Times New Roman" w:cs="Times New Roman"/>
          <w:spacing w:val="0"/>
          <w:szCs w:val="26"/>
          <w:rtl w:val="true"/>
        </w:rPr>
        <w:t>להחמיר בעונשיהם של עלי ומוחמד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היתרה שבעבירות אלימות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הטומנות בחובן סיכון לתוצאה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בהן מזדמן להיתקל שוב ושוב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עקב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ויכוח על עניין של מה בכך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לא יִחס משקל מספיק לשורה של 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המשווֹת למעשים אופי חמור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חמור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ערך החברתי שנפגע כתוצאה מביצוע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ומידת הפגיעה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פגיעתו של עלי היא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ברמה בינונית ואף 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וזו של 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מתונה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הולמת את חומרת הפגיעה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אמורים הן ביחס לחומרה המושׂגית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הבוחנת את הערך החברתי המוגן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ביחס לחומרה הקונקרטית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המביאה בחשבון את הנסיבות הקשורות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במסגרת בחינת החומרה המושׂגית של 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הנוגעת לערך החברתי המוגן שביסודו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לייחס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לטיב העונש הקבוע בצד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ליסוד הנפשי הנדרש לביצועה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לאמות מידה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קשה להפריז בחומרת עבירת החבלה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ע</w:t>
      </w:r>
      <w:r>
        <w:rPr>
          <w:rFonts w:ascii="Times New Roman" w:hAnsi="Times New Roman" w:cs="Times New Roman"/>
          <w:spacing w:val="0"/>
          <w:szCs w:val="26"/>
          <w:rtl w:val="true"/>
        </w:rPr>
        <w:t>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בסיועו הישיר של 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לעוצמת הפגיעה הקונקרטית בערך המוגן הנלמדת מנסיבות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בגזר הדין לא ניתן משקל הולם למספר היבטים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המשקפים פגיעה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די משקל לנזק שצפוי היה להיגרם כתוצאה ממעשי האלימות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נזק זה לא נגרם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הסכנה הפוטנציאלית שבהתנהגותם של עלי ומוחמד ביחס לעוברי אורח ששהו במקום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 העונשית אינה נותנת ביטוי הולם למלוא הנזקים שנגרמו ל</w:t>
      </w:r>
      <w:r>
        <w:rPr>
          <w:rFonts w:ascii="Times New Roman" w:hAnsi="Times New Roman" w:cs="Times New Roman"/>
          <w:spacing w:val="0"/>
          <w:szCs w:val="26"/>
          <w:rtl w:val="true"/>
        </w:rPr>
        <w:t>סעיד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כל סיבה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 שנראה כמו אלימות שרירותית בעקבות עניין פעוט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בה כדי לבטא זלזול בוטה במיוחד בערך המוגן של חיי אדם ושלמות הגוף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האכזריות שנלוותה למעשים של עלי ומוחמד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מתסקירו של עלי מצטיירת תמונה של העדר לקיחת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צמצום חלקו באירוע האלים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הכרה במלוא הנזק שגרם לנפגע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מתסקיריו של מוחמד עולה העדרהּ של נטילת אחריות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אמפתיה לסעיד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ניסיון להצדיק את המעשה בדיעבד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התאוששותו החלקית של סעיד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מאיינת את עוצמת הנזקים הפיזיים והנפשיים שנגרמו לו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אין בכך כדי להוות נסיבה להקלה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יתר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הצורך בהבעת סלידה מפני התופעה שבה ויכוח קל שבקלים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הופך עד מהרה לאירוע אלים ואכזרי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שבנס לא נגמר בתוצאה קטלנית הרת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אסון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הטענות הנוגעות לנסיבות מק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נעלמו מעיני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בהן כדי להטות את הכף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להחמיר בעונשם של עלי ומוחמד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באופן מתון יחסית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לכלל שלפיו אין זו דרכה של ערכאת הערעור למצות את מלוא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המאסר בפועל שהושתו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יעמוד עונשו עתה על 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שהושתו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מוחמד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יעמוד עונשו עתה על </w:t>
      </w:r>
      <w:r>
        <w:rPr>
          <w:rFonts w:cs="Times New Roman" w:ascii="Times New Roman" w:hAnsi="Times New Roman"/>
          <w:spacing w:val="0"/>
          <w:szCs w:val="26"/>
        </w:rPr>
        <w:t>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יִצרִי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;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</w:t>
      </w:r>
      <w:r>
        <w:rPr>
          <w:rtl w:val="true"/>
        </w:rPr>
        <w:t>-</w:t>
      </w:r>
      <w:r>
        <w:rPr>
          <w:rtl w:val="true"/>
        </w:rPr>
        <w:t>אסון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 גזר הדין 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54787-06-21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bookmarkStart w:id="21" w:name="_Hlk142402010"/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סלאמה</w:t>
      </w:r>
      <w:bookmarkEnd w:id="21"/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14.3.2023</w:t>
      </w:r>
      <w:r>
        <w:rPr>
          <w:rtl w:val="true"/>
        </w:rPr>
        <w:t xml:space="preserve">, </w:t>
      </w:r>
      <w:r>
        <w:rPr>
          <w:rtl w:val="true"/>
        </w:rPr>
        <w:t xml:space="preserve">שבגדרו נגזרו על </w:t>
      </w:r>
      <w:r>
        <w:rPr>
          <w:rtl w:val="true"/>
        </w:rPr>
        <w:t>המערערים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3243/23</w:t>
      </w:r>
      <w:r>
        <w:rPr>
          <w:rtl w:val="true"/>
        </w:rPr>
        <w:t xml:space="preserve"> (</w:t>
      </w:r>
      <w:r>
        <w:rPr>
          <w:rtl w:val="true"/>
        </w:rPr>
        <w:t>המשיבים</w:t>
      </w:r>
      <w:r>
        <w:rPr>
          <w:rtl w:val="true"/>
        </w:rPr>
        <w:t xml:space="preserve">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3105/23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האחים עלי ומוחמד סרחאן</w:t>
      </w:r>
      <w:r>
        <w:rPr>
          <w:rtl w:val="true"/>
        </w:rPr>
        <w:t xml:space="preserve">, </w:t>
      </w:r>
      <w:r>
        <w:rPr>
          <w:rtl w:val="true"/>
        </w:rPr>
        <w:t>עונשי מאסר בפועל ועונשים נלווים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על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עלי סרחאן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tl w:val="true"/>
        </w:rPr>
        <w:t xml:space="preserve">) </w:t>
      </w:r>
      <w:r>
        <w:rPr>
          <w:rtl w:val="true"/>
        </w:rPr>
        <w:t xml:space="preserve">נגזרו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מסוג 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מסוג עוון</w:t>
      </w:r>
      <w:r>
        <w:rPr>
          <w:rtl w:val="true"/>
        </w:rPr>
        <w:t xml:space="preserve">; </w:t>
      </w:r>
      <w:r>
        <w:rPr>
          <w:rtl w:val="true"/>
        </w:rPr>
        <w:t>ותשלום פיצוי ל</w:t>
      </w:r>
      <w:r>
        <w:rPr>
          <w:rtl w:val="true"/>
        </w:rPr>
        <w:t>נפגע</w:t>
      </w:r>
      <w:r>
        <w:rPr>
          <w:rtl w:val="true"/>
        </w:rPr>
        <w:t xml:space="preserve"> העבירה בסך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מוחמד סרחאן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 xml:space="preserve">נגזרו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מסוג פשע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מסוג עוון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לנפגע העבירה בסך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24.1.2022</w:t>
      </w:r>
      <w:r>
        <w:rPr>
          <w:rtl w:val="true"/>
        </w:rPr>
        <w:t xml:space="preserve"> </w:t>
      </w:r>
      <w:r>
        <w:rPr>
          <w:rtl w:val="true"/>
        </w:rPr>
        <w:t xml:space="preserve">הורשעו </w:t>
      </w:r>
      <w:r>
        <w:rPr>
          <w:rtl w:val="true"/>
        </w:rPr>
        <w:t xml:space="preserve">עלי ומוחמד </w:t>
      </w:r>
      <w:r>
        <w:rPr>
          <w:rtl w:val="true"/>
        </w:rPr>
        <w:t>במסגרת הסדר טיעון – בגדרו הודו בעובדות כתב האישום</w:t>
      </w:r>
      <w:r>
        <w:rPr>
          <w:rtl w:val="true"/>
        </w:rPr>
        <w:t xml:space="preserve">, </w:t>
      </w:r>
      <w:r>
        <w:rPr>
          <w:rtl w:val="true"/>
        </w:rPr>
        <w:t>ללא הסכמה לעניין העונש – בעבירות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עלי הורשע בביצוע עבירה של חבלה בכוונה מחמירה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מוחמד הורשע בביצוע עבירה של סיוע לחבלה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הוראות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בשילוב עם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כמו </w:t>
      </w:r>
      <w:r>
        <w:rPr>
          <w:rtl w:val="true"/>
        </w:rPr>
        <w:t>כן הורשע בעבירת ניסיון תקיפה הגורמת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לפי הוראות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בשילוב עם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עובדותיו המ</w:t>
      </w:r>
      <w:r>
        <w:rPr>
          <w:rtl w:val="true"/>
        </w:rPr>
        <w:t>עיקות</w:t>
      </w:r>
      <w:r>
        <w:rPr>
          <w:rtl w:val="true"/>
        </w:rPr>
        <w:t xml:space="preserve"> של כתב האישום</w:t>
      </w:r>
      <w:r>
        <w:rPr>
          <w:rtl w:val="true"/>
        </w:rPr>
        <w:t xml:space="preserve">, </w:t>
      </w:r>
      <w:r>
        <w:rPr>
          <w:rtl w:val="true"/>
        </w:rPr>
        <w:t>ממחישות את הקלות הבלתי נסבלת שבה אירוע מינורי במקומותינו</w:t>
      </w:r>
      <w:r>
        <w:rPr>
          <w:rtl w:val="true"/>
        </w:rPr>
        <w:t xml:space="preserve">, </w:t>
      </w:r>
      <w:r>
        <w:rPr>
          <w:rtl w:val="true"/>
        </w:rPr>
        <w:t>עשוי להתפתח במהירות מצמררת</w:t>
      </w:r>
      <w:r>
        <w:rPr>
          <w:rtl w:val="true"/>
        </w:rPr>
        <w:t xml:space="preserve">, </w:t>
      </w:r>
      <w:r>
        <w:rPr>
          <w:rtl w:val="true"/>
        </w:rPr>
        <w:t>למעשי אלימות מהסוג החמור ביותר</w:t>
      </w:r>
      <w:r>
        <w:rPr>
          <w:rtl w:val="true"/>
        </w:rPr>
        <w:t xml:space="preserve">. </w:t>
      </w:r>
      <w:r>
        <w:rPr>
          <w:rtl w:val="true"/>
        </w:rPr>
        <w:t xml:space="preserve">בצהרי יום </w:t>
      </w:r>
      <w:r>
        <w:rPr/>
        <w:t>14.5.2021</w:t>
      </w:r>
      <w:r>
        <w:rPr>
          <w:rtl w:val="true"/>
        </w:rPr>
        <w:t xml:space="preserve">, </w:t>
      </w:r>
      <w:r>
        <w:rPr>
          <w:rtl w:val="true"/>
        </w:rPr>
        <w:t>בכפר נחף שבגליל העליון</w:t>
      </w:r>
      <w:r>
        <w:rPr>
          <w:rtl w:val="true"/>
        </w:rPr>
        <w:t xml:space="preserve">, </w:t>
      </w:r>
      <w:r>
        <w:rPr>
          <w:rtl w:val="true"/>
        </w:rPr>
        <w:t>נסע ברכבו מחמוד סרחאן</w:t>
      </w:r>
      <w:r>
        <w:rPr>
          <w:rtl w:val="true"/>
        </w:rPr>
        <w:t xml:space="preserve">, </w:t>
      </w:r>
      <w:r>
        <w:rPr>
          <w:rtl w:val="true"/>
        </w:rPr>
        <w:t xml:space="preserve">אביהם של עלי ומוחמד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מחמוד</w:t>
      </w:r>
      <w:r>
        <w:rPr>
          <w:rtl w:val="true"/>
        </w:rPr>
        <w:t xml:space="preserve">), </w:t>
      </w:r>
      <w:r>
        <w:rPr>
          <w:rtl w:val="true"/>
        </w:rPr>
        <w:t>יחד עם רעייתו ובני משפחה נוספים</w:t>
      </w:r>
      <w:r>
        <w:rPr>
          <w:rtl w:val="true"/>
        </w:rPr>
        <w:t xml:space="preserve">. </w:t>
      </w:r>
      <w:r>
        <w:rPr>
          <w:rtl w:val="true"/>
        </w:rPr>
        <w:t>אותה עת</w:t>
      </w:r>
      <w:r>
        <w:rPr>
          <w:rtl w:val="true"/>
        </w:rPr>
        <w:t xml:space="preserve">, </w:t>
      </w:r>
      <w:r>
        <w:rPr>
          <w:rtl w:val="true"/>
        </w:rPr>
        <w:t>נסעו ברכבם</w:t>
      </w:r>
      <w:r>
        <w:rPr>
          <w:rtl w:val="true"/>
        </w:rPr>
        <w:t xml:space="preserve">, </w:t>
      </w:r>
      <w:r>
        <w:rPr>
          <w:rtl w:val="true"/>
        </w:rPr>
        <w:t>בדרכי הכפר</w:t>
      </w:r>
      <w:r>
        <w:rPr>
          <w:rtl w:val="true"/>
        </w:rPr>
        <w:t xml:space="preserve">, </w:t>
      </w:r>
      <w:r>
        <w:rPr>
          <w:rtl w:val="true"/>
        </w:rPr>
        <w:t xml:space="preserve">גם ראפע יאסין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ראפע</w:t>
      </w:r>
      <w:r>
        <w:rPr>
          <w:rtl w:val="true"/>
        </w:rPr>
        <w:t xml:space="preserve">), </w:t>
      </w:r>
      <w:r>
        <w:rPr>
          <w:rtl w:val="true"/>
        </w:rPr>
        <w:t>ובנו</w:t>
      </w:r>
      <w:r>
        <w:rPr>
          <w:rtl w:val="true"/>
        </w:rPr>
        <w:t xml:space="preserve">. </w:t>
      </w:r>
      <w:r>
        <w:rPr>
          <w:rtl w:val="true"/>
        </w:rPr>
        <w:t>סמוך לסניף הדואר המקומי</w:t>
      </w:r>
      <w:r>
        <w:rPr>
          <w:rtl w:val="true"/>
        </w:rPr>
        <w:t xml:space="preserve">, </w:t>
      </w:r>
      <w:r>
        <w:rPr>
          <w:rtl w:val="true"/>
        </w:rPr>
        <w:t xml:space="preserve">התרחשה תאונת דרכים בין שני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כפי המתואר בגזר הדין</w:t>
      </w:r>
      <w:r>
        <w:rPr>
          <w:rtl w:val="true"/>
        </w:rPr>
        <w:t xml:space="preserve">, </w:t>
      </w:r>
      <w:r>
        <w:rPr>
          <w:rtl w:val="true"/>
        </w:rPr>
        <w:t>עם קרות התאונה</w:t>
      </w:r>
      <w:r>
        <w:rPr>
          <w:rtl w:val="true"/>
        </w:rPr>
        <w:t xml:space="preserve">, </w:t>
      </w:r>
      <w:r>
        <w:rPr>
          <w:rtl w:val="true"/>
        </w:rPr>
        <w:t>יצאו מחמוד וראפע מרכביהם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החליפו פרטים</w:t>
      </w:r>
      <w:r>
        <w:rPr>
          <w:rtl w:val="true"/>
        </w:rPr>
        <w:t xml:space="preserve">, </w:t>
      </w:r>
      <w:r>
        <w:rPr>
          <w:rtl w:val="true"/>
        </w:rPr>
        <w:t>ותוך זמן קצר הגיעו למקום קרובי משפחה משני הצדדים</w:t>
      </w:r>
      <w:r>
        <w:rPr>
          <w:rtl w:val="true"/>
        </w:rPr>
        <w:t xml:space="preserve">. </w:t>
      </w:r>
      <w:r>
        <w:rPr>
          <w:rtl w:val="true"/>
        </w:rPr>
        <w:t>בין המתקהלים היו גם עלי ומוחמד</w:t>
      </w:r>
      <w:r>
        <w:rPr>
          <w:rtl w:val="true"/>
        </w:rPr>
        <w:t xml:space="preserve">, </w:t>
      </w:r>
      <w:r>
        <w:rPr>
          <w:rtl w:val="true"/>
        </w:rPr>
        <w:t>בניו של מחמוד</w:t>
      </w:r>
      <w:r>
        <w:rPr>
          <w:rtl w:val="true"/>
        </w:rPr>
        <w:t xml:space="preserve">; </w:t>
      </w:r>
      <w:r>
        <w:rPr>
          <w:rtl w:val="true"/>
        </w:rPr>
        <w:t>ומוחמד סעיד</w:t>
      </w:r>
      <w:r>
        <w:rPr>
          <w:rtl w:val="true"/>
        </w:rPr>
        <w:t xml:space="preserve">, </w:t>
      </w:r>
      <w:r>
        <w:rPr>
          <w:rtl w:val="true"/>
        </w:rPr>
        <w:t>בן משפחת יאסין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בהליך שלפנינו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tl w:val="true"/>
        </w:rPr>
        <w:t xml:space="preserve">). </w:t>
      </w:r>
      <w:r>
        <w:rPr>
          <w:rtl w:val="true"/>
        </w:rPr>
        <w:t>האווירה במקום התלהטה</w:t>
      </w:r>
      <w:r>
        <w:rPr>
          <w:rtl w:val="true"/>
        </w:rPr>
        <w:t xml:space="preserve">, </w:t>
      </w:r>
      <w:r>
        <w:rPr>
          <w:rtl w:val="true"/>
        </w:rPr>
        <w:t>והחל ויכוח קולני בין בני המשפחות בנוגע לצד האחראי לתאונה</w:t>
      </w:r>
      <w:r>
        <w:rPr>
          <w:rtl w:val="true"/>
        </w:rPr>
        <w:t xml:space="preserve">, </w:t>
      </w:r>
      <w:r>
        <w:rPr>
          <w:rtl w:val="true"/>
        </w:rPr>
        <w:t>כאשר חלק מהנוכחים</w:t>
      </w:r>
      <w:r>
        <w:rPr>
          <w:rtl w:val="true"/>
        </w:rPr>
        <w:t xml:space="preserve">, </w:t>
      </w:r>
      <w:r>
        <w:rPr>
          <w:rtl w:val="true"/>
        </w:rPr>
        <w:t>אשר סעיד נמנה עליהם</w:t>
      </w:r>
      <w:r>
        <w:rPr>
          <w:rtl w:val="true"/>
        </w:rPr>
        <w:t xml:space="preserve">, </w:t>
      </w:r>
      <w:r>
        <w:rPr>
          <w:rtl w:val="true"/>
        </w:rPr>
        <w:t>אחזו בידיהם חפצים מאיימים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כעולה מגזר הדין</w:t>
      </w:r>
      <w:r>
        <w:rPr>
          <w:rtl w:val="true"/>
        </w:rPr>
        <w:t xml:space="preserve">,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Fonts w:ascii="David" w:hAnsi="David" w:cs="David"/>
          <w:rtl w:val="true"/>
        </w:rPr>
        <w:t>ניגש עלי אל תא המטען של הרכב עמו הגיע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נטל מפתח ברגים עשוי מתכת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ושב למקום ההתקהלות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הוויכוח התפתח ל</w:t>
      </w:r>
      <w:r>
        <w:rPr>
          <w:rFonts w:ascii="David" w:hAnsi="David" w:cs="David"/>
          <w:rtl w:val="true"/>
        </w:rPr>
        <w:t xml:space="preserve">כדי </w:t>
      </w:r>
      <w:r>
        <w:rPr>
          <w:rFonts w:ascii="David" w:hAnsi="David" w:cs="David"/>
          <w:rtl w:val="true"/>
        </w:rPr>
        <w:t>עימות פיזי שכלל דחיפות ותגרות ידיים הדדיות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כך 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ניגש עלי אל עבר ערימה של קורות בניין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נטל משם קורת עץ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אורכה</w:t>
      </w:r>
      <w:r>
        <w:rPr>
          <w:rFonts w:ascii="David" w:hAnsi="David" w:cs="David"/>
          <w:rtl w:val="true"/>
        </w:rPr>
        <w:t xml:space="preserve">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משקלה </w:t>
      </w:r>
      <w:r>
        <w:rPr>
          <w:rFonts w:cs="David" w:ascii="David" w:hAnsi="David"/>
        </w:rPr>
        <w:t>3.2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העץ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ושב לכיוון ההתקהלות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התקרב מוחמד אל סעיד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וניסה לתקוף אותו באמצעות מקל שאורכו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 מנת להתגונן מפניו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הרים סעיד את ידו והחל לנוס על נפשו מן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תוך כדי מנוסתו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התקרב אליו 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הניף את קורת העץ שבידו וה</w:t>
      </w:r>
      <w:r>
        <w:rPr>
          <w:rFonts w:ascii="David" w:hAnsi="David" w:cs="David"/>
          <w:rtl w:val="true"/>
        </w:rPr>
        <w:t>ִ</w:t>
      </w:r>
      <w:r>
        <w:rPr>
          <w:rFonts w:ascii="David" w:hAnsi="David" w:cs="David"/>
          <w:rtl w:val="true"/>
        </w:rPr>
        <w:t>כ</w:t>
      </w:r>
      <w:r>
        <w:rPr>
          <w:rFonts w:ascii="David" w:hAnsi="David" w:cs="David"/>
          <w:rtl w:val="true"/>
        </w:rPr>
        <w:t>ּ</w:t>
      </w:r>
      <w:r>
        <w:rPr>
          <w:rFonts w:ascii="David" w:hAnsi="David" w:cs="David"/>
          <w:rtl w:val="true"/>
        </w:rPr>
        <w:t>ה ע</w:t>
      </w:r>
      <w:r>
        <w:rPr>
          <w:rFonts w:ascii="David" w:hAnsi="David" w:cs="David"/>
          <w:rtl w:val="true"/>
        </w:rPr>
        <w:t>ִ</w:t>
      </w:r>
      <w:r>
        <w:rPr>
          <w:rFonts w:ascii="David" w:hAnsi="David" w:cs="David"/>
          <w:rtl w:val="true"/>
        </w:rPr>
        <w:t>מהּ בחוזקה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כך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בכוונה לגרום לסעיד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רדף אחרי סעיד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ניסה לחבול בו גם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באמצעות המקל שבידו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החבטה הראשונה בראשו של סעיד לא הביאה לסיום המרדף ומעשי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אלא א</w:t>
      </w:r>
      <w:r>
        <w:rPr>
          <w:rFonts w:ascii="David" w:hAnsi="David" w:cs="David"/>
          <w:rtl w:val="true"/>
        </w:rPr>
        <w:t>ִ</w:t>
      </w:r>
      <w:r>
        <w:rPr>
          <w:rFonts w:ascii="David" w:hAnsi="David" w:cs="David"/>
          <w:rtl w:val="true"/>
        </w:rPr>
        <w:t>פשרה לעלי לחבוט בעוצמה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זו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 xml:space="preserve">פעם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בראשו של סעיד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נפל סעיד החבול על הקרקע</w:t>
      </w:r>
      <w:r>
        <w:rPr>
          <w:rtl w:val="true"/>
        </w:rPr>
        <w:t xml:space="preserve">, </w:t>
      </w:r>
      <w:r>
        <w:rPr>
          <w:rtl w:val="true"/>
        </w:rPr>
        <w:t>ואיבד את הכרתו</w:t>
      </w:r>
      <w:r>
        <w:rPr>
          <w:rtl w:val="true"/>
        </w:rPr>
        <w:t xml:space="preserve">. </w:t>
      </w:r>
      <w:r>
        <w:rPr>
          <w:rtl w:val="true"/>
        </w:rPr>
        <w:t>עלי ומוחמד</w:t>
      </w:r>
      <w:r>
        <w:rPr>
          <w:rtl w:val="true"/>
        </w:rPr>
        <w:t xml:space="preserve">, </w:t>
      </w:r>
      <w:r>
        <w:rPr>
          <w:rtl w:val="true"/>
        </w:rPr>
        <w:t>אשר ראוהו מתמוטט</w:t>
      </w:r>
      <w:r>
        <w:rPr>
          <w:rtl w:val="true"/>
        </w:rPr>
        <w:t xml:space="preserve">, </w:t>
      </w:r>
      <w:r>
        <w:rPr>
          <w:rtl w:val="true"/>
        </w:rPr>
        <w:t>התרחקו מהזירה</w:t>
      </w:r>
      <w:r>
        <w:rPr>
          <w:rtl w:val="true"/>
        </w:rPr>
        <w:t xml:space="preserve">, </w:t>
      </w:r>
      <w:r>
        <w:rPr>
          <w:rtl w:val="true"/>
        </w:rPr>
        <w:t>שבו לרכביהם ונמלטו 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כמתואר בגזר הדין</w:t>
      </w:r>
      <w:r>
        <w:rPr>
          <w:rtl w:val="true"/>
        </w:rPr>
        <w:t xml:space="preserve">, </w:t>
      </w:r>
      <w:r>
        <w:rPr>
          <w:rtl w:val="true"/>
        </w:rPr>
        <w:t>כתוצאה מהאירוע האלים</w:t>
      </w:r>
      <w:r>
        <w:rPr>
          <w:rtl w:val="true"/>
        </w:rPr>
        <w:t xml:space="preserve">, </w:t>
      </w:r>
      <w:r>
        <w:rPr>
          <w:rtl w:val="true"/>
        </w:rPr>
        <w:t>נגרמו לסעיד חבלות פיזיות קשות ביותר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דימום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סבדורלי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המיספרה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מקסימלי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דימומים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עכבשיים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פרונטליות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טמפורלית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דימום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פרנכמטי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טמפורלית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פנאומצפלוס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בהמיספרה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הגולגולת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בגולגולת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ובעצמות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סעיד הובהל רגלית למרכז רפואי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כשהוא מחוסר הכרה ומונשם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אל 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המרכז הרפואי לגליל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בנהריה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כתוצאה מהאירועים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אושפז סעיד במקום </w:t>
      </w:r>
      <w:r>
        <w:rPr>
          <w:rFonts w:ascii="David" w:hAnsi="David" w:cs="David"/>
          <w:rtl w:val="true"/>
        </w:rPr>
        <w:t>לפרק זמן של חצי שנה בקירוב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עד ליום </w:t>
      </w:r>
      <w:r>
        <w:rPr>
          <w:rFonts w:cs="David" w:ascii="David" w:hAnsi="David"/>
        </w:rPr>
        <w:t>8.6.2021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לאחר מכן הועבר להליך שיקומי במרכז הרפואי 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לוינשטיין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ברעננה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שם עוד שהה בעת שהוגש כתב האישום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הסדר הטיעון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שלגביו הוסכם כי הצדדים יגישו ראיותיהם</w:t>
      </w:r>
      <w:r>
        <w:rPr>
          <w:rtl w:val="true"/>
        </w:rPr>
        <w:t xml:space="preserve">, </w:t>
      </w:r>
      <w:r>
        <w:rPr>
          <w:rtl w:val="true"/>
        </w:rPr>
        <w:t>תסקיר נפגע עבירה</w:t>
      </w:r>
      <w:r>
        <w:rPr>
          <w:rtl w:val="true"/>
        </w:rPr>
        <w:t xml:space="preserve">, </w:t>
      </w:r>
      <w:r>
        <w:rPr>
          <w:rtl w:val="true"/>
        </w:rPr>
        <w:t>ותסקירי שירות מבחן ביחס לעלי ולמוחמד</w:t>
      </w:r>
      <w:r>
        <w:rPr>
          <w:rtl w:val="true"/>
        </w:rPr>
        <w:t xml:space="preserve">, </w:t>
      </w:r>
      <w:r>
        <w:rPr>
          <w:rtl w:val="true"/>
        </w:rPr>
        <w:t xml:space="preserve">אשר המלצותיהם לא יחייבו את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תסקיר שירות המבחן בעניינו של עלי</w:t>
      </w:r>
      <w:r>
        <w:rPr>
          <w:rtl w:val="true"/>
        </w:rPr>
        <w:t xml:space="preserve">, </w:t>
      </w:r>
      <w:r>
        <w:rPr>
          <w:rtl w:val="true"/>
        </w:rPr>
        <w:t xml:space="preserve">התקבל ביום </w:t>
      </w:r>
      <w:r>
        <w:rPr/>
        <w:t>1.5.2022</w:t>
      </w:r>
      <w:r>
        <w:rPr>
          <w:rtl w:val="true"/>
        </w:rPr>
        <w:t xml:space="preserve">. </w:t>
      </w:r>
      <w:r>
        <w:rPr>
          <w:rtl w:val="true"/>
        </w:rPr>
        <w:t>התסקיר פתח ברקע אישי ומשפחתי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צוין כי עלי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רווק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וכי קודם מעצרו התגורר עם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להם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לדברי 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לאחר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נשר מהלימודים על מנת לסייע בכלכלת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והשתלב בעבודה במפעל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טרם מעצרו תכנן להינשא לזוגתו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סטודנטית בת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החתונה נדחתה מחמת האירוע נושא דיוננו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לנסיבות העבירה</w:t>
      </w:r>
      <w:r>
        <w:rPr>
          <w:rtl w:val="true"/>
        </w:rPr>
        <w:t xml:space="preserve">, </w:t>
      </w:r>
      <w:r>
        <w:rPr>
          <w:rtl w:val="true"/>
        </w:rPr>
        <w:t>עלה מהתסקיר כי עלי אמנם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אך בד בבד התקשה להכיר במלוא ההשלכות של המעשים על סעיד</w:t>
      </w:r>
      <w:r>
        <w:rPr>
          <w:rtl w:val="true"/>
        </w:rPr>
        <w:t xml:space="preserve">, </w:t>
      </w:r>
      <w:r>
        <w:rPr>
          <w:rtl w:val="true"/>
        </w:rPr>
        <w:t xml:space="preserve">ואף סבור הוא כי לסעיד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צוין בתסקיר</w:t>
      </w:r>
      <w:r>
        <w:rPr>
          <w:rtl w:val="true"/>
        </w:rPr>
        <w:t xml:space="preserve">, </w:t>
      </w:r>
      <w:r>
        <w:rPr>
          <w:rtl w:val="true"/>
        </w:rPr>
        <w:t xml:space="preserve">כי עלי הסביר את מעשיו על רקע תחושות של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מהאפשרות לפגיעה בבני משפחתו בקטטה שהתפתחה</w:t>
      </w:r>
      <w:r>
        <w:rPr>
          <w:rtl w:val="true"/>
        </w:rPr>
        <w:t xml:space="preserve">, </w:t>
      </w:r>
      <w:r>
        <w:rPr>
          <w:rtl w:val="true"/>
        </w:rPr>
        <w:t>ואולם לא ידע להסביר מדוע רדף אחרי הנפגע ולא הניח לו</w:t>
      </w:r>
      <w:r>
        <w:rPr>
          <w:rtl w:val="true"/>
        </w:rPr>
        <w:t xml:space="preserve">, </w:t>
      </w:r>
      <w:r>
        <w:rPr>
          <w:rtl w:val="true"/>
        </w:rPr>
        <w:t>גם לאחר שזה ברח</w:t>
      </w:r>
      <w:r>
        <w:rPr>
          <w:rtl w:val="true"/>
        </w:rPr>
        <w:t xml:space="preserve">, </w:t>
      </w:r>
      <w:r>
        <w:rPr>
          <w:rtl w:val="true"/>
        </w:rPr>
        <w:t xml:space="preserve">וכבר לא היווה סיכון </w:t>
      </w:r>
      <w:r>
        <w:rPr>
          <w:rtl w:val="true"/>
        </w:rPr>
        <w:t>ל</w:t>
      </w:r>
      <w:r>
        <w:rPr>
          <w:rtl w:val="true"/>
        </w:rPr>
        <w:t>בני משפחתו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David" w:hAnsi="David" w:cs="David"/>
          <w:rtl w:val="true"/>
        </w:rPr>
        <w:t>המשך התסקיר כלל הערכת סיכון לעבריינות עתידית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והתייחסות לסיכויי השיקום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כגורמי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נשקלו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והנזק שנגרם לסעיד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צוין הקושי של עלי לשתף בפתיחות באשר לנסיבות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ונטייתו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לטשטש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נוסף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צוין כי עלי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אמפתיה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וכי 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במחירים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באשר לסיכויי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צוין בתסקיר כי עלי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ואף הביע מוטיבציה לנהל אורח חיים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בסיכום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נכתב כי קיימת רמת סיכון בינונית להישנות התנהגות אלימה ברמת חומרה בינונית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במישור ההמלצה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צוין בתסקיר כי גיבושה כרוך היה בהתלבטות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שכן 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התבוננות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המוטיבציה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הומלץ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תסקיר שירות המבחן בעניינו של </w:t>
      </w:r>
      <w:r>
        <w:rPr>
          <w:rFonts w:ascii="David" w:hAnsi="David" w:cs="David"/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וגש</w:t>
      </w:r>
      <w:r>
        <w:rPr>
          <w:rtl w:val="true"/>
        </w:rPr>
        <w:t xml:space="preserve"> עוד 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13.4.2022</w:t>
      </w:r>
      <w:r>
        <w:rPr>
          <w:rtl w:val="true"/>
        </w:rPr>
        <w:t xml:space="preserve">. </w:t>
      </w:r>
      <w:r>
        <w:rPr>
          <w:rtl w:val="true"/>
        </w:rPr>
        <w:t>כעולה מתסקיר זה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מוחמד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למניעים אשר הובילו אותו לביצוע המעשים</w:t>
      </w:r>
      <w:r>
        <w:rPr>
          <w:rtl w:val="true"/>
        </w:rPr>
        <w:t xml:space="preserve">, </w:t>
      </w:r>
      <w:r>
        <w:rPr>
          <w:rtl w:val="true"/>
        </w:rPr>
        <w:t>שבראשם הצורך לסייע ולהגן על בני משפחתו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מוחמד </w:t>
      </w:r>
      <w:r>
        <w:rPr>
          <w:rtl w:val="true"/>
        </w:rPr>
        <w:t>לקח</w:t>
      </w:r>
      <w:r>
        <w:rPr>
          <w:rtl w:val="true"/>
        </w:rPr>
        <w:t xml:space="preserve"> אחריות על מעשיו</w:t>
      </w:r>
      <w:r>
        <w:rPr>
          <w:rtl w:val="true"/>
        </w:rPr>
        <w:t xml:space="preserve">, </w:t>
      </w:r>
      <w:r>
        <w:rPr>
          <w:rtl w:val="true"/>
        </w:rPr>
        <w:t>הבין את חומרתם</w:t>
      </w:r>
      <w:r>
        <w:rPr>
          <w:rtl w:val="true"/>
        </w:rPr>
        <w:t xml:space="preserve">, </w:t>
      </w:r>
      <w:r>
        <w:rPr>
          <w:rtl w:val="true"/>
        </w:rPr>
        <w:t>שלל אותם</w:t>
      </w:r>
      <w:r>
        <w:rPr>
          <w:rtl w:val="true"/>
        </w:rPr>
        <w:t xml:space="preserve">, </w:t>
      </w:r>
      <w:r>
        <w:rPr>
          <w:rtl w:val="true"/>
        </w:rPr>
        <w:t>ואף מתחרט עליהם</w:t>
      </w:r>
      <w:r>
        <w:rPr>
          <w:rtl w:val="true"/>
        </w:rPr>
        <w:t xml:space="preserve">. </w:t>
      </w:r>
      <w:r>
        <w:rPr>
          <w:rtl w:val="true"/>
        </w:rPr>
        <w:t>באשר להערכת סיכויי השיקום</w:t>
      </w:r>
      <w:r>
        <w:rPr>
          <w:rtl w:val="true"/>
        </w:rPr>
        <w:t xml:space="preserve">, </w:t>
      </w:r>
      <w:r>
        <w:rPr>
          <w:rtl w:val="true"/>
        </w:rPr>
        <w:t>צוין בתסקיר כי יש למוחמד היכולת ליטול אחריות אישית על מעשיו</w:t>
      </w:r>
      <w:r>
        <w:rPr>
          <w:rtl w:val="true"/>
        </w:rPr>
        <w:t xml:space="preserve">, </w:t>
      </w:r>
      <w:r>
        <w:rPr>
          <w:rtl w:val="true"/>
        </w:rPr>
        <w:t>חלף השלכתה על גורמים חיצוניים</w:t>
      </w:r>
      <w:r>
        <w:rPr>
          <w:rtl w:val="true"/>
        </w:rPr>
        <w:t xml:space="preserve">, </w:t>
      </w:r>
      <w:r>
        <w:rPr>
          <w:rtl w:val="true"/>
        </w:rPr>
        <w:t>וכי הביע נכונות – לפחות ברמה המילולית – להשתלב בהליך טיפולי במסגרת שירות המבחן</w:t>
      </w:r>
      <w:r>
        <w:rPr>
          <w:rtl w:val="true"/>
        </w:rPr>
        <w:t xml:space="preserve">. </w:t>
      </w:r>
      <w:r>
        <w:rPr>
          <w:rtl w:val="true"/>
        </w:rPr>
        <w:t>בנוגע להערכת הסיכון לעבריינות עתידית</w:t>
      </w:r>
      <w:r>
        <w:rPr>
          <w:rtl w:val="true"/>
        </w:rPr>
        <w:t xml:space="preserve">, </w:t>
      </w:r>
      <w:r>
        <w:rPr>
          <w:rtl w:val="true"/>
        </w:rPr>
        <w:t>צוין בתסקיר כי מוחמד חש מחויבות לסייע לבני משפחתו</w:t>
      </w:r>
      <w:r>
        <w:rPr>
          <w:rtl w:val="true"/>
        </w:rPr>
        <w:t xml:space="preserve">, </w:t>
      </w:r>
      <w:r>
        <w:rPr>
          <w:rtl w:val="true"/>
        </w:rPr>
        <w:t>גם על חשבון מילוי צרכים אישיים</w:t>
      </w:r>
      <w:r>
        <w:rPr>
          <w:rtl w:val="true"/>
        </w:rPr>
        <w:t xml:space="preserve">. </w:t>
      </w:r>
      <w:r>
        <w:rPr>
          <w:rtl w:val="true"/>
        </w:rPr>
        <w:t>עוד צוינה ההתרשמות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על אף יכולת ויסות דחפים תקינה</w:t>
      </w:r>
      <w:r>
        <w:rPr>
          <w:rtl w:val="true"/>
        </w:rPr>
        <w:t xml:space="preserve">, </w:t>
      </w:r>
      <w:r>
        <w:rPr>
          <w:rtl w:val="true"/>
        </w:rPr>
        <w:t xml:space="preserve">עלול מוחמד לפעול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שעה שהוא פועל מתוך תחושת מחויבות לבני משפחתו</w:t>
      </w:r>
      <w:r>
        <w:rPr>
          <w:rtl w:val="true"/>
        </w:rPr>
        <w:t xml:space="preserve">. </w:t>
      </w:r>
      <w:r>
        <w:rPr>
          <w:rtl w:val="true"/>
        </w:rPr>
        <w:t>על רקע ממצא זה</w:t>
      </w:r>
      <w:r>
        <w:rPr>
          <w:rtl w:val="true"/>
        </w:rPr>
        <w:t xml:space="preserve">, </w:t>
      </w:r>
      <w:r>
        <w:rPr>
          <w:rtl w:val="true"/>
        </w:rPr>
        <w:t>צוין בתסקיר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מוחמד עשוי להיגרר לאלימות במצבים </w:t>
      </w:r>
      <w:r>
        <w:rPr>
          <w:rtl w:val="true"/>
        </w:rPr>
        <w:t>ש</w:t>
      </w:r>
      <w:r>
        <w:rPr>
          <w:rtl w:val="true"/>
        </w:rPr>
        <w:t>בהם על</w:t>
      </w:r>
      <w:r>
        <w:rPr>
          <w:rtl w:val="true"/>
        </w:rPr>
        <w:t>-</w:t>
      </w:r>
      <w:r>
        <w:rPr>
          <w:rtl w:val="true"/>
        </w:rPr>
        <w:t>פי תפיסתו הדבר דרוש לצורך הגנה על משפחתו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האמפתיה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הנוכחית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לנוכח מכלול הדברים</w:t>
      </w:r>
      <w:r>
        <w:rPr>
          <w:rtl w:val="true"/>
        </w:rPr>
        <w:t xml:space="preserve">, </w:t>
      </w:r>
      <w:r>
        <w:rPr>
          <w:rtl w:val="true"/>
        </w:rPr>
        <w:t>נקבע כי גם לגבי מוחמד קיימת רמת סיכון בינונית להישנות ביצוע עבירות ברמת חומרה בינונית</w:t>
      </w:r>
      <w:r>
        <w:rPr>
          <w:rtl w:val="true"/>
        </w:rPr>
        <w:t xml:space="preserve">. </w:t>
      </w:r>
      <w:r>
        <w:rPr>
          <w:rtl w:val="true"/>
        </w:rPr>
        <w:t>בשורת הסיכום</w:t>
      </w:r>
      <w:r>
        <w:rPr>
          <w:rtl w:val="true"/>
        </w:rPr>
        <w:t xml:space="preserve">, </w:t>
      </w:r>
      <w:r>
        <w:rPr>
          <w:rtl w:val="true"/>
        </w:rPr>
        <w:t>הומלץ לדחות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את הדיון שנקבע בשעתו</w:t>
      </w:r>
      <w:r>
        <w:rPr>
          <w:rtl w:val="true"/>
        </w:rPr>
        <w:t xml:space="preserve">, </w:t>
      </w:r>
      <w:r>
        <w:rPr>
          <w:rtl w:val="true"/>
        </w:rPr>
        <w:t>לשם שילובו של מוחמד בקבוצה טיפולית שתסייע לו בהתנהלותו</w:t>
      </w:r>
      <w:r>
        <w:rPr>
          <w:rtl w:val="true"/>
        </w:rPr>
        <w:t xml:space="preserve">, </w:t>
      </w:r>
      <w:r>
        <w:rPr>
          <w:rtl w:val="true"/>
        </w:rPr>
        <w:t xml:space="preserve">ותפחית </w:t>
      </w:r>
      <w:r>
        <w:rPr>
          <w:rtl w:val="true"/>
        </w:rPr>
        <w:t xml:space="preserve">מן </w:t>
      </w:r>
      <w:r>
        <w:rPr>
          <w:rtl w:val="true"/>
        </w:rPr>
        <w:t xml:space="preserve">הסיכון להישנות </w:t>
      </w:r>
      <w:r>
        <w:rPr>
          <w:rtl w:val="true"/>
        </w:rPr>
        <w:t xml:space="preserve">ביצוע </w:t>
      </w:r>
      <w:r>
        <w:rPr>
          <w:rtl w:val="true"/>
        </w:rPr>
        <w:t>עבירות מצדו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David" w:hAnsi="David" w:cs="David"/>
          <w:rtl w:val="true"/>
        </w:rPr>
        <w:t>בית המשפט המחוזי קיבל את המלצת שירות המבחן לטובת מיצוי ההליך השיקומי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טיפולי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וביום </w:t>
      </w:r>
      <w:r>
        <w:rPr>
          <w:rFonts w:cs="David" w:ascii="David" w:hAnsi="David"/>
        </w:rPr>
        <w:t>10.7.2022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הוגש בעניינו תסקיר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תסקיר </w:t>
      </w:r>
      <w:r>
        <w:rPr>
          <w:rFonts w:ascii="David" w:hAnsi="David" w:cs="David"/>
          <w:rtl w:val="true"/>
        </w:rPr>
        <w:t xml:space="preserve">זה </w:t>
      </w:r>
      <w:r>
        <w:rPr>
          <w:rFonts w:ascii="David" w:hAnsi="David" w:cs="David"/>
          <w:rtl w:val="true"/>
        </w:rPr>
        <w:t xml:space="preserve">כלל עדכון </w:t>
      </w:r>
      <w:r>
        <w:rPr>
          <w:rFonts w:ascii="David" w:hAnsi="David" w:cs="David"/>
          <w:rtl w:val="true"/>
        </w:rPr>
        <w:t xml:space="preserve">מאת </w:t>
      </w:r>
      <w:r>
        <w:rPr>
          <w:rFonts w:ascii="David" w:hAnsi="David" w:cs="David"/>
          <w:rtl w:val="true"/>
        </w:rPr>
        <w:t>שירות המבחן על אודות השתלבות מוחמד בקבוצה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מוחמד עודנו מצוי בשלב ראשוני של הטיפול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התבקשה דחייה נוספת של הדיון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בית המשפט המחוזי נעתר גם לבקשה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ותסקיר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שלישי במספר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הוגש ביום </w:t>
      </w:r>
      <w:r>
        <w:rPr>
          <w:rFonts w:cs="David" w:ascii="David" w:hAnsi="David"/>
        </w:rPr>
        <w:t>18.10.2022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ascii="David" w:hAnsi="David" w:cs="David"/>
          <w:rtl w:val="true"/>
        </w:rPr>
        <w:t>תסקיר זה תוארו קשיי השתלבות של מוחמד בהליך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צוינה התרשמות כי המוטיבציה של מוחמד ליטול חלק בהליך היא חיצונית</w:t>
      </w:r>
      <w:r>
        <w:rPr>
          <w:rFonts w:cs="David" w:ascii="David" w:hAnsi="David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וניכר קושי בגיבוש מוטיבציה פנימית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מוחמד אינו מגלה פניוּת לתהליך טיפולי משמעותי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כי התייחסויותיו לאירוע העבירה מלמדים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נטילת האחריות שהביע בעבר לפני שירות המבחן לא היתה כנה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כי נטה לבסס הצדקה למעשיו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בין היתר בטענה כי סעיד ואחיו קיללו את אביו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 w:cs="David"/>
          <w:rtl w:val="true"/>
        </w:rPr>
        <w:t>וכי לא ניכרת הבעת אמפתיה מצדו כלפי סעיד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לאחר מספר ניסיונות כושלים ליצור קשר עם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התברר באמצעות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שנתפס מפר את תנאי מעצרו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Fonts w:ascii="David" w:hAnsi="David" w:cs="David"/>
          <w:rtl w:val="true"/>
        </w:rPr>
        <w:t>צוינה ההערכה כי בהיעדר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ישנו </w:t>
      </w:r>
      <w:r>
        <w:rPr>
          <w:rFonts w:ascii="David" w:hAnsi="David" w:cs="David"/>
          <w:rtl w:val="true"/>
        </w:rPr>
        <w:t>סיכון להישנות 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וסוכם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באפשרותנו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בשירותנו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תסקיר נפגע העבירה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וגש</w:t>
      </w:r>
      <w:r>
        <w:rPr>
          <w:rtl w:val="true"/>
        </w:rPr>
        <w:t xml:space="preserve"> ביום </w:t>
      </w:r>
      <w:r>
        <w:rPr/>
        <w:t>4.5.2022</w:t>
      </w:r>
      <w:r>
        <w:rPr>
          <w:rtl w:val="true"/>
        </w:rPr>
        <w:t xml:space="preserve">. </w:t>
      </w:r>
      <w:r>
        <w:rPr>
          <w:rtl w:val="true"/>
        </w:rPr>
        <w:t>מהתסקיר עולה כי סעיד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מתגורר בכפר נחף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 האירוע הקשה אותו חווה סעיד</w:t>
      </w:r>
      <w:r>
        <w:rPr>
          <w:rtl w:val="true"/>
        </w:rPr>
        <w:t xml:space="preserve">, </w:t>
      </w:r>
      <w:r>
        <w:rPr>
          <w:rtl w:val="true"/>
        </w:rPr>
        <w:t>התרחש זמן לא רב לאחר אירוע פטירה אחר במשפחה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ג</w:t>
      </w:r>
      <w:r>
        <w:rPr>
          <w:rtl w:val="true"/>
        </w:rPr>
        <w:t>רם להעמקת המצוקה הנפשית שבה היה שרוי</w:t>
      </w:r>
      <w:r>
        <w:rPr>
          <w:rtl w:val="true"/>
        </w:rPr>
        <w:t xml:space="preserve">. </w:t>
      </w:r>
      <w:r>
        <w:rPr>
          <w:rtl w:val="true"/>
        </w:rPr>
        <w:t>עוד עולה מהתסקיר</w:t>
      </w:r>
      <w:r>
        <w:rPr>
          <w:rtl w:val="true"/>
        </w:rPr>
        <w:t xml:space="preserve">, </w:t>
      </w:r>
      <w:r>
        <w:rPr>
          <w:rtl w:val="true"/>
        </w:rPr>
        <w:t>כי סעיד הביע דאגה לבני משפחתו</w:t>
      </w:r>
      <w:r>
        <w:rPr>
          <w:rtl w:val="true"/>
        </w:rPr>
        <w:t xml:space="preserve">, </w:t>
      </w:r>
      <w:r>
        <w:rPr>
          <w:rtl w:val="true"/>
        </w:rPr>
        <w:t>על חייהם והתפתחותם בעתיד</w:t>
      </w:r>
      <w:r>
        <w:rPr>
          <w:rtl w:val="true"/>
        </w:rPr>
        <w:t xml:space="preserve">, </w:t>
      </w:r>
      <w:r>
        <w:rPr>
          <w:rtl w:val="true"/>
        </w:rPr>
        <w:t>בעקבות הפגיעה בו</w:t>
      </w:r>
      <w:r>
        <w:rPr>
          <w:rtl w:val="true"/>
        </w:rPr>
        <w:t xml:space="preserve">, </w:t>
      </w:r>
      <w:r>
        <w:rPr>
          <w:rtl w:val="true"/>
        </w:rPr>
        <w:t>והליכי השיקום הארוכים שעוד נכונו לו</w:t>
      </w:r>
      <w:r>
        <w:rPr>
          <w:rtl w:val="true"/>
        </w:rPr>
        <w:t xml:space="preserve">. </w:t>
      </w:r>
      <w:r>
        <w:rPr>
          <w:rtl w:val="true"/>
        </w:rPr>
        <w:t>בתסקיר מתואר</w:t>
      </w:r>
      <w:r>
        <w:rPr>
          <w:rtl w:val="true"/>
        </w:rPr>
        <w:t>ת</w:t>
      </w:r>
      <w:r>
        <w:rPr>
          <w:rtl w:val="true"/>
        </w:rPr>
        <w:t xml:space="preserve"> מפי ילדיו של סעיד</w:t>
      </w:r>
      <w:r>
        <w:rPr>
          <w:rtl w:val="true"/>
        </w:rPr>
        <w:t xml:space="preserve">, </w:t>
      </w:r>
      <w:r>
        <w:rPr>
          <w:rtl w:val="true"/>
        </w:rPr>
        <w:t>תחושת אבדן ביחס לדמות האב שקדמה לאירוע</w:t>
      </w:r>
      <w:r>
        <w:rPr>
          <w:rtl w:val="true"/>
        </w:rPr>
        <w:t xml:space="preserve">, </w:t>
      </w:r>
      <w:r>
        <w:rPr>
          <w:rtl w:val="true"/>
        </w:rPr>
        <w:t>וכן השלכה שלילית על האווירה הכללית בבית</w:t>
      </w:r>
      <w:r>
        <w:rPr>
          <w:rtl w:val="true"/>
        </w:rPr>
        <w:t xml:space="preserve">, </w:t>
      </w:r>
      <w:r>
        <w:rPr>
          <w:rtl w:val="true"/>
        </w:rPr>
        <w:t>בשים לב לרגישות שפיתח סעיד לרעשים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צורך שלו בשקט</w:t>
      </w:r>
      <w:r>
        <w:rPr>
          <w:rtl w:val="true"/>
        </w:rPr>
        <w:t xml:space="preserve">. </w:t>
      </w:r>
      <w:r>
        <w:rPr>
          <w:rtl w:val="true"/>
        </w:rPr>
        <w:t>ביחס לאירועי האלימות עצמם</w:t>
      </w:r>
      <w:r>
        <w:rPr>
          <w:rtl w:val="true"/>
        </w:rPr>
        <w:t xml:space="preserve">, </w:t>
      </w:r>
      <w:r>
        <w:rPr>
          <w:rtl w:val="true"/>
        </w:rPr>
        <w:t>עולה מן התסקיר כי מנקודת מבטו של סעיד</w:t>
      </w:r>
      <w:r>
        <w:rPr>
          <w:rtl w:val="true"/>
        </w:rPr>
        <w:t xml:space="preserve">, </w:t>
      </w:r>
      <w:r>
        <w:rPr>
          <w:rtl w:val="true"/>
        </w:rPr>
        <w:t xml:space="preserve">מעורבותו התמצתה בניסיון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מבלי שצפה את מעשי האלימות הקשים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איננו זוכר דבר מרגע שנפגע ועד שהתעורר במרכז הרפואי לשיקום</w:t>
      </w:r>
      <w:r>
        <w:rPr>
          <w:rtl w:val="true"/>
        </w:rPr>
        <w:t xml:space="preserve">. </w:t>
      </w:r>
      <w:r>
        <w:rPr>
          <w:rtl w:val="true"/>
        </w:rPr>
        <w:t>עוד עולה מהתסקיר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סעיד סובל מקשיים של ממש בדימוי העצמי</w:t>
      </w:r>
      <w:r>
        <w:rPr>
          <w:rtl w:val="true"/>
        </w:rPr>
        <w:t xml:space="preserve">, </w:t>
      </w:r>
      <w:r>
        <w:rPr>
          <w:rtl w:val="true"/>
        </w:rPr>
        <w:t>נוכח הפער בין דמותו קודם להתרחשות האירועים – אדם חזק</w:t>
      </w:r>
      <w:r>
        <w:rPr>
          <w:rtl w:val="true"/>
        </w:rPr>
        <w:t xml:space="preserve">, </w:t>
      </w:r>
      <w:r>
        <w:rPr>
          <w:rtl w:val="true"/>
        </w:rPr>
        <w:t>אופטימי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tl w:val="true"/>
        </w:rPr>
        <w:t xml:space="preserve">, </w:t>
      </w:r>
      <w:r>
        <w:rPr>
          <w:rtl w:val="true"/>
        </w:rPr>
        <w:t xml:space="preserve">עמוד תווך </w:t>
      </w:r>
      <w:r>
        <w:rPr>
          <w:rtl w:val="true"/>
        </w:rPr>
        <w:t xml:space="preserve">לבני </w:t>
      </w:r>
      <w:r>
        <w:rPr>
          <w:rtl w:val="true"/>
        </w:rPr>
        <w:t>משפחתו – כך לפי תיאורו</w:t>
      </w:r>
      <w:r>
        <w:rPr>
          <w:rtl w:val="true"/>
        </w:rPr>
        <w:t xml:space="preserve">; </w:t>
      </w:r>
      <w:r>
        <w:rPr>
          <w:rtl w:val="true"/>
        </w:rPr>
        <w:t xml:space="preserve">לבין דמותו </w:t>
      </w:r>
      <w:r>
        <w:rPr>
          <w:rtl w:val="true"/>
        </w:rPr>
        <w:t>ל</w:t>
      </w:r>
      <w:r>
        <w:rPr>
          <w:rtl w:val="true"/>
        </w:rPr>
        <w:t>אחר אירועים אלה – אדם מוגבל</w:t>
      </w:r>
      <w:r>
        <w:rPr>
          <w:rtl w:val="true"/>
        </w:rPr>
        <w:t xml:space="preserve">, </w:t>
      </w:r>
      <w:r>
        <w:rPr>
          <w:rtl w:val="true"/>
        </w:rPr>
        <w:t>הנזקק לסיועם של אחרים</w:t>
      </w:r>
      <w:r>
        <w:rPr>
          <w:rtl w:val="true"/>
        </w:rPr>
        <w:t xml:space="preserve">, </w:t>
      </w:r>
      <w:r>
        <w:rPr>
          <w:rtl w:val="true"/>
        </w:rPr>
        <w:t>ואינו מסוגל לפרנס את בני ביתו כראוי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עוד מתוארת בתסקיר הבושה שחש סעיד נוכח 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ונטייתו לשהות בביתו ולהימנע מקרבת 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התסקיר מתייחס אף לקשיים ברובד 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ולעובדה כי משפחתו מתקיימת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נכון למועד כתיבת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מקצבת נכות זמנית של הביטוח הלאומי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במישור הנזקים הפיזיים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תוארו טיפולי פיזיותרפיה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כאבי ראש ורגישות רבה לרעשים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היוצרת 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שקט ונטייה לעצבנות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בסיכום התסקיר נכתב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כי סעיד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לאובדנים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מתמודד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המליץ שירות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משנאספו החומרים</w:t>
      </w:r>
      <w:r>
        <w:rPr>
          <w:rtl w:val="true"/>
        </w:rPr>
        <w:t xml:space="preserve">, </w:t>
      </w:r>
      <w:r>
        <w:rPr>
          <w:rtl w:val="true"/>
        </w:rPr>
        <w:t xml:space="preserve">קיים בית המשפט המחוזי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ישיבות לשמיעת הטיעונים לעונש</w:t>
      </w:r>
      <w:r>
        <w:rPr>
          <w:rtl w:val="true"/>
        </w:rPr>
        <w:t xml:space="preserve">. </w:t>
      </w:r>
      <w:r>
        <w:rPr>
          <w:rtl w:val="true"/>
        </w:rPr>
        <w:t xml:space="preserve">מטעם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העידו אחִיו של סעיד ורעייתו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הוגש תיעוד ויזואלי של האירוע</w:t>
      </w:r>
      <w:r>
        <w:rPr>
          <w:rtl w:val="true"/>
        </w:rPr>
        <w:t xml:space="preserve">; </w:t>
      </w:r>
      <w:r>
        <w:rPr>
          <w:rtl w:val="true"/>
        </w:rPr>
        <w:t>תמונות של סעיד לפני האירוע ולאחריו</w:t>
      </w:r>
      <w:r>
        <w:rPr>
          <w:rtl w:val="true"/>
        </w:rPr>
        <w:t xml:space="preserve">; </w:t>
      </w:r>
      <w:r>
        <w:rPr>
          <w:rtl w:val="true"/>
        </w:rPr>
        <w:t>מסמכים רפואיים</w:t>
      </w:r>
      <w:r>
        <w:rPr>
          <w:rtl w:val="true"/>
        </w:rPr>
        <w:t xml:space="preserve">; </w:t>
      </w:r>
      <w:r>
        <w:rPr>
          <w:rtl w:val="true"/>
        </w:rPr>
        <w:t>ותלוש שכר של סעיד</w:t>
      </w:r>
      <w:r>
        <w:rPr>
          <w:rtl w:val="true"/>
        </w:rPr>
        <w:t xml:space="preserve">. </w:t>
      </w:r>
      <w:r>
        <w:rPr>
          <w:rtl w:val="true"/>
        </w:rPr>
        <w:t>מטעם ההגנה</w:t>
      </w:r>
      <w:r>
        <w:rPr>
          <w:rtl w:val="true"/>
        </w:rPr>
        <w:t xml:space="preserve">, </w:t>
      </w:r>
      <w:r>
        <w:rPr>
          <w:rtl w:val="true"/>
        </w:rPr>
        <w:t>העידה אִמם של עלי ומוחמד</w:t>
      </w:r>
      <w:r>
        <w:rPr>
          <w:rtl w:val="true"/>
        </w:rPr>
        <w:t xml:space="preserve">, </w:t>
      </w:r>
      <w:r>
        <w:rPr>
          <w:rtl w:val="true"/>
        </w:rPr>
        <w:t>וכן ארוסתו של עלי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דוח של חוקר פרטי</w:t>
      </w:r>
      <w:r>
        <w:rPr>
          <w:rtl w:val="true"/>
        </w:rPr>
        <w:t xml:space="preserve">, </w:t>
      </w:r>
      <w:r>
        <w:rPr>
          <w:rtl w:val="true"/>
        </w:rPr>
        <w:t>ממנו עולה – כך נטען – כי סעיד שב לעבוד ולהתפרנס בכוחות עצמו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14.3.2023</w:t>
      </w:r>
      <w:r>
        <w:rPr>
          <w:rtl w:val="true"/>
        </w:rPr>
        <w:t xml:space="preserve"> </w:t>
      </w:r>
      <w:r>
        <w:rPr>
          <w:rtl w:val="true"/>
        </w:rPr>
        <w:t>נגזר דינם של עלי ומוחמד</w:t>
      </w:r>
      <w:r>
        <w:rPr>
          <w:rtl w:val="true"/>
        </w:rPr>
        <w:t xml:space="preserve">. </w:t>
      </w:r>
      <w:r>
        <w:rPr>
          <w:rtl w:val="true"/>
        </w:rPr>
        <w:t>לאחר סקירה מהירה של העקרונות המנחים בענישה</w:t>
      </w:r>
      <w:r>
        <w:rPr>
          <w:rtl w:val="true"/>
        </w:rPr>
        <w:t xml:space="preserve">, </w:t>
      </w:r>
      <w:r>
        <w:rPr>
          <w:rtl w:val="true"/>
        </w:rPr>
        <w:t xml:space="preserve">ניגש בית המשפט המחוזי לקבוע את מתחם העונש ההולם </w:t>
      </w:r>
      <w:r>
        <w:rPr>
          <w:rtl w:val="true"/>
        </w:rPr>
        <w:t>ל</w:t>
      </w:r>
      <w:r>
        <w:rPr>
          <w:rtl w:val="true"/>
        </w:rPr>
        <w:t>שניים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הערכים המוגנים אשר נפגעו כתוצאה ממעשיהם של עלי ומוחמד</w:t>
      </w:r>
      <w:r>
        <w:rPr>
          <w:rtl w:val="true"/>
        </w:rPr>
        <w:t xml:space="preserve">, </w:t>
      </w:r>
      <w:r>
        <w:rPr>
          <w:rtl w:val="true"/>
        </w:rPr>
        <w:t xml:space="preserve">ובהם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לאוטונומיה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ורווחתו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 xml:space="preserve">ערכים שנקבע לגביהם כי 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בגזר הדין אף צוינה העובדה כי האירוע האלים בוצע במרחב הציבורי</w:t>
      </w:r>
      <w:r>
        <w:rPr>
          <w:rtl w:val="true"/>
        </w:rPr>
        <w:t xml:space="preserve">, </w:t>
      </w:r>
      <w:r>
        <w:rPr>
          <w:rtl w:val="true"/>
        </w:rPr>
        <w:t>לאור יום</w:t>
      </w:r>
      <w:r>
        <w:rPr>
          <w:rtl w:val="true"/>
        </w:rPr>
        <w:t xml:space="preserve">, </w:t>
      </w:r>
      <w:r>
        <w:rPr>
          <w:rtl w:val="true"/>
        </w:rPr>
        <w:t>באופן שסיכן עוברי אורח נוספים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ואף חשף אותם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ולתוצאותיהם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באשר לעוצמת הפגיעה בערכים אלו</w:t>
      </w:r>
      <w:r>
        <w:rPr>
          <w:rtl w:val="true"/>
        </w:rPr>
        <w:t xml:space="preserve">, </w:t>
      </w:r>
      <w:r>
        <w:rPr>
          <w:rtl w:val="true"/>
        </w:rPr>
        <w:t>תוך שימת לב לטיב הפגיעה בסעיד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עלי פגע בהם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בעוד שפגיעתו של מוחמד בערכים אלו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נדונה מדיניות הענישה הנהוגה בנוגע לעבירה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ונסקרה הפסיקה הרלבנטית שעסקה במקרים דומים</w:t>
      </w:r>
      <w:r>
        <w:rPr>
          <w:rtl w:val="true"/>
        </w:rPr>
        <w:t xml:space="preserve">. </w:t>
      </w: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>בחן בית המשפט המחוזי את הנסיבות הקשורות לביצוע העבירה</w:t>
      </w:r>
      <w:r>
        <w:rPr>
          <w:rtl w:val="true"/>
        </w:rPr>
        <w:t xml:space="preserve">. </w:t>
      </w:r>
      <w:r>
        <w:rPr>
          <w:rtl w:val="true"/>
        </w:rPr>
        <w:t>בהקשר זה צוין</w:t>
      </w:r>
      <w:r>
        <w:rPr>
          <w:rtl w:val="true"/>
        </w:rPr>
        <w:t xml:space="preserve">, </w:t>
      </w:r>
      <w:r>
        <w:rPr>
          <w:rtl w:val="true"/>
        </w:rPr>
        <w:t>כי כפי העולה מתיאור האירוע</w:t>
      </w:r>
      <w:r>
        <w:rPr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חלקו של מוחמד בביצוע המעשים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מחלקו של 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ה</w:t>
      </w:r>
      <w:r>
        <w:rPr>
          <w:rFonts w:ascii="David" w:hAnsi="David" w:cs="David"/>
          <w:rtl w:val="true"/>
        </w:rPr>
        <w:t>ִ</w:t>
      </w:r>
      <w:r>
        <w:rPr>
          <w:rFonts w:ascii="David" w:hAnsi="David" w:cs="David"/>
          <w:rtl w:val="true"/>
        </w:rPr>
        <w:t>כ</w:t>
      </w:r>
      <w:r>
        <w:rPr>
          <w:rFonts w:ascii="David" w:hAnsi="David" w:cs="David"/>
          <w:rtl w:val="true"/>
        </w:rPr>
        <w:t>ּ</w:t>
      </w:r>
      <w:r>
        <w:rPr>
          <w:rFonts w:ascii="David" w:hAnsi="David" w:cs="David"/>
          <w:rtl w:val="true"/>
        </w:rPr>
        <w:t>ה פיזית באמצעות קורת העץ את סעיד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כפי שגם משתקף בעבירות אשר </w:t>
      </w:r>
      <w:r>
        <w:rPr>
          <w:rFonts w:ascii="David" w:hAnsi="David" w:cs="David"/>
          <w:rtl w:val="true"/>
        </w:rPr>
        <w:t xml:space="preserve">בביצוען הורשע כל </w:t>
      </w:r>
      <w:r>
        <w:rPr>
          <w:rFonts w:ascii="David" w:hAnsi="David" w:cs="David"/>
          <w:rtl w:val="true"/>
        </w:rPr>
        <w:t>אחד מהשניים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 xml:space="preserve">גזר הדין הצביע על נסיבות אשר יש בהן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ובהן העדר תכנון מוקדם</w:t>
      </w:r>
      <w:r>
        <w:rPr>
          <w:rtl w:val="true"/>
        </w:rPr>
        <w:t xml:space="preserve">, </w:t>
      </w:r>
      <w:r>
        <w:rPr>
          <w:rtl w:val="true"/>
        </w:rPr>
        <w:t>וכן העובדה שהאירוע האלים התפתח מתוך קטטה מוקדמת שכללה מספר אנשים</w:t>
      </w:r>
      <w:r>
        <w:rPr>
          <w:rtl w:val="true"/>
        </w:rPr>
        <w:t xml:space="preserve">. </w:t>
      </w:r>
      <w:r>
        <w:rPr>
          <w:rtl w:val="true"/>
        </w:rPr>
        <w:t>באשר להעדרו של תכנון מוקדם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Fonts w:ascii="David" w:hAnsi="David" w:cs="David"/>
          <w:rtl w:val="true"/>
        </w:rPr>
        <w:t>על אף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וחמורים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להוקיעם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מהמתקהלים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תחכום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בהקשר זה הוזכרה העובדה כי קורת העץ באמצעותה הִכּה עלי את סעיד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היתה באמתחתו מבעוד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והוא הדין לגבי המקל </w:t>
      </w:r>
      <w:r>
        <w:rPr>
          <w:rFonts w:ascii="David" w:hAnsi="David" w:cs="David"/>
          <w:rtl w:val="true"/>
        </w:rPr>
        <w:t>ש</w:t>
      </w:r>
      <w:r>
        <w:rPr>
          <w:rFonts w:ascii="David" w:hAnsi="David" w:cs="David"/>
          <w:rtl w:val="true"/>
        </w:rPr>
        <w:t>בו אחז מוחמד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 xml:space="preserve">באשר להתפתחות האירוע </w:t>
      </w:r>
      <w:r>
        <w:rPr>
          <w:rtl w:val="true"/>
        </w:rPr>
        <w:t xml:space="preserve">בעקבות </w:t>
      </w:r>
      <w:r>
        <w:rPr>
          <w:rtl w:val="true"/>
        </w:rPr>
        <w:t>קטטה מוקדמת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מהנוכחים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לעומת הנסיבות המקילות שתוארו</w:t>
      </w:r>
      <w:r>
        <w:rPr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הרי שבמישור תוצאת </w:t>
      </w:r>
      <w:r>
        <w:rPr>
          <w:rFonts w:ascii="Arial TUR" w:hAnsi="Arial TUR" w:cs="Arial TUR"/>
          <w:rtl w:val="true"/>
        </w:rPr>
        <w:t>המעשים</w:t>
      </w:r>
      <w:r>
        <w:rPr>
          <w:rtl w:val="true"/>
        </w:rPr>
        <w:t>,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והפגיעה החמורה</w:t>
      </w:r>
      <w:r>
        <w:rPr>
          <w:rFonts w:ascii="Arial TUR" w:hAnsi="Arial TUR" w:cs="Arial TUR"/>
          <w:sz w:val="22"/>
          <w:sz w:val="22"/>
          <w:rtl w:val="true"/>
        </w:rPr>
        <w:t xml:space="preserve"> אשר </w:t>
      </w:r>
      <w:r>
        <w:rPr>
          <w:rFonts w:ascii="Arial TUR" w:hAnsi="Arial TUR" w:cs="Arial TUR"/>
          <w:rtl w:val="true"/>
        </w:rPr>
        <w:t>נגרמה</w:t>
      </w:r>
      <w:r>
        <w:rPr>
          <w:rFonts w:ascii="Arial TUR" w:hAnsi="Arial TUR" w:cs="Arial TUR"/>
          <w:sz w:val="22"/>
          <w:sz w:val="22"/>
          <w:rtl w:val="true"/>
        </w:rPr>
        <w:t xml:space="preserve"> לסעיד</w:t>
      </w:r>
      <w:r>
        <w:rPr>
          <w:rFonts w:cs="Arial TUR" w:ascii="Arial TUR" w:hAnsi="Arial TUR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נקבע 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המטוטלת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</w:t>
      </w:r>
      <w:r>
        <w:rPr>
          <w:rFonts w:ascii="David" w:hAnsi="David" w:cs="David"/>
          <w:rtl w:val="true"/>
        </w:rPr>
        <w:t>צוינו הפגיעות הקשות בסעיד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משך הזמן שחלף עד לחזרתו להכרה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תקופת אשפוזו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תוכן המסמכים הרפואיים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הצילומים הקשים של סעיד לפני ולאחר מעשי האלימות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וכן האמור בתסקיר נפגע העבירה שפורט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</w:t>
      </w:r>
      <w:r>
        <w:rPr>
          <w:rFonts w:ascii="David" w:hAnsi="David" w:cs="David"/>
          <w:rtl w:val="true"/>
        </w:rPr>
        <w:t>מו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כן </w:t>
      </w:r>
      <w:r>
        <w:rPr>
          <w:rFonts w:ascii="David" w:hAnsi="David" w:cs="David"/>
          <w:rtl w:val="true"/>
        </w:rPr>
        <w:t>הובאה בחשבון עדות אחיו של סעיד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אודות הטיפולים והניתוחים שעבר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זקקותו לקביים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אבדן חוש הריח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הידרדרות במצבו הנפשי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ושיבתו המדודה לעבודה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במתכונת מצומצמת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צוינה העדות של רעייתו של סעיד</w:t>
      </w:r>
      <w:r>
        <w:rPr>
          <w:rtl w:val="true"/>
        </w:rPr>
        <w:t>,</w:t>
      </w:r>
      <w:r>
        <w:rPr>
          <w:rFonts w:cs="David" w:ascii="David" w:hAnsi="David"/>
          <w:sz w:val="20"/>
          <w:rtl w:val="true"/>
        </w:rPr>
        <w:t xml:space="preserve"> </w:t>
      </w:r>
      <w:r>
        <w:rPr>
          <w:rFonts w:ascii="David" w:hAnsi="David" w:cs="David"/>
          <w:sz w:val="20"/>
          <w:sz w:val="20"/>
          <w:rtl w:val="true"/>
        </w:rPr>
        <w:t xml:space="preserve">שבה </w:t>
      </w:r>
      <w:r>
        <w:rPr>
          <w:rFonts w:ascii="David" w:hAnsi="David" w:cs="David"/>
          <w:sz w:val="20"/>
          <w:sz w:val="20"/>
          <w:rtl w:val="true"/>
        </w:rPr>
        <w:t xml:space="preserve">העידה על </w:t>
      </w:r>
      <w:r>
        <w:rPr>
          <w:rFonts w:ascii="David" w:hAnsi="David" w:cs="David"/>
          <w:sz w:val="20"/>
          <w:sz w:val="20"/>
          <w:rtl w:val="true"/>
        </w:rPr>
        <w:t>מזגו העצבני מאז קרות האירוע</w:t>
      </w:r>
      <w:r>
        <w:rPr>
          <w:rFonts w:cs="David" w:ascii="David" w:hAnsi="David"/>
          <w:sz w:val="20"/>
          <w:rtl w:val="true"/>
        </w:rPr>
        <w:t xml:space="preserve">, </w:t>
      </w:r>
      <w:r>
        <w:rPr>
          <w:rFonts w:ascii="David" w:hAnsi="David" w:cs="David"/>
          <w:sz w:val="20"/>
          <w:sz w:val="20"/>
          <w:rtl w:val="true"/>
        </w:rPr>
        <w:t>ו</w:t>
      </w:r>
      <w:r>
        <w:rPr>
          <w:rFonts w:ascii="David" w:hAnsi="David" w:cs="David"/>
          <w:sz w:val="20"/>
          <w:sz w:val="20"/>
          <w:rtl w:val="true"/>
        </w:rPr>
        <w:t xml:space="preserve">על </w:t>
      </w:r>
      <w:r>
        <w:rPr>
          <w:rFonts w:ascii="David" w:hAnsi="David" w:cs="David"/>
          <w:sz w:val="20"/>
          <w:sz w:val="20"/>
          <w:rtl w:val="true"/>
        </w:rPr>
        <w:t>עבודתו במשרה חלקית בלבד</w:t>
      </w:r>
      <w:r>
        <w:rPr>
          <w:rFonts w:cs="David" w:ascii="David" w:hAnsi="David"/>
          <w:sz w:val="20"/>
          <w:rtl w:val="true"/>
        </w:rPr>
        <w:t xml:space="preserve">. </w:t>
      </w:r>
      <w:r>
        <w:rPr>
          <w:rFonts w:ascii="David" w:hAnsi="David" w:cs="David"/>
          <w:sz w:val="20"/>
          <w:sz w:val="20"/>
          <w:rtl w:val="true"/>
        </w:rPr>
        <w:t>כמו כן</w:t>
      </w:r>
      <w:r>
        <w:rPr>
          <w:rFonts w:cs="David" w:ascii="David" w:hAnsi="David"/>
          <w:sz w:val="20"/>
          <w:rtl w:val="true"/>
        </w:rPr>
        <w:t xml:space="preserve">, </w:t>
      </w:r>
      <w:r>
        <w:rPr>
          <w:rFonts w:ascii="David" w:hAnsi="David" w:cs="David"/>
          <w:sz w:val="20"/>
          <w:sz w:val="20"/>
          <w:rtl w:val="true"/>
        </w:rPr>
        <w:t xml:space="preserve">ניתנה התייחסות </w:t>
      </w:r>
      <w:r>
        <w:rPr>
          <w:rFonts w:ascii="David" w:hAnsi="David" w:cs="David"/>
          <w:rtl w:val="true"/>
        </w:rPr>
        <w:t>לדוח החוקר הפרטי מטעם 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התיימר להציג את סעיד כאדם עובד ועצמאי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מחוץ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באתר בניה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בחברת אנשים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בעודו מתהלך עצמאית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אך לא מרים משאות כבדים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 xml:space="preserve">עוד הובא בחשבון מסמך רפואי מיום </w:t>
      </w:r>
      <w:r>
        <w:rPr>
          <w:rFonts w:cs="David" w:ascii="David" w:hAnsi="David"/>
        </w:rPr>
        <w:t>22.8.2022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שלפיו אין מניעה כי סעיד ישוב למלאכתו</w:t>
      </w:r>
      <w:r>
        <w:rPr>
          <w:rFonts w:cs="David" w:ascii="David" w:hAnsi="David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נוירופסיכולוגית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בית המשפט המחוזי סיכם את הדברים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המצטיירת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נגוזו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למסלולם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ורעיית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ואותותיהם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נשתנו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לקדמותו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במישורים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יסוד כלל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מתחם העונש ההולם את מעשיו של עלי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; </w:t>
      </w:r>
      <w:r>
        <w:rPr>
          <w:rtl w:val="true"/>
        </w:rPr>
        <w:t>ואילו מתחם העונש ההולם את מעשיו של מוחמד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אף הוא לצד ענישה נלוו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David" w:hAnsi="David" w:cs="David"/>
          <w:rtl w:val="true"/>
        </w:rPr>
        <w:t>משנקבע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פנה בית המשפט המחוזי לגזור את עונש</w:t>
      </w:r>
      <w:r>
        <w:rPr>
          <w:rFonts w:ascii="David" w:hAnsi="David" w:cs="David"/>
          <w:rtl w:val="true"/>
        </w:rPr>
        <w:t>יה</w:t>
      </w:r>
      <w:r>
        <w:rPr>
          <w:rFonts w:ascii="David" w:hAnsi="David" w:cs="David"/>
          <w:rtl w:val="true"/>
        </w:rPr>
        <w:t>ם של עלי ומוחמד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יסוד נסיבות אשר אינן קשורות בביצוע העבירה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באשר לאפשרות לסטות מהמתחם</w:t>
      </w:r>
      <w:r>
        <w:rPr>
          <w:rtl w:val="true"/>
        </w:rPr>
        <w:t xml:space="preserve">, </w:t>
      </w:r>
      <w:r>
        <w:rPr>
          <w:rtl w:val="true"/>
        </w:rPr>
        <w:t>נקבע כי לא נמצאו טעמים המצדיקים סטייה ממנו</w:t>
      </w:r>
      <w:r>
        <w:rPr>
          <w:rtl w:val="true"/>
        </w:rPr>
        <w:t xml:space="preserve">, </w:t>
      </w:r>
      <w:r>
        <w:rPr>
          <w:rtl w:val="true"/>
        </w:rPr>
        <w:t>לא לחומר</w:t>
      </w:r>
      <w:r>
        <w:rPr>
          <w:rtl w:val="true"/>
        </w:rPr>
        <w:t>ה</w:t>
      </w:r>
      <w:r>
        <w:rPr>
          <w:rtl w:val="true"/>
        </w:rPr>
        <w:t xml:space="preserve"> משיקולי הגנה על שלום הציבור</w:t>
      </w:r>
      <w:r>
        <w:rPr>
          <w:rtl w:val="true"/>
        </w:rPr>
        <w:t xml:space="preserve">, </w:t>
      </w:r>
      <w:r>
        <w:rPr>
          <w:rtl w:val="true"/>
        </w:rPr>
        <w:t>ולא לקולא משיקולי שיקום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ניתן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להודאתם של עלי ומוחמד בעובדות אשר יוחסו להם בכתב האישום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; </w:t>
      </w:r>
      <w:r>
        <w:rPr>
          <w:rtl w:val="true"/>
        </w:rPr>
        <w:t>לחיסכון בזמן שיפוטי</w:t>
      </w:r>
      <w:r>
        <w:rPr>
          <w:rtl w:val="true"/>
        </w:rPr>
        <w:t xml:space="preserve">; </w:t>
      </w:r>
      <w:r>
        <w:rPr>
          <w:rtl w:val="true"/>
        </w:rPr>
        <w:t>ולייתור הצורך בשמיעת עדותו של סעיד</w:t>
      </w:r>
      <w:r>
        <w:rPr>
          <w:rtl w:val="true"/>
        </w:rPr>
        <w:t xml:space="preserve">. </w:t>
      </w:r>
      <w:r>
        <w:rPr>
          <w:rtl w:val="true"/>
        </w:rPr>
        <w:t>עוד הובאה בחשבון העובדה כי עלי ומוחמד אינם בעלי עבר פלילי</w:t>
      </w:r>
      <w:r>
        <w:rPr>
          <w:rtl w:val="true"/>
        </w:rPr>
        <w:t xml:space="preserve">, </w:t>
      </w:r>
      <w:r>
        <w:rPr>
          <w:rtl w:val="true"/>
        </w:rPr>
        <w:t>ואף צוין גילם הצעיר באופן יחסי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צוינה העובדה כי במסגרת הטיעון לעונש</w:t>
      </w:r>
      <w:r>
        <w:rPr>
          <w:rtl w:val="true"/>
        </w:rPr>
        <w:t xml:space="preserve">, </w:t>
      </w:r>
      <w:r>
        <w:rPr>
          <w:rtl w:val="true"/>
        </w:rPr>
        <w:t>הביעו השניים צער וחרטה על מעשיהם</w:t>
      </w:r>
      <w:r>
        <w:rPr>
          <w:rtl w:val="true"/>
        </w:rPr>
        <w:t xml:space="preserve">, </w:t>
      </w:r>
      <w:r>
        <w:rPr>
          <w:rtl w:val="true"/>
        </w:rPr>
        <w:t>וכן תקווה כי חייו של סעיד ישובו למסלולם</w:t>
      </w:r>
      <w:r>
        <w:rPr>
          <w:rtl w:val="true"/>
        </w:rPr>
        <w:t xml:space="preserve">. </w:t>
      </w:r>
      <w:r>
        <w:rPr>
          <w:rtl w:val="true"/>
        </w:rPr>
        <w:t>בהקשר זה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נוסף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ה</w:t>
      </w:r>
      <w:r>
        <w:rPr>
          <w:rtl w:val="true"/>
        </w:rPr>
        <w:t>אמור</w:t>
      </w:r>
      <w:r>
        <w:rPr>
          <w:rtl w:val="true"/>
        </w:rPr>
        <w:t xml:space="preserve">, </w:t>
      </w:r>
      <w:r>
        <w:rPr>
          <w:rtl w:val="true"/>
        </w:rPr>
        <w:t>צוינה עדות אִמם של עלי ומוחמד</w:t>
      </w:r>
      <w:r>
        <w:rPr>
          <w:rtl w:val="true"/>
        </w:rPr>
        <w:t xml:space="preserve">, </w:t>
      </w:r>
      <w:r>
        <w:rPr>
          <w:rtl w:val="true"/>
        </w:rPr>
        <w:t>אשר תיארה את הקושי מאז נעצרו השניים</w:t>
      </w:r>
      <w:r>
        <w:rPr>
          <w:rtl w:val="true"/>
        </w:rPr>
        <w:t xml:space="preserve">, </w:t>
      </w:r>
      <w:r>
        <w:rPr>
          <w:rtl w:val="true"/>
        </w:rPr>
        <w:t>את הדחק הכלכלי בשל צמצום ההכנסות המשפחתיות</w:t>
      </w:r>
      <w:r>
        <w:rPr>
          <w:rtl w:val="true"/>
        </w:rPr>
        <w:t xml:space="preserve">, </w:t>
      </w:r>
      <w:r>
        <w:rPr>
          <w:rtl w:val="true"/>
        </w:rPr>
        <w:t>ואת צערה והתנצלותה בפני משפחתו של סעיד</w:t>
      </w:r>
      <w:r>
        <w:rPr>
          <w:rtl w:val="true"/>
        </w:rPr>
        <w:t xml:space="preserve">; </w:t>
      </w:r>
      <w:r>
        <w:rPr>
          <w:rtl w:val="true"/>
        </w:rPr>
        <w:t xml:space="preserve">כמו </w:t>
      </w:r>
      <w:r>
        <w:rPr>
          <w:rtl w:val="true"/>
        </w:rPr>
        <w:t>כן צוינה עדות ארוסתו של עלי</w:t>
      </w:r>
      <w:r>
        <w:rPr>
          <w:rtl w:val="true"/>
        </w:rPr>
        <w:t xml:space="preserve">, </w:t>
      </w:r>
      <w:r>
        <w:rPr>
          <w:rtl w:val="true"/>
        </w:rPr>
        <w:t>שתיארה בצער כיצד נקטעו הכנותיה לחתונה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כך צוין בגזר הדין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וההשפעה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הכלכלי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פרט לאמור</w:t>
      </w:r>
      <w:r>
        <w:rPr>
          <w:rtl w:val="true"/>
        </w:rPr>
        <w:t xml:space="preserve">, </w:t>
      </w:r>
      <w:r>
        <w:rPr>
          <w:rtl w:val="true"/>
        </w:rPr>
        <w:t>הביא בית המשפט המחוזי בחשבון את תקופת מעצרם של עלי ומוחמד באיזוק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ותקופת </w:t>
      </w:r>
      <w:r>
        <w:rPr>
          <w:rtl w:val="true"/>
        </w:rPr>
        <w:t>'</w:t>
      </w:r>
      <w:r>
        <w:rPr>
          <w:rtl w:val="true"/>
        </w:rPr>
        <w:t>מעצר הבית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של עלי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בהקשר זה צוין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עלי היה </w:t>
      </w:r>
      <w:r>
        <w:rPr>
          <w:rtl w:val="true"/>
        </w:rPr>
        <w:t xml:space="preserve">נתון </w:t>
      </w:r>
      <w:r>
        <w:rPr>
          <w:rtl w:val="true"/>
        </w:rPr>
        <w:t xml:space="preserve">במעצר באיזוק אלקטרוני במשך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לערך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 xml:space="preserve">אחר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נוספים היה ב</w:t>
      </w:r>
      <w:r>
        <w:rPr>
          <w:rtl w:val="true"/>
        </w:rPr>
        <w:t>'</w:t>
      </w:r>
      <w:r>
        <w:rPr>
          <w:rtl w:val="true"/>
        </w:rPr>
        <w:t>מעצר בית</w:t>
      </w:r>
      <w:r>
        <w:rPr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וכי מוחמד היה מצוי במעצר באיזוק אלקטרוני במשך 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תואר בעניינו של מוחמד גם מסמך מאת מחלקת חינוך</w:t>
      </w:r>
      <w:r>
        <w:rPr>
          <w:rtl w:val="true"/>
        </w:rPr>
        <w:t xml:space="preserve">, </w:t>
      </w:r>
      <w:r>
        <w:rPr>
          <w:rtl w:val="true"/>
        </w:rPr>
        <w:t>טיפול ושיקום של שירות בתי הסוהר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12.12.2022</w:t>
      </w:r>
      <w:r>
        <w:rPr>
          <w:rtl w:val="true"/>
        </w:rPr>
        <w:t xml:space="preserve">, </w:t>
      </w:r>
      <w:r>
        <w:rPr>
          <w:rtl w:val="true"/>
        </w:rPr>
        <w:t>שבו נכתב כי מוחמד לא ביצע עבירות משמעת</w:t>
      </w:r>
      <w:r>
        <w:rPr>
          <w:rtl w:val="true"/>
        </w:rPr>
        <w:t xml:space="preserve">, </w:t>
      </w:r>
      <w:r>
        <w:rPr>
          <w:rtl w:val="true"/>
        </w:rPr>
        <w:t xml:space="preserve">ואף החל לשמש בתפקיד </w:t>
      </w:r>
      <w:r>
        <w:rPr>
          <w:rtl w:val="true"/>
        </w:rPr>
        <w:t>'</w:t>
      </w:r>
      <w:r>
        <w:rPr>
          <w:rtl w:val="true"/>
        </w:rPr>
        <w:t>תומך לעצורי השגחה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Arial TUR" w:hAnsi="Arial TUR" w:cs="Arial TUR"/>
        </w:rPr>
      </w:pPr>
      <w:r>
        <w:rPr>
          <w:rFonts w:ascii="David" w:hAnsi="David" w:cs="David"/>
          <w:rtl w:val="true"/>
        </w:rPr>
        <w:t>בשקלול הנסיבות כולן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נקבע בגזר הדין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כי הכף נוטה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במחצית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תוך הנמקה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וסנקציה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יביאו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להרתעת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ולהרתעתם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בפוטנציה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יבצעו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[...]"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 TUR" w:hAnsi="Arial TUR" w:cs="Arial TUR"/>
          <w:rtl w:val="true"/>
        </w:rPr>
        <w:t>על יסוד קביעה זו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הושתו על עלי ומוחמד העונשים אשר פירט</w:t>
      </w:r>
      <w:r>
        <w:rPr>
          <w:rFonts w:ascii="Arial TUR" w:hAnsi="Arial TUR" w:cs="Arial TUR"/>
          <w:rtl w:val="true"/>
        </w:rPr>
        <w:t>תי</w:t>
      </w:r>
      <w:r>
        <w:rPr>
          <w:rFonts w:ascii="Arial TUR" w:hAnsi="Arial TUR" w:cs="Arial TUR"/>
          <w:rtl w:val="true"/>
        </w:rPr>
        <w:t xml:space="preserve"> לעיל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ב</w:t>
      </w:r>
      <w:r>
        <w:rPr>
          <w:rFonts w:ascii="Arial TUR" w:hAnsi="Arial TUR" w:cs="Arial TUR"/>
          <w:rtl w:val="true"/>
        </w:rPr>
        <w:t>תחילת פסק הדין</w:t>
      </w:r>
      <w:r>
        <w:rPr>
          <w:rFonts w:cs="Arial TUR" w:ascii="Arial TUR" w:hAnsi="Arial TUR"/>
          <w:rtl w:val="true"/>
        </w:rPr>
        <w:t>.</w:t>
      </w:r>
    </w:p>
    <w:p>
      <w:pPr>
        <w:pStyle w:val="Ruller41"/>
        <w:ind w:end="0"/>
        <w:jc w:val="both"/>
        <w:rPr>
          <w:rFonts w:ascii="Arial TUR" w:hAnsi="Arial TUR" w:cs="Arial TUR"/>
        </w:rPr>
      </w:pPr>
      <w:r>
        <w:rPr>
          <w:rFonts w:cs="Arial TUR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המדינה טוענת בערעורה כי יש להחמיר בענישה – הן עם עלי</w:t>
      </w:r>
      <w:r>
        <w:rPr>
          <w:rtl w:val="true"/>
        </w:rPr>
        <w:t xml:space="preserve">, </w:t>
      </w:r>
      <w:r>
        <w:rPr>
          <w:rtl w:val="true"/>
        </w:rPr>
        <w:t>הן עם מוחמד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העונשים האמורים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מתחמי העונש שנקבעו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נמוכים במיוחד</w:t>
      </w:r>
      <w:r>
        <w:rPr>
          <w:rtl w:val="true"/>
        </w:rPr>
        <w:t xml:space="preserve">, </w:t>
      </w:r>
      <w:r>
        <w:rPr>
          <w:rtl w:val="true"/>
        </w:rPr>
        <w:t xml:space="preserve">ואינם הולמים את העבירות </w:t>
      </w:r>
      <w:r>
        <w:rPr>
          <w:rtl w:val="true"/>
        </w:rPr>
        <w:t>ה</w:t>
      </w:r>
      <w:r>
        <w:rPr>
          <w:rtl w:val="true"/>
        </w:rPr>
        <w:t>נדו</w:t>
      </w:r>
      <w:r>
        <w:rPr>
          <w:rtl w:val="true"/>
        </w:rPr>
        <w:t>נות</w:t>
      </w:r>
      <w:r>
        <w:rPr>
          <w:rtl w:val="true"/>
        </w:rPr>
        <w:t xml:space="preserve">; </w:t>
      </w:r>
      <w:r>
        <w:rPr>
          <w:rtl w:val="true"/>
        </w:rPr>
        <w:t>את נסיבות ביצוען</w:t>
      </w:r>
      <w:r>
        <w:rPr>
          <w:rtl w:val="true"/>
        </w:rPr>
        <w:t xml:space="preserve">; </w:t>
      </w:r>
      <w:r>
        <w:rPr>
          <w:rtl w:val="true"/>
        </w:rPr>
        <w:t>ואת עוצמת הפגיעה בסעיד</w:t>
      </w:r>
      <w:r>
        <w:rPr>
          <w:rtl w:val="true"/>
        </w:rPr>
        <w:t xml:space="preserve">. </w:t>
      </w:r>
      <w:r>
        <w:rPr>
          <w:rtl w:val="true"/>
        </w:rPr>
        <w:t xml:space="preserve">לשיטת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</w:t>
      </w:r>
      <w:r>
        <w:rPr>
          <w:rtl w:val="true"/>
        </w:rPr>
        <w:t>יִחס</w:t>
      </w:r>
      <w:r>
        <w:rPr>
          <w:rtl w:val="true"/>
        </w:rPr>
        <w:t xml:space="preserve"> משקל</w:t>
      </w:r>
      <w:r>
        <w:rPr>
          <w:rtl w:val="true"/>
        </w:rPr>
        <w:t>-</w:t>
      </w:r>
      <w:r>
        <w:rPr>
          <w:rtl w:val="true"/>
        </w:rPr>
        <w:t>יתר לעובדה שלאירוע האלים לא קדם תכנון</w:t>
      </w:r>
      <w:r>
        <w:rPr>
          <w:rtl w:val="true"/>
        </w:rPr>
        <w:t xml:space="preserve">;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דווקא ההצטיידות הספונטנית בכלי משחית מאולתרים</w:t>
      </w:r>
      <w:r>
        <w:rPr>
          <w:rtl w:val="true"/>
        </w:rPr>
        <w:t xml:space="preserve">, </w:t>
      </w:r>
      <w:r>
        <w:rPr>
          <w:rtl w:val="true"/>
        </w:rPr>
        <w:t>כתגובה חסרת פרופורציה לטיב הסכסוך שהתפתח במקום</w:t>
      </w:r>
      <w:r>
        <w:rPr>
          <w:rtl w:val="true"/>
        </w:rPr>
        <w:t xml:space="preserve">, </w:t>
      </w:r>
      <w:r>
        <w:rPr>
          <w:rtl w:val="true"/>
        </w:rPr>
        <w:t>מעידה על מסוכנותם הרבה של עלי ומוחמד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הדגישה בדבריה את הפוטנציאל הקטלני של מכת ראש עוצמתית באמצעות קורת עץ ומקל מהסוג שבהם נעשה שימוש בנסיבות 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עוד עמדה </w:t>
      </w:r>
      <w:r>
        <w:rPr>
          <w:rtl w:val="true"/>
        </w:rPr>
        <w:t>המדינה</w:t>
      </w:r>
      <w:r>
        <w:rPr>
          <w:rtl w:val="true"/>
        </w:rPr>
        <w:t xml:space="preserve"> על היות עלי ומוחמד חדורי מטרה לפגוע בסעיד</w:t>
      </w:r>
      <w:r>
        <w:rPr>
          <w:rtl w:val="true"/>
        </w:rPr>
        <w:t xml:space="preserve">, </w:t>
      </w:r>
      <w:r>
        <w:rPr>
          <w:rtl w:val="true"/>
        </w:rPr>
        <w:t>כפי שבא לידי ביטוי בהמשך המרדף אחריו</w:t>
      </w:r>
      <w:r>
        <w:rPr>
          <w:rtl w:val="true"/>
        </w:rPr>
        <w:t xml:space="preserve">, </w:t>
      </w:r>
      <w:r>
        <w:rPr>
          <w:rtl w:val="true"/>
        </w:rPr>
        <w:t>גם לאחר המהלומה הראשונה</w:t>
      </w:r>
      <w:r>
        <w:rPr>
          <w:rtl w:val="true"/>
        </w:rPr>
        <w:t xml:space="preserve">, </w:t>
      </w:r>
      <w:r>
        <w:rPr>
          <w:rtl w:val="true"/>
        </w:rPr>
        <w:t>וכן בהנחתת המהלומה השנייה</w:t>
      </w:r>
      <w:r>
        <w:rPr>
          <w:rtl w:val="true"/>
        </w:rPr>
        <w:t xml:space="preserve">. </w:t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 xml:space="preserve">טוענת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השניים אף הוסיפו חטא על פשע ונמלטו מהמקום עם התמוטטות</w:t>
      </w:r>
      <w:r>
        <w:rPr>
          <w:rtl w:val="true"/>
        </w:rPr>
        <w:t>ו של</w:t>
      </w:r>
      <w:r>
        <w:rPr>
          <w:rtl w:val="true"/>
        </w:rPr>
        <w:t xml:space="preserve"> סעיד</w:t>
      </w:r>
      <w:r>
        <w:rPr>
          <w:rtl w:val="true"/>
        </w:rPr>
        <w:t xml:space="preserve">, </w:t>
      </w:r>
      <w:r>
        <w:rPr>
          <w:rtl w:val="true"/>
        </w:rPr>
        <w:t>חלף הגשת עזרה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עוד טוענת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 התוצאה העונשית רחוקה מלשקף את טיב הנזקים הפיזיים והנפשיים שנגרמו לסעיד</w:t>
      </w:r>
      <w:r>
        <w:rPr>
          <w:rtl w:val="true"/>
        </w:rPr>
        <w:t xml:space="preserve">, </w:t>
      </w:r>
      <w:r>
        <w:rPr>
          <w:rtl w:val="true"/>
        </w:rPr>
        <w:t>וכן לבני משפחתו – פיזית וכלכלית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חוזרת </w:t>
      </w:r>
      <w:r>
        <w:rPr>
          <w:rtl w:val="true"/>
        </w:rPr>
        <w:t>המדינה</w:t>
      </w:r>
      <w:r>
        <w:rPr>
          <w:rtl w:val="true"/>
        </w:rPr>
        <w:t xml:space="preserve"> ומדגישה את הנסיבות הבלתי מתקבלות על הדעת</w:t>
      </w:r>
      <w:r>
        <w:rPr>
          <w:rtl w:val="true"/>
        </w:rPr>
        <w:t xml:space="preserve">, </w:t>
      </w:r>
      <w:r>
        <w:rPr>
          <w:rtl w:val="true"/>
        </w:rPr>
        <w:t xml:space="preserve">שבהן ויכוח </w:t>
      </w:r>
      <w:r>
        <w:rPr>
          <w:rtl w:val="true"/>
        </w:rPr>
        <w:t>ע</w:t>
      </w:r>
      <w:r>
        <w:rPr>
          <w:rtl w:val="true"/>
        </w:rPr>
        <w:t>ל מה בכך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י</w:t>
      </w:r>
      <w:r>
        <w:rPr>
          <w:rtl w:val="true"/>
        </w:rPr>
        <w:t>דרדר במהירות שיא לאלימות קשה וחמורה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תופעה זו</w:t>
      </w:r>
      <w:r>
        <w:rPr>
          <w:rtl w:val="true"/>
        </w:rPr>
        <w:t xml:space="preserve">, </w:t>
      </w:r>
      <w:r>
        <w:rPr>
          <w:rtl w:val="true"/>
        </w:rPr>
        <w:t>של הידרדרות מסכסוך חסר משמעות לפתרון אלים ביותר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סבורה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כאשר קבע כי הפגיעה בערכים המוגנים מצד עלי ומוחמד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שכן לגישתה מכלול הנתונים מלמד כי הפגיעה היא ברף הגבוה</w:t>
      </w:r>
      <w:r>
        <w:rPr>
          <w:rtl w:val="true"/>
        </w:rPr>
        <w:t xml:space="preserve">. </w:t>
      </w:r>
      <w:r>
        <w:rPr>
          <w:rtl w:val="true"/>
        </w:rPr>
        <w:t>בשים לב לחומרת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טוענת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יש ל</w:t>
      </w:r>
      <w:r>
        <w:rPr>
          <w:rtl w:val="true"/>
        </w:rPr>
        <w:t xml:space="preserve">ייחס </w:t>
      </w:r>
      <w:r>
        <w:rPr>
          <w:rtl w:val="true"/>
        </w:rPr>
        <w:t>משקל מוגבל לנסיבותיהם האישיות של עלי ומוחמד</w:t>
      </w:r>
      <w:r>
        <w:rPr>
          <w:rtl w:val="true"/>
        </w:rPr>
        <w:t xml:space="preserve">, </w:t>
      </w:r>
      <w:r>
        <w:rPr>
          <w:rtl w:val="true"/>
        </w:rPr>
        <w:t>לצורך גזירת העונש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טוענת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ב</w:t>
      </w:r>
      <w:r>
        <w:rPr>
          <w:rtl w:val="true"/>
        </w:rPr>
        <w:t xml:space="preserve">עונש שנגזר </w:t>
      </w:r>
      <w:r>
        <w:rPr>
          <w:rtl w:val="true"/>
        </w:rPr>
        <w:t xml:space="preserve">אין </w:t>
      </w:r>
      <w:r>
        <w:rPr>
          <w:rtl w:val="true"/>
        </w:rPr>
        <w:t>ביטוי הולם לממצאי תסקירי שירות המבחן</w:t>
      </w:r>
      <w:r>
        <w:rPr>
          <w:rtl w:val="true"/>
        </w:rPr>
        <w:t xml:space="preserve">, </w:t>
      </w:r>
      <w:r>
        <w:rPr>
          <w:rtl w:val="true"/>
        </w:rPr>
        <w:t>אשר לימדו</w:t>
      </w:r>
      <w:r>
        <w:rPr>
          <w:rtl w:val="true"/>
        </w:rPr>
        <w:t xml:space="preserve">, </w:t>
      </w:r>
      <w:r>
        <w:rPr>
          <w:rtl w:val="true"/>
        </w:rPr>
        <w:t>במקרה של עלי</w:t>
      </w:r>
      <w:r>
        <w:rPr>
          <w:rtl w:val="true"/>
        </w:rPr>
        <w:t xml:space="preserve">, </w:t>
      </w:r>
      <w:r>
        <w:rPr>
          <w:rtl w:val="true"/>
        </w:rPr>
        <w:t>על ניסיון לצמצם את חלקו באירוע האלים ולהפחית ממשמעות השלכותיו על סעיד</w:t>
      </w:r>
      <w:r>
        <w:rPr>
          <w:rtl w:val="true"/>
        </w:rPr>
        <w:t xml:space="preserve">; </w:t>
      </w:r>
      <w:r>
        <w:rPr>
          <w:rtl w:val="true"/>
        </w:rPr>
        <w:t>ובמקרה של מוחמד</w:t>
      </w:r>
      <w:r>
        <w:rPr>
          <w:rtl w:val="true"/>
        </w:rPr>
        <w:t xml:space="preserve">, </w:t>
      </w:r>
      <w:r>
        <w:rPr>
          <w:rtl w:val="true"/>
        </w:rPr>
        <w:t>על העדר נטילת אחריות כנה</w:t>
      </w:r>
      <w:r>
        <w:rPr>
          <w:rtl w:val="true"/>
        </w:rPr>
        <w:t xml:space="preserve">, </w:t>
      </w:r>
      <w:r>
        <w:rPr>
          <w:rtl w:val="true"/>
        </w:rPr>
        <w:t>העדר אמפתיה וניסיון להצדיק את המעשה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מערערים עלי ומוחמד על חומרת גזר 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לטענתם </w:t>
      </w:r>
      <w:r>
        <w:rPr>
          <w:rtl w:val="true"/>
        </w:rPr>
        <w:t xml:space="preserve">– </w:t>
      </w:r>
      <w:r>
        <w:rPr>
          <w:rtl w:val="true"/>
        </w:rPr>
        <w:t xml:space="preserve">מבלי להקל ראש בחומרת המעשים </w:t>
      </w:r>
      <w:r>
        <w:rPr>
          <w:rtl w:val="true"/>
        </w:rPr>
        <w:t xml:space="preserve">– </w:t>
      </w:r>
      <w:r>
        <w:rPr>
          <w:rtl w:val="true"/>
        </w:rPr>
        <w:t>לא ניתן משקל הולם לשיפור הממשי שחל במצבו הרפואי של סעיד</w:t>
      </w:r>
      <w:r>
        <w:rPr>
          <w:rtl w:val="true"/>
        </w:rPr>
        <w:t xml:space="preserve">, </w:t>
      </w:r>
      <w:r>
        <w:rPr>
          <w:rtl w:val="true"/>
        </w:rPr>
        <w:t>אשר לטענתם כבר מתנהל באופן עצמאי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משקל יתר לעדות אחיו של סעיד בנוגע למצבו</w:t>
      </w:r>
      <w:r>
        <w:rPr>
          <w:rtl w:val="true"/>
        </w:rPr>
        <w:t xml:space="preserve">, </w:t>
      </w:r>
      <w:r>
        <w:rPr>
          <w:rtl w:val="true"/>
        </w:rPr>
        <w:t>אשר אינה עולה בקנה אחד עם ההתאוששות הרפואית המשתקפת ממכלול החומר הרפואי ומדוח החוקר הפרטי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טוענים עלי ומוחמד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לא יִחס כל משקל לעובדה שסעיד לא העיד לפניו </w:t>
      </w:r>
      <w:r>
        <w:rPr>
          <w:rtl w:val="true"/>
        </w:rPr>
        <w:t>–</w:t>
      </w:r>
      <w:r>
        <w:rPr>
          <w:rtl w:val="true"/>
        </w:rPr>
        <w:t xml:space="preserve"> נתון שהיה עליו לזקוף לחובתו</w:t>
      </w:r>
      <w:r>
        <w:rPr>
          <w:rtl w:val="true"/>
        </w:rPr>
        <w:t xml:space="preserve">. </w:t>
      </w:r>
      <w:r>
        <w:rPr>
          <w:rtl w:val="true"/>
        </w:rPr>
        <w:t>עוד שבים עלי ומוחמד ומזכירים את עובדת היותם נעדרי עבר פלילי</w:t>
      </w:r>
      <w:r>
        <w:rPr>
          <w:rtl w:val="true"/>
        </w:rPr>
        <w:t xml:space="preserve">, </w:t>
      </w:r>
      <w:r>
        <w:rPr>
          <w:rtl w:val="true"/>
        </w:rPr>
        <w:t>את החסכון בזמן שיפוטי שתרמה הודאתם במעשים</w:t>
      </w:r>
      <w:r>
        <w:rPr>
          <w:rtl w:val="true"/>
        </w:rPr>
        <w:t xml:space="preserve">, </w:t>
      </w:r>
      <w:r>
        <w:rPr>
          <w:rtl w:val="true"/>
        </w:rPr>
        <w:t>ואת החרטה שהביעו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צוינה גם התנהגותו החיובית של מוחמד במהלך מאסרו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13.7.2023</w:t>
      </w:r>
      <w:r>
        <w:rPr>
          <w:rtl w:val="true"/>
        </w:rPr>
        <w:t xml:space="preserve"> </w:t>
      </w:r>
      <w:r>
        <w:rPr>
          <w:rtl w:val="true"/>
        </w:rPr>
        <w:t>התקיים לפנינו דיון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בו חזרו הצדדים על עיקרי טענותיהם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לקראת הדיון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25.6.2023</w:t>
      </w:r>
      <w:r>
        <w:rPr>
          <w:rtl w:val="true"/>
        </w:rPr>
        <w:t xml:space="preserve">, </w:t>
      </w:r>
      <w:r>
        <w:rPr>
          <w:rtl w:val="true"/>
        </w:rPr>
        <w:t xml:space="preserve">הובאו </w:t>
      </w:r>
      <w:r>
        <w:rPr>
          <w:rtl w:val="true"/>
        </w:rPr>
        <w:t>לעיוננ</w:t>
      </w:r>
      <w:r>
        <w:rPr>
          <w:rtl w:val="true"/>
        </w:rPr>
        <w:t xml:space="preserve">ו תסקירים עדכניים </w:t>
      </w:r>
      <w:r>
        <w:rPr>
          <w:rtl w:val="true"/>
        </w:rPr>
        <w:t>בעניינם של עלי ומוחמד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בתסקיר בעניינו של עלי</w:t>
      </w:r>
      <w:r>
        <w:rPr>
          <w:rtl w:val="true"/>
        </w:rPr>
        <w:t xml:space="preserve">, </w:t>
      </w:r>
      <w:r>
        <w:rPr>
          <w:rtl w:val="true"/>
        </w:rPr>
        <w:t xml:space="preserve">מצוין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ומבוססת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לצרכיו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הממוקדים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ליחסו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 xml:space="preserve">". </w:t>
      </w:r>
      <w:r>
        <w:rPr>
          <w:rtl w:val="true"/>
        </w:rPr>
        <w:t>באשר למוחמד</w:t>
      </w:r>
      <w:r>
        <w:rPr>
          <w:rtl w:val="true"/>
        </w:rPr>
        <w:t xml:space="preserve">, </w:t>
      </w:r>
      <w:r>
        <w:rPr>
          <w:rtl w:val="true"/>
        </w:rPr>
        <w:t>צוין בתסקיר כי הוא מביע חרטה על מעשיו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משמעת</w:t>
      </w:r>
      <w:r>
        <w:rPr>
          <w:rtl w:val="true"/>
        </w:rPr>
        <w:t xml:space="preserve">", </w:t>
      </w:r>
      <w:r>
        <w:rPr>
          <w:rtl w:val="true"/>
        </w:rPr>
        <w:t xml:space="preserve">אך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למוחמד </w:t>
      </w:r>
      <w:r>
        <w:rPr>
          <w:rtl w:val="true"/>
        </w:rPr>
        <w:t>נטייה לאלימות ו</w:t>
      </w:r>
      <w:r>
        <w:rPr>
          <w:rtl w:val="true"/>
        </w:rPr>
        <w:t xml:space="preserve">כי קיים </w:t>
      </w:r>
      <w:r>
        <w:rPr>
          <w:rtl w:val="true"/>
        </w:rPr>
        <w:t>צורך בטיפול בתחום השליטה בכעסים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שעיינתי בגזר הדין</w:t>
      </w:r>
      <w:r>
        <w:rPr>
          <w:rtl w:val="true"/>
        </w:rPr>
        <w:t xml:space="preserve">, </w:t>
      </w:r>
      <w:r>
        <w:rPr>
          <w:rtl w:val="true"/>
        </w:rPr>
        <w:t>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ונתתי דעתי </w:t>
      </w:r>
      <w:r>
        <w:rPr>
          <w:rtl w:val="true"/>
        </w:rPr>
        <w:t xml:space="preserve">על </w:t>
      </w:r>
      <w:r>
        <w:rPr>
          <w:rtl w:val="true"/>
        </w:rPr>
        <w:t>כלל 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</w:t>
      </w:r>
      <w:r>
        <w:rPr>
          <w:rtl w:val="true"/>
        </w:rPr>
        <w:t xml:space="preserve">כי דין </w:t>
      </w:r>
      <w:r>
        <w:rPr>
          <w:rtl w:val="true"/>
        </w:rPr>
        <w:t>ערעור המדינה – להתקבל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כי דין </w:t>
      </w:r>
      <w:r>
        <w:rPr>
          <w:rtl w:val="true"/>
        </w:rPr>
        <w:t xml:space="preserve">ערעוריהם של עלי ומוחמד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נקודת המוצא היא כי לא בנקל תתערב ערכאת הערעור בגזר הדין של הערכאה הדיונית</w:t>
      </w:r>
      <w:r>
        <w:rPr>
          <w:rtl w:val="true"/>
        </w:rPr>
        <w:t xml:space="preserve">; </w:t>
      </w:r>
      <w:r>
        <w:rPr>
          <w:rtl w:val="true"/>
        </w:rPr>
        <w:t xml:space="preserve">אפשרות זו שמורה למקרים של סטייה ממשית ממדיניות הענישה הראויה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3.12.2015</w:t>
      </w:r>
      <w:r>
        <w:rPr>
          <w:rtl w:val="true"/>
        </w:rPr>
        <w:t xml:space="preserve">);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126/22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>)).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שומה עלינו להחמיר בעונש</w:t>
      </w:r>
      <w:r>
        <w:rPr>
          <w:rtl w:val="true"/>
        </w:rPr>
        <w:t>יה</w:t>
      </w:r>
      <w:r>
        <w:rPr>
          <w:rtl w:val="true"/>
        </w:rPr>
        <w:t>ם של עלי ומוחמד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מצוות המחוקק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העיקרון המנחה בקביעת העונש הוא עיקרון ההלימה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שמשמעותו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בית משפט זה עמד פעמים רבות על החומרה היתרה שבעבירות אלימות קשה</w:t>
      </w:r>
      <w:r>
        <w:rPr>
          <w:rtl w:val="true"/>
        </w:rPr>
        <w:t xml:space="preserve">, </w:t>
      </w:r>
      <w:r>
        <w:rPr>
          <w:rtl w:val="true"/>
        </w:rPr>
        <w:t>הטומנות</w:t>
      </w:r>
      <w:r>
        <w:rPr>
          <w:rFonts w:ascii="Miriam" w:hAnsi="Miriam" w:cs="Miriam"/>
          <w:color w:val="000000"/>
          <w:rtl w:val="true"/>
        </w:rPr>
        <w:t xml:space="preserve"> בחובן סיכון לתוצאה קטלנית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עבירות בהן מזדמן לנו להיתקל למרבה הצער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שוב ושוב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 xml:space="preserve">גם עקב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425/23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Cs/>
          <w:spacing w:val="0"/>
          <w:sz w:val="22"/>
          <w:szCs w:val="24"/>
        </w:rPr>
        <w:t>Tekeste Teklu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</w:rPr>
        <w:t>Tekeste Teklu</w:t>
      </w:r>
      <w:r>
        <w:rPr>
          <w:rFonts w:cs="Century" w:ascii="Century" w:hAnsi="Century"/>
          <w:sz w:val="22"/>
          <w:rtl w:val="true"/>
        </w:rPr>
        <w:t>)</w:t>
      </w:r>
      <w:r>
        <w:rPr>
          <w:b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מנה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מספר שיקולים אשר יש בהם כדי למתן את העונש ההולם את מעשיהם של עלי ומוחמד</w:t>
      </w:r>
      <w:r>
        <w:rPr>
          <w:rtl w:val="true"/>
        </w:rPr>
        <w:t xml:space="preserve">. </w:t>
      </w:r>
      <w:r>
        <w:rPr>
          <w:rtl w:val="true"/>
        </w:rPr>
        <w:t>כשיקול לקולא</w:t>
      </w:r>
      <w:r>
        <w:rPr>
          <w:rtl w:val="true"/>
        </w:rPr>
        <w:t xml:space="preserve">, </w:t>
      </w:r>
      <w:r>
        <w:rPr>
          <w:rtl w:val="true"/>
        </w:rPr>
        <w:t>ביחס לקביעת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צויין </w:t>
      </w:r>
      <w:r>
        <w:rPr>
          <w:rtl w:val="true"/>
        </w:rPr>
        <w:t xml:space="preserve">העדר תכנון מוקדם מצד השניים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כשיקולים המצדיקים גזירת עונש מתון</w:t>
      </w:r>
      <w:r>
        <w:rPr>
          <w:rtl w:val="true"/>
        </w:rPr>
        <w:t xml:space="preserve">, </w:t>
      </w:r>
      <w:r>
        <w:rPr>
          <w:rtl w:val="true"/>
        </w:rPr>
        <w:t>בתוך המתחם עצמו</w:t>
      </w:r>
      <w:r>
        <w:rPr>
          <w:rtl w:val="true"/>
        </w:rPr>
        <w:t xml:space="preserve">, </w:t>
      </w:r>
      <w:r>
        <w:rPr>
          <w:rtl w:val="true"/>
        </w:rPr>
        <w:t>צויינו</w:t>
      </w:r>
      <w:r>
        <w:rPr>
          <w:rtl w:val="true"/>
        </w:rPr>
        <w:t xml:space="preserve">: </w:t>
      </w:r>
      <w:r>
        <w:rPr>
          <w:rtl w:val="true"/>
        </w:rPr>
        <w:t>גילם של עלי ומוחמד</w:t>
      </w:r>
      <w:r>
        <w:rPr>
          <w:rtl w:val="true"/>
        </w:rPr>
        <w:t xml:space="preserve">; </w:t>
      </w:r>
      <w:r>
        <w:rPr>
          <w:rtl w:val="true"/>
        </w:rPr>
        <w:t>פגיעת העונש בבני משפחה אחרים</w:t>
      </w:r>
      <w:r>
        <w:rPr>
          <w:rtl w:val="true"/>
        </w:rPr>
        <w:t xml:space="preserve">; </w:t>
      </w:r>
      <w:r>
        <w:rPr>
          <w:rtl w:val="true"/>
        </w:rPr>
        <w:t xml:space="preserve">הודאתם של השניים </w:t>
      </w:r>
      <w:r>
        <w:rPr>
          <w:rtl w:val="true"/>
        </w:rPr>
        <w:t>בביצוע ה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שחסכה שמיעת ראיות ועדויות</w:t>
      </w:r>
      <w:r>
        <w:rPr>
          <w:rtl w:val="true"/>
        </w:rPr>
        <w:t xml:space="preserve">; </w:t>
      </w:r>
      <w:r>
        <w:rPr>
          <w:rtl w:val="true"/>
        </w:rPr>
        <w:t xml:space="preserve">וכן העדר עבר פלילי </w:t>
      </w:r>
      <w:r>
        <w:rPr>
          <w:rtl w:val="true"/>
        </w:rPr>
        <w:t>(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2-1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דומה כי הצדק עם </w:t>
      </w:r>
      <w:r>
        <w:rPr>
          <w:rtl w:val="true"/>
        </w:rPr>
        <w:t>המדינה בטענתה</w:t>
      </w:r>
      <w:r>
        <w:rPr>
          <w:rtl w:val="true"/>
        </w:rPr>
        <w:t xml:space="preserve">, </w:t>
      </w:r>
      <w:r>
        <w:rPr>
          <w:rtl w:val="true"/>
        </w:rPr>
        <w:t xml:space="preserve">שלפיה בית המשפט המחוזי לא </w:t>
      </w:r>
      <w:r>
        <w:rPr>
          <w:rtl w:val="true"/>
        </w:rPr>
        <w:t>יִחס</w:t>
      </w:r>
      <w:r>
        <w:rPr>
          <w:rtl w:val="true"/>
        </w:rPr>
        <w:t xml:space="preserve"> משקל מספיק לשורה של נסיבות</w:t>
      </w:r>
      <w:r>
        <w:rPr>
          <w:rtl w:val="true"/>
        </w:rPr>
        <w:t xml:space="preserve">, </w:t>
      </w:r>
      <w:r>
        <w:rPr>
          <w:rtl w:val="true"/>
        </w:rPr>
        <w:t>המשווֹת למעשים אופי חמור במיוחד</w:t>
      </w:r>
      <w:r>
        <w:rPr>
          <w:rtl w:val="true"/>
        </w:rPr>
        <w:t xml:space="preserve">; </w:t>
      </w:r>
      <w:r>
        <w:rPr>
          <w:rtl w:val="true"/>
        </w:rPr>
        <w:t>מעשים אשר מצדיקים לשיטתי</w:t>
      </w:r>
      <w:r>
        <w:rPr>
          <w:rtl w:val="true"/>
        </w:rPr>
        <w:t xml:space="preserve">, </w:t>
      </w:r>
      <w:r>
        <w:rPr>
          <w:rtl w:val="true"/>
        </w:rPr>
        <w:t>בהתאם לעקרון ההלימה</w:t>
      </w:r>
      <w:r>
        <w:rPr>
          <w:rtl w:val="true"/>
        </w:rPr>
        <w:t xml:space="preserve">, </w:t>
      </w:r>
      <w:r>
        <w:rPr>
          <w:rtl w:val="true"/>
        </w:rPr>
        <w:t>עונש חמור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אפתח בערך החברתי שנפגע כתוצאה מביצוע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ובמידת הפגיעה בו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דומה כי מסקנת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כי פגיעתו של עלי היא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וזו של מוחמד</w:t>
      </w:r>
      <w:r>
        <w:rPr>
          <w:rtl w:val="true"/>
        </w:rPr>
        <w:t xml:space="preserve">, </w:t>
      </w:r>
      <w:r>
        <w:rPr>
          <w:rtl w:val="true"/>
        </w:rPr>
        <w:t xml:space="preserve">אף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איננה הולמת את חומרת הפגיעה בענייננו</w:t>
      </w:r>
      <w:r>
        <w:rPr>
          <w:rtl w:val="true"/>
        </w:rPr>
        <w:t xml:space="preserve">. </w:t>
      </w:r>
      <w:r>
        <w:rPr>
          <w:rtl w:val="true"/>
        </w:rPr>
        <w:t>הדברים אמורים הן ביחס לחומרה המוש</w:t>
      </w:r>
      <w:r>
        <w:rPr>
          <w:rtl w:val="true"/>
        </w:rPr>
        <w:t>ׂ</w:t>
      </w:r>
      <w:r>
        <w:rPr>
          <w:rtl w:val="true"/>
        </w:rPr>
        <w:t>גית</w:t>
      </w:r>
      <w:r>
        <w:rPr>
          <w:rtl w:val="true"/>
        </w:rPr>
        <w:t xml:space="preserve">, </w:t>
      </w:r>
      <w:r>
        <w:rPr>
          <w:rtl w:val="true"/>
        </w:rPr>
        <w:t>הבוחנת את הערך החברתי המוגן</w:t>
      </w:r>
      <w:r>
        <w:rPr>
          <w:rtl w:val="true"/>
        </w:rPr>
        <w:t xml:space="preserve">; </w:t>
      </w:r>
      <w:r>
        <w:rPr>
          <w:rtl w:val="true"/>
        </w:rPr>
        <w:t>הן ביחס לחומרה הקונקרטית</w:t>
      </w:r>
      <w:r>
        <w:rPr>
          <w:rtl w:val="true"/>
        </w:rPr>
        <w:t xml:space="preserve">, </w:t>
      </w:r>
      <w:r>
        <w:rPr>
          <w:rtl w:val="true"/>
        </w:rPr>
        <w:t xml:space="preserve">המביאה בחשבון את הנסיבות הקשורות לביצוע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יורם רבין ויניב ואקי </w:t>
      </w:r>
      <w:hyperlink r:id="rId31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עונשין</w:t>
        </w:r>
      </w:hyperlink>
      <w:r>
        <w:rPr>
          <w:rtl w:val="true"/>
        </w:rPr>
        <w:t xml:space="preserve"> כרך ג</w:t>
      </w:r>
      <w:r>
        <w:rPr>
          <w:rtl w:val="true"/>
        </w:rPr>
        <w:t xml:space="preserve">'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1477-1475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עונשין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במסגרת בחינת החומרה המוש</w:t>
      </w:r>
      <w:r>
        <w:rPr>
          <w:rtl w:val="true"/>
        </w:rPr>
        <w:t>ׂ</w:t>
      </w:r>
      <w:r>
        <w:rPr>
          <w:rtl w:val="true"/>
        </w:rPr>
        <w:t>גית של מעשה העבירה</w:t>
      </w:r>
      <w:r>
        <w:rPr>
          <w:rtl w:val="true"/>
        </w:rPr>
        <w:t xml:space="preserve">, </w:t>
      </w:r>
      <w:r>
        <w:rPr>
          <w:rtl w:val="true"/>
        </w:rPr>
        <w:t>הנוגעת לערך החברתי המוגן שביסודו</w:t>
      </w:r>
      <w:r>
        <w:rPr>
          <w:rtl w:val="true"/>
        </w:rPr>
        <w:t xml:space="preserve">, </w:t>
      </w:r>
      <w:r>
        <w:rPr>
          <w:rtl w:val="true"/>
        </w:rPr>
        <w:t>יש ל</w:t>
      </w:r>
      <w:r>
        <w:rPr>
          <w:rtl w:val="true"/>
        </w:rPr>
        <w:t>ייחס</w:t>
      </w:r>
      <w:r>
        <w:rPr>
          <w:rtl w:val="true"/>
        </w:rPr>
        <w:t xml:space="preserve"> משקל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לטיבו של העונש הקבוע בצד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כמו גם ליסוד הנפשי הנדרש לביצועה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1476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בהתאם לאמות מידה אלו</w:t>
      </w:r>
      <w:r>
        <w:rPr>
          <w:rtl w:val="true"/>
        </w:rPr>
        <w:t xml:space="preserve">, </w:t>
      </w:r>
      <w:r>
        <w:rPr>
          <w:rtl w:val="true"/>
        </w:rPr>
        <w:t>דומה כי קשה להפריז בחומרתה של עבירת החבלה בכוונה מחמירה</w:t>
      </w:r>
      <w:r>
        <w:rPr>
          <w:rtl w:val="true"/>
        </w:rPr>
        <w:t xml:space="preserve">, </w:t>
      </w:r>
      <w:r>
        <w:rPr>
          <w:rtl w:val="true"/>
        </w:rPr>
        <w:t>אשר בוצעה על</w:t>
      </w:r>
      <w:r>
        <w:rPr>
          <w:rtl w:val="true"/>
        </w:rPr>
        <w:t>-</w:t>
      </w:r>
      <w:r>
        <w:rPr>
          <w:rtl w:val="true"/>
        </w:rPr>
        <w:t>ידי עלי</w:t>
      </w:r>
      <w:r>
        <w:rPr>
          <w:rtl w:val="true"/>
        </w:rPr>
        <w:t xml:space="preserve">, </w:t>
      </w:r>
      <w:r>
        <w:rPr>
          <w:rtl w:val="true"/>
        </w:rPr>
        <w:t>בסיועו הישיר של מוחמד</w:t>
      </w:r>
      <w:r>
        <w:rPr>
          <w:rtl w:val="true"/>
        </w:rPr>
        <w:t xml:space="preserve">. </w:t>
      </w:r>
      <w:r>
        <w:rPr>
          <w:rtl w:val="true"/>
        </w:rPr>
        <w:t xml:space="preserve">לבד </w:t>
      </w:r>
      <w:r>
        <w:rPr>
          <w:rtl w:val="true"/>
        </w:rPr>
        <w:t xml:space="preserve">מן </w:t>
      </w:r>
      <w:r>
        <w:rPr>
          <w:rtl w:val="true"/>
        </w:rPr>
        <w:t>החומרה הגלומה בכל עבירות החבלה המנויות ב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הרי זו שלפנינו </w:t>
      </w:r>
      <w:r>
        <w:rPr>
          <w:rtl w:val="true"/>
        </w:rPr>
        <w:t xml:space="preserve">מתווה </w:t>
      </w:r>
      <w:r>
        <w:rPr>
          <w:rtl w:val="true"/>
        </w:rPr>
        <w:t xml:space="preserve">עונש מקסימלי חמור במיוחד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מעוגן בה </w:t>
      </w:r>
      <w:r>
        <w:rPr>
          <w:rtl w:val="true"/>
        </w:rPr>
        <w:t>יסוד נפשי של כוונה</w:t>
      </w:r>
      <w:r>
        <w:rPr>
          <w:rtl w:val="true"/>
        </w:rPr>
        <w:t xml:space="preserve">, </w:t>
      </w:r>
      <w:r>
        <w:rPr>
          <w:rtl w:val="true"/>
        </w:rPr>
        <w:t>המלמדת על פגיעה בעצימות גבוהה במיוחד בערכים המוגנים שעל הפרק – ערכים שבית המשפט המחוזי היטיב ל</w:t>
      </w:r>
      <w:r>
        <w:rPr>
          <w:rtl w:val="true"/>
        </w:rPr>
        <w:t>ציינ</w:t>
      </w:r>
      <w:r>
        <w:rPr>
          <w:rtl w:val="true"/>
        </w:rPr>
        <w:t>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באשר לעוצמת הפגיעה הקונקרטית בערך המוגן – הנלמדת כאמור מנסיבות הקשורות בביצוע העבירה – דומה כי </w:t>
      </w:r>
      <w:r>
        <w:rPr>
          <w:rtl w:val="true"/>
        </w:rPr>
        <w:t>ב</w:t>
      </w:r>
      <w:r>
        <w:rPr>
          <w:rtl w:val="true"/>
        </w:rPr>
        <w:t>גזר הדין לא נ</w:t>
      </w:r>
      <w:r>
        <w:rPr>
          <w:rtl w:val="true"/>
        </w:rPr>
        <w:t>י</w:t>
      </w:r>
      <w:r>
        <w:rPr>
          <w:rtl w:val="true"/>
        </w:rPr>
        <w:t>תן משקל הולם למספר היבטים</w:t>
      </w:r>
      <w:r>
        <w:rPr>
          <w:rtl w:val="true"/>
        </w:rPr>
        <w:t xml:space="preserve">, </w:t>
      </w:r>
      <w:r>
        <w:rPr>
          <w:rtl w:val="true"/>
        </w:rPr>
        <w:t>המשקפים פגיעה חמורה במיוחד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הרושם הוא כי לא ניתן בגזר הדין די משקל לנזק שצפוי היה להיגרם כתוצאה ממעשי האלימות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גם אם נזק זה לא נגרם בפועל</w:t>
      </w:r>
      <w:r>
        <w:rPr>
          <w:rtl w:val="true"/>
        </w:rPr>
        <w:t xml:space="preserve">; </w:t>
      </w:r>
      <w:r>
        <w:rPr>
          <w:rtl w:val="true"/>
        </w:rPr>
        <w:t xml:space="preserve">בדין מציינת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הנפת חפץ רב משקל</w:t>
      </w:r>
      <w:r>
        <w:rPr>
          <w:rtl w:val="true"/>
        </w:rPr>
        <w:t xml:space="preserve">, </w:t>
      </w:r>
      <w:r>
        <w:rPr>
          <w:rtl w:val="true"/>
        </w:rPr>
        <w:t>בעוצמה רבה</w:t>
      </w:r>
      <w:r>
        <w:rPr>
          <w:rtl w:val="true"/>
        </w:rPr>
        <w:t xml:space="preserve">, </w:t>
      </w:r>
      <w:r>
        <w:rPr>
          <w:rtl w:val="true"/>
        </w:rPr>
        <w:t>והטחתו בראשו של אדם</w:t>
      </w:r>
      <w:r>
        <w:rPr>
          <w:rtl w:val="true"/>
        </w:rPr>
        <w:t xml:space="preserve">, </w:t>
      </w:r>
      <w:r>
        <w:rPr>
          <w:rtl w:val="true"/>
        </w:rPr>
        <w:t>יש בה פוטנציאל ממשי לקפד את חייו</w:t>
      </w:r>
      <w:r>
        <w:rPr>
          <w:rtl w:val="true"/>
        </w:rPr>
        <w:t xml:space="preserve">. </w:t>
      </w:r>
      <w:r>
        <w:rPr>
          <w:rtl w:val="true"/>
        </w:rPr>
        <w:t>במובן זה</w:t>
      </w:r>
      <w:r>
        <w:rPr>
          <w:rtl w:val="true"/>
        </w:rPr>
        <w:t xml:space="preserve">, </w:t>
      </w:r>
      <w:r>
        <w:rPr>
          <w:rtl w:val="true"/>
        </w:rPr>
        <w:t xml:space="preserve">הגם שאין מדובר בכלי נשק קר </w:t>
      </w:r>
      <w:r>
        <w:rPr>
          <w:rtl w:val="true"/>
        </w:rPr>
        <w:t>'</w:t>
      </w:r>
      <w:r>
        <w:rPr>
          <w:rtl w:val="true"/>
        </w:rPr>
        <w:t>מוּכּר</w:t>
      </w:r>
      <w:r>
        <w:rPr>
          <w:rtl w:val="true"/>
        </w:rPr>
        <w:t xml:space="preserve">' </w:t>
      </w:r>
      <w:r>
        <w:rPr>
          <w:rtl w:val="true"/>
        </w:rPr>
        <w:t xml:space="preserve">כמו סכין – לגביו כבר קידשנו מאבק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ומרתיעה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cs="Miriam" w:ascii="Century" w:hAnsi="Century"/>
          <w:bCs/>
          <w:spacing w:val="0"/>
          <w:sz w:val="22"/>
          <w:szCs w:val="24"/>
        </w:rPr>
        <w:t>Tekeste Teklu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Fonts w:cs="Century" w:ascii="Century" w:hAnsi="Century"/>
          <w:sz w:val="22"/>
          <w:rtl w:val="true"/>
        </w:rPr>
        <w:t>)</w:t>
      </w:r>
      <w:r>
        <w:rPr>
          <w:b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הרי שנוכח הפוטנציאל הקטלני הדומה</w:t>
      </w:r>
      <w:r>
        <w:rPr>
          <w:rtl w:val="true"/>
        </w:rPr>
        <w:t xml:space="preserve">, </w:t>
      </w:r>
      <w:r>
        <w:rPr>
          <w:rtl w:val="true"/>
        </w:rPr>
        <w:t>יש מקום לענישה דומה</w:t>
      </w:r>
      <w:r>
        <w:rPr>
          <w:rtl w:val="true"/>
        </w:rPr>
        <w:t xml:space="preserve">, </w:t>
      </w:r>
      <w:r>
        <w:rPr>
          <w:rtl w:val="true"/>
        </w:rPr>
        <w:t>ובוודאי שאין להפחית באופן כה משמעותי מחומרת המעשה</w:t>
      </w:r>
      <w:r>
        <w:rPr>
          <w:rtl w:val="true"/>
        </w:rPr>
        <w:t xml:space="preserve">. </w:t>
      </w:r>
      <w:r>
        <w:rPr>
          <w:rtl w:val="true"/>
        </w:rPr>
        <w:t>עוד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צודקת </w:t>
      </w:r>
      <w:r>
        <w:rPr>
          <w:rtl w:val="true"/>
        </w:rPr>
        <w:t>המדינה</w:t>
      </w:r>
      <w:r>
        <w:rPr>
          <w:rtl w:val="true"/>
        </w:rPr>
        <w:t xml:space="preserve"> גם בהדגישהּ את הסכנה הפוטנציאלית שבהתנהגותם של עלי ומוחמד</w:t>
      </w:r>
      <w:r>
        <w:rPr>
          <w:rtl w:val="true"/>
        </w:rPr>
        <w:t xml:space="preserve">, </w:t>
      </w:r>
      <w:r>
        <w:rPr>
          <w:rtl w:val="true"/>
        </w:rPr>
        <w:t>גם ביחס לעוברי אורח ששהו במקום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ab/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באשר לנסיבות הקשורות לנזק שנגרם לסעיד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גזר הדין עצמו</w:t>
      </w:r>
      <w:r>
        <w:rPr>
          <w:rtl w:val="true"/>
        </w:rPr>
        <w:t xml:space="preserve">, </w:t>
      </w:r>
      <w:r>
        <w:rPr>
          <w:rtl w:val="true"/>
        </w:rPr>
        <w:t>בדרך הילוכו</w:t>
      </w:r>
      <w:r>
        <w:rPr>
          <w:rtl w:val="true"/>
        </w:rPr>
        <w:t xml:space="preserve">, </w:t>
      </w:r>
      <w:r>
        <w:rPr>
          <w:rtl w:val="true"/>
        </w:rPr>
        <w:t>מציין כי שיקול זה</w:t>
      </w:r>
      <w:r>
        <w:rPr>
          <w:rtl w:val="true"/>
        </w:rPr>
        <w:t xml:space="preserve">, </w:t>
      </w:r>
      <w:r>
        <w:rPr>
          <w:rFonts w:ascii="Arial TUR" w:hAnsi="Arial TUR" w:cs="Arial TUR"/>
          <w:rtl w:val="true"/>
        </w:rPr>
        <w:t>יש 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המטוטלת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לחומר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ואולם דומה כי גם בעניין זה צודקת </w:t>
      </w:r>
      <w:r>
        <w:rPr>
          <w:rFonts w:ascii="Century" w:hAnsi="Century" w:cs="Century"/>
          <w:sz w:val="22"/>
          <w:sz w:val="22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התוצאה העונשית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בסופו של 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נותנת ביטוי הולם למלוא הנזקים שנגרמו לסעיד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נחזור על הפרטים במלואם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רבים 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לדאבון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לב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נסתפק אך בציון העובדה כי חייו של סעיד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למרבה המזל ניצלו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לבטח לא ישובו להיות כשהיו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אדוו</w:t>
      </w:r>
      <w:r>
        <w:rPr>
          <w:rFonts w:ascii="Century" w:hAnsi="Century" w:cs="Century"/>
          <w:sz w:val="22"/>
          <w:sz w:val="22"/>
          <w:rtl w:val="true"/>
        </w:rPr>
        <w:t>ֹ</w:t>
      </w:r>
      <w:r>
        <w:rPr>
          <w:rFonts w:ascii="Century" w:hAnsi="Century" w:cs="Century"/>
          <w:sz w:val="22"/>
          <w:sz w:val="22"/>
          <w:rtl w:val="true"/>
        </w:rPr>
        <w:t>ת הפגיעה בנפגע העבירה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הן פיזית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הן נפשית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מכות גם במעגלי החיים שסביבו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כפי שמתארים בני ביתו וכפי שעולה מתסקיר נפגע העבירה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830/23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41-36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18.6.2023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יתר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כפי שכבר ציינתי </w:t>
      </w:r>
      <w:r>
        <w:rPr>
          <w:rtl w:val="true"/>
        </w:rPr>
        <w:t xml:space="preserve">– </w:t>
      </w:r>
      <w:r>
        <w:rPr>
          <w:rFonts w:ascii="Century" w:hAnsi="Century" w:cs="Century"/>
          <w:sz w:val="22"/>
          <w:sz w:val="22"/>
          <w:rtl w:val="true"/>
        </w:rPr>
        <w:t>הן במבט פרט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ascii="Century" w:hAnsi="Century" w:cs="Century"/>
          <w:sz w:val="22"/>
          <w:sz w:val="22"/>
          <w:rtl w:val="true"/>
        </w:rPr>
        <w:t>י על המקרה שלנו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הן במבט רחב יותר על מה שנראה כתופעה חברתית מדאיגה </w:t>
      </w:r>
      <w:r>
        <w:rPr>
          <w:rtl w:val="true"/>
        </w:rPr>
        <w:t xml:space="preserve">– </w:t>
      </w:r>
      <w:r>
        <w:rPr>
          <w:rFonts w:ascii="Century" w:hAnsi="Century" w:cs="Century"/>
          <w:sz w:val="22"/>
          <w:sz w:val="22"/>
          <w:rtl w:val="true"/>
        </w:rPr>
        <w:t>לא ניתן להתעלם מהקלות שבה ויכוח מוגבל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מתפתח תוך זמן קצר לקטטה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ומשם קצרה הדרך למעשי אלימות קשים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שאך בנס לא נסתיימו באבדן חיים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אחת הנסיבות ה</w:t>
      </w:r>
      <w:r>
        <w:rPr>
          <w:rFonts w:ascii="Century" w:hAnsi="Century" w:cs="Century"/>
          <w:sz w:val="22"/>
          <w:sz w:val="22"/>
          <w:rtl w:val="true"/>
        </w:rPr>
        <w:t xml:space="preserve">מצויינות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לצורך קביעת מתחם העונש ההולם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נוגעת לסיבות שהביאו את הנאשם לבצע את העבירה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40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)(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דומה כי לעיתים דווקא העדר כל סיבה ממשית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במה שנראה כמו אלימות שרירותית בעקבות עניין פעוט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בה כדי לבטא זלזול בוטה במיוחד בערך המוגן של חיי אדם ושלמות הגוף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היבט נוסף שלא ניתן להתעלם ממנו</w:t>
      </w:r>
      <w:r>
        <w:rPr>
          <w:rtl w:val="true"/>
        </w:rPr>
        <w:t xml:space="preserve">, </w:t>
      </w:r>
      <w:r>
        <w:rPr>
          <w:rtl w:val="true"/>
        </w:rPr>
        <w:t>ושדומה כי אף הוא לא קיבל ביטוי הולם בתוצאה העונשית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הוא מידת האכזריות שנלוותה למעשיהם של עלי ומוחמד </w:t>
      </w:r>
      <w:r>
        <w:rPr>
          <w:rtl w:val="true"/>
        </w:rPr>
        <w:t>(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תיאור המעשה – קשה לקריאה</w:t>
      </w:r>
      <w:r>
        <w:rPr>
          <w:rtl w:val="true"/>
        </w:rPr>
        <w:t xml:space="preserve">. </w:t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>גם לאחר שסעיד נחבט בראשו בפעם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הוא הוסיף לברוח על </w:t>
      </w:r>
      <w:r>
        <w:rPr>
          <w:rtl w:val="true"/>
        </w:rPr>
        <w:t xml:space="preserve">מנת </w:t>
      </w:r>
      <w:r>
        <w:rPr>
          <w:rtl w:val="true"/>
        </w:rPr>
        <w:t>למלט נפשו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בְלֹא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כֹחַ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לִפְנֵי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רוֹדֵף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איכה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בנקודת הזמן הזאת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שתי המכות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נמלט סעיד כשהוא חסר אונים</w:t>
      </w:r>
      <w:r>
        <w:rPr>
          <w:rtl w:val="true"/>
        </w:rPr>
        <w:t xml:space="preserve">, </w:t>
      </w:r>
      <w:r>
        <w:rPr>
          <w:rtl w:val="true"/>
        </w:rPr>
        <w:t>חבוּל</w:t>
      </w:r>
      <w:r>
        <w:rPr>
          <w:rtl w:val="true"/>
        </w:rPr>
        <w:t xml:space="preserve">, </w:t>
      </w:r>
      <w:r>
        <w:rPr>
          <w:rtl w:val="true"/>
        </w:rPr>
        <w:t xml:space="preserve">ולבטח לא מהווה סכנה </w:t>
      </w:r>
      <w:r>
        <w:rPr>
          <w:rtl w:val="true"/>
        </w:rPr>
        <w:t>ל</w:t>
      </w:r>
      <w:r>
        <w:rPr>
          <w:rtl w:val="true"/>
        </w:rPr>
        <w:t>איש מהנוכחים</w:t>
      </w:r>
      <w:r>
        <w:rPr>
          <w:rtl w:val="true"/>
        </w:rPr>
        <w:t xml:space="preserve">. </w:t>
      </w:r>
      <w:r>
        <w:rPr>
          <w:rtl w:val="true"/>
        </w:rPr>
        <w:t>דבר זה לא מנע מעלי להנחית עליו את המהלומה הנוספת – וממוחמד</w:t>
      </w:r>
      <w:r>
        <w:rPr>
          <w:rtl w:val="true"/>
        </w:rPr>
        <w:t xml:space="preserve">, </w:t>
      </w:r>
      <w:r>
        <w:rPr>
          <w:rtl w:val="true"/>
        </w:rPr>
        <w:t>לנסות אף הוא לעשות כן</w:t>
      </w:r>
      <w:r>
        <w:rPr>
          <w:rtl w:val="true"/>
        </w:rPr>
        <w:t xml:space="preserve">. </w:t>
      </w:r>
      <w:r>
        <w:rPr>
          <w:rtl w:val="true"/>
        </w:rPr>
        <w:t>אכזריות המעשים מתבטאת גם בהפקרת סעיד בזירה</w:t>
      </w:r>
      <w:r>
        <w:rPr>
          <w:rtl w:val="true"/>
        </w:rPr>
        <w:t xml:space="preserve">, </w:t>
      </w:r>
      <w:r>
        <w:rPr>
          <w:rtl w:val="true"/>
        </w:rPr>
        <w:t>ובאדישות שהפגינו כלפיו</w:t>
      </w:r>
      <w:r>
        <w:rPr>
          <w:rtl w:val="true"/>
        </w:rPr>
        <w:t xml:space="preserve">, </w:t>
      </w:r>
      <w:r>
        <w:rPr>
          <w:rtl w:val="true"/>
        </w:rPr>
        <w:t>לאחר שהתמוטט</w:t>
      </w:r>
      <w:r>
        <w:rPr>
          <w:rtl w:val="true"/>
        </w:rPr>
        <w:t xml:space="preserve">, </w:t>
      </w:r>
      <w:r>
        <w:rPr>
          <w:rtl w:val="true"/>
        </w:rPr>
        <w:t>כשהוא מדמם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שיקול חשוב נוסף שדומה כי לא קיבל משקל הולם בתוצאה העונשית של גזר הדין</w:t>
      </w:r>
      <w:r>
        <w:rPr>
          <w:rtl w:val="true"/>
        </w:rPr>
        <w:t xml:space="preserve">, </w:t>
      </w:r>
      <w:r>
        <w:rPr>
          <w:rtl w:val="true"/>
        </w:rPr>
        <w:t>נוגע לתמונה המשתקפת מתסקיריהם של עלי ומוחמד</w:t>
      </w:r>
      <w:r>
        <w:rPr>
          <w:rtl w:val="true"/>
        </w:rPr>
        <w:t xml:space="preserve">. </w:t>
      </w:r>
      <w:r>
        <w:rPr>
          <w:rtl w:val="true"/>
        </w:rPr>
        <w:t>כפי שתיארתי לעיל</w:t>
      </w:r>
      <w:r>
        <w:rPr>
          <w:rtl w:val="true"/>
        </w:rPr>
        <w:t xml:space="preserve">, </w:t>
      </w:r>
      <w:r>
        <w:rPr>
          <w:rtl w:val="true"/>
        </w:rPr>
        <w:t>מתסקירו של עלי מצטיירת תמונה של העדר לקיחת אחריות</w:t>
      </w:r>
      <w:r>
        <w:rPr>
          <w:rtl w:val="true"/>
        </w:rPr>
        <w:t xml:space="preserve">; </w:t>
      </w:r>
      <w:r>
        <w:rPr>
          <w:rtl w:val="true"/>
        </w:rPr>
        <w:t>צמצום חלקו באירוע האלים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הכרה במלוא הנזק שגרם ל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מתסקיריו של מוחמד – שלושה במספר – עולה במפורש העדרהּ של נטילת אחריות כנה</w:t>
      </w:r>
      <w:r>
        <w:rPr>
          <w:rtl w:val="true"/>
        </w:rPr>
        <w:t xml:space="preserve">; </w:t>
      </w:r>
      <w:r>
        <w:rPr>
          <w:rtl w:val="true"/>
        </w:rPr>
        <w:t>חוסר אמפתיה לסעיד</w:t>
      </w:r>
      <w:r>
        <w:rPr>
          <w:rtl w:val="true"/>
        </w:rPr>
        <w:t xml:space="preserve">; </w:t>
      </w:r>
      <w:r>
        <w:rPr>
          <w:rtl w:val="true"/>
        </w:rPr>
        <w:t>ואף ניסיון להצדיק את המעשה בדיעבד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</w:t>
      </w:r>
      <w:r>
        <w:rPr>
          <w:rtl w:val="true"/>
        </w:rPr>
        <w:t xml:space="preserve"> על כך</w:t>
      </w:r>
      <w:r>
        <w:rPr>
          <w:rtl w:val="true"/>
        </w:rPr>
        <w:t xml:space="preserve">, </w:t>
      </w:r>
      <w:r>
        <w:rPr>
          <w:rtl w:val="true"/>
        </w:rPr>
        <w:t>כאשר ציין כי דברי החרטה שהשמיעו באוזניו עלי ומוחמד</w:t>
      </w:r>
      <w:r>
        <w:rPr>
          <w:rtl w:val="true"/>
        </w:rPr>
        <w:t xml:space="preserve">, </w:t>
      </w:r>
      <w:r>
        <w:rPr>
          <w:rtl w:val="true"/>
        </w:rPr>
        <w:t>בשלב הטיעונים לעונש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>
          <w:rFonts w:ascii="Century" w:hAnsi="Century" w:cs="Century"/>
          <w:sz w:val="22"/>
          <w:sz w:val="22"/>
          <w:rtl w:val="true"/>
        </w:rPr>
        <w:t>אף שלא נעלם מעיניו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ואולם קשה לאמץ את המסקנה כי הבעת החרטה המאוחרת</w:t>
      </w:r>
      <w:r>
        <w:rPr>
          <w:rtl w:val="true"/>
        </w:rPr>
        <w:t xml:space="preserve">, </w:t>
      </w:r>
      <w:r>
        <w:rPr>
          <w:rtl w:val="true"/>
        </w:rPr>
        <w:t>מאיינת את הרושם המובהק שהובע בתסקירים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בעניינו של מוחמד</w:t>
      </w:r>
      <w:r>
        <w:rPr>
          <w:rtl w:val="true"/>
        </w:rPr>
        <w:t xml:space="preserve">, </w:t>
      </w:r>
      <w:r>
        <w:rPr>
          <w:rtl w:val="true"/>
        </w:rPr>
        <w:t>אשר קיבל הזדמנות ממשית להליך טיפולי</w:t>
      </w:r>
      <w:r>
        <w:rPr>
          <w:rtl w:val="true"/>
        </w:rPr>
        <w:t xml:space="preserve">, </w:t>
      </w:r>
      <w:r>
        <w:rPr>
          <w:rtl w:val="true"/>
        </w:rPr>
        <w:t>אך הליך זה הסתיים ללא הועיל</w:t>
      </w:r>
      <w:r>
        <w:rPr>
          <w:rtl w:val="true"/>
        </w:rPr>
        <w:t xml:space="preserve">, </w:t>
      </w:r>
      <w:r>
        <w:rPr>
          <w:rtl w:val="true"/>
        </w:rPr>
        <w:t>כמפורט במסקנות העגומות של התסקיר השלישי שניתן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לאור האמור עד כה </w:t>
      </w:r>
      <w:r>
        <w:rPr>
          <w:rtl w:val="true"/>
        </w:rPr>
        <w:t>–</w:t>
      </w:r>
      <w:r>
        <w:rPr>
          <w:rtl w:val="true"/>
        </w:rPr>
        <w:t xml:space="preserve"> קיימת הצדקה להחמרה מסוימת בעונשם של עלי ומוחמד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ברי כי דין ערעוריהם להקלה בעונשם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מצאתי לנכון להתייחס לטענה אחת שנטענה על</w:t>
      </w:r>
      <w:r>
        <w:rPr>
          <w:rtl w:val="true"/>
        </w:rPr>
        <w:t>-</w:t>
      </w:r>
      <w:r>
        <w:rPr>
          <w:rtl w:val="true"/>
        </w:rPr>
        <w:t>ידם בערעור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חלה התאוששות מסוימת במצבו של סעיד</w:t>
      </w:r>
      <w:r>
        <w:rPr>
          <w:rtl w:val="true"/>
        </w:rPr>
        <w:t xml:space="preserve">, </w:t>
      </w:r>
      <w:r>
        <w:rPr>
          <w:rtl w:val="true"/>
        </w:rPr>
        <w:t>אשר אף התחיל להתנהל בכוחות עצמו</w:t>
      </w:r>
      <w:r>
        <w:rPr>
          <w:rtl w:val="true"/>
        </w:rPr>
        <w:t xml:space="preserve">, </w:t>
      </w:r>
      <w:r>
        <w:rPr>
          <w:rtl w:val="true"/>
        </w:rPr>
        <w:t>ושב למלאכתו ברמת כשירות מסוימת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מבקשים עלי ומוחמד כי נקיים בהם מקרא שכתוב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וְכִי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יְרִיבֻן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אֲנָשִׁים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וְהִכָּה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אִישׁ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אֶת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רֵעֵהוּ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בְּאֶבֶן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אוֹ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בְאֶגְרֹף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וְלֹא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יָמוּת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וְנָפַל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לְמִשְׁכָּב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אִם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יָקוּם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וְהִתְהַלֵּךְ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בַּחוּץ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עַל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מִשְׁעַנְתּוֹ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וְנִקָּה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הַמַּכֶּה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כא</w:t>
      </w:r>
      <w:r>
        <w:rPr>
          <w:rtl w:val="true"/>
        </w:rPr>
        <w:t xml:space="preserve">, </w:t>
      </w:r>
      <w:r>
        <w:rPr>
          <w:rtl w:val="true"/>
        </w:rPr>
        <w:t>יח</w:t>
      </w:r>
      <w:r>
        <w:rPr>
          <w:rtl w:val="true"/>
        </w:rPr>
        <w:t>-</w:t>
      </w:r>
      <w:r>
        <w:rPr>
          <w:rtl w:val="true"/>
        </w:rPr>
        <w:t>יט</w:t>
      </w:r>
      <w:r>
        <w:rPr>
          <w:rtl w:val="true"/>
        </w:rPr>
        <w:t xml:space="preserve">).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התאוששותו החלקית של סעיד</w:t>
      </w:r>
      <w:r>
        <w:rPr>
          <w:rtl w:val="true"/>
        </w:rPr>
        <w:t xml:space="preserve">, </w:t>
      </w:r>
      <w:r>
        <w:rPr>
          <w:rtl w:val="true"/>
        </w:rPr>
        <w:t xml:space="preserve">איננה מאיינת את עוצמת הנזקים הפיזיים והנפשיים שנגרמו לו </w:t>
      </w:r>
      <w:r>
        <w:rPr>
          <w:rtl w:val="true"/>
        </w:rPr>
        <w:t>–</w:t>
      </w:r>
      <w:r>
        <w:rPr>
          <w:rtl w:val="true"/>
        </w:rPr>
        <w:t xml:space="preserve"> עליהם אין חולק</w:t>
      </w:r>
      <w:r>
        <w:rPr>
          <w:rtl w:val="true"/>
        </w:rPr>
        <w:t xml:space="preserve">; </w:t>
      </w:r>
      <w:r>
        <w:rPr>
          <w:rtl w:val="true"/>
        </w:rPr>
        <w:t xml:space="preserve">ומכל מקום </w:t>
      </w:r>
      <w:r>
        <w:rPr>
          <w:rtl w:val="true"/>
        </w:rPr>
        <w:t>–</w:t>
      </w:r>
      <w:r>
        <w:rPr>
          <w:rtl w:val="true"/>
        </w:rPr>
        <w:t xml:space="preserve"> אין בכך כדי להוות נסיבה להקלה בעונש</w:t>
      </w:r>
      <w:r>
        <w:rPr>
          <w:rtl w:val="true"/>
        </w:rPr>
        <w:t xml:space="preserve">, </w:t>
      </w:r>
      <w:r>
        <w:rPr>
          <w:rtl w:val="true"/>
        </w:rPr>
        <w:t>בהינתן יתר השיקולים שנמנו לעיל</w:t>
      </w:r>
      <w:r>
        <w:rPr>
          <w:rtl w:val="true"/>
        </w:rPr>
        <w:t xml:space="preserve">, </w:t>
      </w:r>
      <w:r>
        <w:rPr>
          <w:rtl w:val="true"/>
        </w:rPr>
        <w:t>ובפרט הצורך בהבעת סלידה מפני התופעה שבה ויכוח קל שבקלים</w:t>
      </w:r>
      <w:r>
        <w:rPr>
          <w:rtl w:val="true"/>
        </w:rPr>
        <w:t xml:space="preserve">, </w:t>
      </w:r>
      <w:r>
        <w:rPr>
          <w:rtl w:val="true"/>
        </w:rPr>
        <w:t>הופך עד מהרה לאירוע אלים ואכזרי</w:t>
      </w:r>
      <w:r>
        <w:rPr>
          <w:rtl w:val="true"/>
        </w:rPr>
        <w:t xml:space="preserve">, </w:t>
      </w:r>
      <w:r>
        <w:rPr>
          <w:rtl w:val="true"/>
        </w:rPr>
        <w:t>שבנס לא נגמר בתוצאה קטלנית הרת</w:t>
      </w:r>
      <w:r>
        <w:rPr>
          <w:rtl w:val="true"/>
        </w:rPr>
        <w:t>-</w:t>
      </w:r>
      <w:r>
        <w:rPr>
          <w:rtl w:val="true"/>
        </w:rPr>
        <w:t>אסון</w:t>
      </w:r>
      <w:r>
        <w:rPr>
          <w:rtl w:val="true"/>
        </w:rPr>
        <w:t xml:space="preserve">. </w:t>
      </w:r>
      <w:r>
        <w:rPr>
          <w:rtl w:val="true"/>
        </w:rPr>
        <w:t>שאר הטענות</w:t>
      </w:r>
      <w:r>
        <w:rPr>
          <w:rtl w:val="true"/>
        </w:rPr>
        <w:t xml:space="preserve">, </w:t>
      </w:r>
      <w:r>
        <w:rPr>
          <w:rtl w:val="true"/>
        </w:rPr>
        <w:t>הנוגעות לנסיבות מקילות הנזקפות לטובתם של מוחמד ועלי</w:t>
      </w:r>
      <w:r>
        <w:rPr>
          <w:rtl w:val="true"/>
        </w:rPr>
        <w:t xml:space="preserve">, </w:t>
      </w:r>
      <w:r>
        <w:rPr>
          <w:rtl w:val="true"/>
        </w:rPr>
        <w:t>לא נעלמו מעיני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כאמור לעיל התייחס אליהם במפורש</w:t>
      </w:r>
      <w:r>
        <w:rPr>
          <w:rtl w:val="true"/>
        </w:rPr>
        <w:t xml:space="preserve">, </w:t>
      </w:r>
      <w:r>
        <w:rPr>
          <w:rtl w:val="true"/>
        </w:rPr>
        <w:t>וממילא לא מצאתי כי יש בהן כדי להטות את הכף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סבורני כי יש מקום להחמיר בעונשם של עלי ומוחמד</w:t>
      </w:r>
      <w:r>
        <w:rPr>
          <w:rtl w:val="true"/>
        </w:rPr>
        <w:t xml:space="preserve">, </w:t>
      </w:r>
      <w:r>
        <w:rPr>
          <w:rtl w:val="true"/>
        </w:rPr>
        <w:t>גם אם באופן מתון</w:t>
      </w:r>
      <w:r>
        <w:rPr>
          <w:rtl w:val="true"/>
        </w:rPr>
        <w:t xml:space="preserve"> יחסית</w:t>
      </w:r>
      <w:r>
        <w:rPr>
          <w:rtl w:val="true"/>
        </w:rPr>
        <w:t xml:space="preserve">, </w:t>
      </w:r>
      <w:r>
        <w:rPr>
          <w:rtl w:val="true"/>
        </w:rPr>
        <w:t>בשים לב לכלל הנקוט בידינו</w:t>
      </w:r>
      <w:r>
        <w:rPr>
          <w:rtl w:val="true"/>
        </w:rPr>
        <w:t xml:space="preserve">, </w:t>
      </w:r>
      <w:r>
        <w:rPr>
          <w:rtl w:val="true"/>
        </w:rPr>
        <w:t xml:space="preserve">שלפיו אין </w:t>
      </w:r>
      <w:r>
        <w:rPr>
          <w:rtl w:val="true"/>
        </w:rPr>
        <w:t xml:space="preserve">זו </w:t>
      </w:r>
      <w:r>
        <w:rPr>
          <w:rtl w:val="true"/>
        </w:rPr>
        <w:t xml:space="preserve">דרכה של ערכאת הערעור למצות את </w:t>
      </w:r>
      <w:r>
        <w:rPr>
          <w:rtl w:val="true"/>
        </w:rPr>
        <w:t xml:space="preserve">מלוא חומרת </w:t>
      </w:r>
      <w:r>
        <w:rPr>
          <w:rtl w:val="true"/>
        </w:rPr>
        <w:t xml:space="preserve">העונש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5836/22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4.4.2023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לחברַי </w:t>
      </w:r>
      <w:r>
        <w:rPr>
          <w:rtl w:val="true"/>
        </w:rPr>
        <w:t>לדחות את ערעורם של עלי ומוחמד</w:t>
      </w:r>
      <w:r>
        <w:rPr>
          <w:rtl w:val="true"/>
        </w:rPr>
        <w:t xml:space="preserve">, </w:t>
      </w:r>
      <w:r>
        <w:rPr>
          <w:rtl w:val="true"/>
        </w:rPr>
        <w:t xml:space="preserve">ומנגד </w:t>
      </w:r>
      <w:r>
        <w:rPr>
          <w:rtl w:val="true"/>
        </w:rPr>
        <w:t>–</w:t>
      </w:r>
      <w:r>
        <w:rPr>
          <w:rtl w:val="true"/>
        </w:rPr>
        <w:t xml:space="preserve"> לקבל את ערעור המדינה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 אפוא</w:t>
      </w:r>
      <w:r>
        <w:rPr>
          <w:rtl w:val="true"/>
        </w:rPr>
        <w:t xml:space="preserve">, </w:t>
      </w:r>
      <w:r>
        <w:rPr>
          <w:rtl w:val="true"/>
        </w:rPr>
        <w:t>כי נורה על החמרת ע</w:t>
      </w:r>
      <w:r>
        <w:rPr>
          <w:rtl w:val="true"/>
        </w:rPr>
        <w:t>ונשו של עלי 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כך שחלף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המאסר בפועל שהושתו עליו</w:t>
      </w:r>
      <w:r>
        <w:rPr>
          <w:rtl w:val="true"/>
        </w:rPr>
        <w:t xml:space="preserve">, </w:t>
      </w:r>
      <w:r>
        <w:rPr>
          <w:rtl w:val="true"/>
        </w:rPr>
        <w:t xml:space="preserve">יעמוד עונשו עתה על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נורה על החמרת עונשו של מוחמד 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כך שחלף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שהושתו עליו</w:t>
      </w:r>
      <w:r>
        <w:rPr>
          <w:rtl w:val="true"/>
        </w:rPr>
        <w:t xml:space="preserve">, </w:t>
      </w:r>
      <w:r>
        <w:rPr>
          <w:rtl w:val="true"/>
        </w:rPr>
        <w:t xml:space="preserve">יעמוד עונשו </w:t>
      </w:r>
      <w:r>
        <w:rPr>
          <w:rtl w:val="true"/>
        </w:rPr>
        <w:t xml:space="preserve">עתה </w:t>
      </w:r>
      <w:r>
        <w:rPr>
          <w:rtl w:val="true"/>
        </w:rPr>
        <w:t xml:space="preserve">על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, </w:t>
      </w:r>
      <w:r>
        <w:rPr>
          <w:rtl w:val="true"/>
        </w:rPr>
        <w:t xml:space="preserve">תִשמר הפרופורציה שבין </w:t>
      </w:r>
      <w:r>
        <w:rPr>
          <w:rtl w:val="true"/>
        </w:rPr>
        <w:t xml:space="preserve">תקופת </w:t>
      </w:r>
      <w:r>
        <w:rPr>
          <w:rtl w:val="true"/>
        </w:rPr>
        <w:t>המאסר שנגזר</w:t>
      </w:r>
      <w:r>
        <w:rPr>
          <w:rtl w:val="true"/>
        </w:rPr>
        <w:t>ה</w:t>
      </w:r>
      <w:r>
        <w:rPr>
          <w:rtl w:val="true"/>
        </w:rPr>
        <w:t xml:space="preserve"> על עלי לבין </w:t>
      </w:r>
      <w:r>
        <w:rPr>
          <w:rtl w:val="true"/>
        </w:rPr>
        <w:t xml:space="preserve">זו </w:t>
      </w:r>
      <w:r>
        <w:rPr>
          <w:rtl w:val="true"/>
        </w:rPr>
        <w:t>שנגזר</w:t>
      </w:r>
      <w:r>
        <w:rPr>
          <w:rtl w:val="true"/>
        </w:rPr>
        <w:t>ה</w:t>
      </w:r>
      <w:r>
        <w:rPr>
          <w:rtl w:val="true"/>
        </w:rPr>
        <w:t xml:space="preserve"> על מוחמד</w:t>
      </w:r>
      <w:r>
        <w:rPr>
          <w:rtl w:val="true"/>
        </w:rPr>
        <w:t xml:space="preserve">, </w:t>
      </w:r>
      <w:r>
        <w:rPr>
          <w:rtl w:val="true"/>
        </w:rPr>
        <w:t>גם בפסק דיננו</w:t>
      </w:r>
      <w:r>
        <w:rPr>
          <w:rtl w:val="true"/>
        </w:rPr>
        <w:t xml:space="preserve"> בשלב הערעור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 רכיבי גזר הדין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בכללם עונשי המאסר על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תנאי וניכוי ימי המעצר – יעמדו בעינם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bookmarkStart w:id="2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9.8.2023</w:t>
      </w:r>
      <w:r>
        <w:rPr>
          <w:rtl w:val="true"/>
        </w:rPr>
        <w:t xml:space="preserve">). </w:t>
      </w:r>
      <w:bookmarkEnd w:id="22"/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23031050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עי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54678313-3105/23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3105/23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סרחאן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326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0i.a.3" TargetMode="External"/><Relationship Id="rId10" Type="http://schemas.openxmlformats.org/officeDocument/2006/relationships/hyperlink" Target="http://www.nevo.co.il/law/70301/40i.a.4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case/27732625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29.a.1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case/20513526" TargetMode="External"/><Relationship Id="rId22" Type="http://schemas.openxmlformats.org/officeDocument/2006/relationships/hyperlink" Target="http://www.nevo.co.il/case/28226828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9309601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safrut/bookgroup/2258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.a.3" TargetMode="External"/><Relationship Id="rId34" Type="http://schemas.openxmlformats.org/officeDocument/2006/relationships/hyperlink" Target="http://www.nevo.co.il/law/70301/40i.a.4" TargetMode="External"/><Relationship Id="rId35" Type="http://schemas.openxmlformats.org/officeDocument/2006/relationships/hyperlink" Target="http://www.nevo.co.il/case/2935232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8916092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2023-08-14T10:12:00Z</dcterms:created>
  <dc:creator>h4</dc:creator>
  <dc:description/>
  <cp:keywords/>
  <dc:language>en-IL</dc:language>
  <cp:lastModifiedBy>h1</cp:lastModifiedBy>
  <cp:lastPrinted>2023-08-09T15:03:00Z</cp:lastPrinted>
  <dcterms:modified xsi:type="dcterms:W3CDTF">2023-08-14T10:12:00Z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סרחאן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27732625:2;20513526;28226828;29309601;29352327;28916092</vt:lpwstr>
  </property>
  <property fmtid="{D5CDD505-2E9C-101B-9397-08002B2CF9AE}" pid="9" name="CITY">
    <vt:lpwstr/>
  </property>
  <property fmtid="{D5CDD505-2E9C-101B-9397-08002B2CF9AE}" pid="10" name="DATE">
    <vt:lpwstr>20230809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70301/329.a.1:2;031;380;025;040b;040i;40ja;040c;040i.a.3;040i.a.4</vt:lpwstr>
  </property>
  <property fmtid="{D5CDD505-2E9C-101B-9397-08002B2CF9AE}" pid="15" name="LAWYER">
    <vt:lpwstr>עידית שינו אמיתי;מוחמד סראחנה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BOOKNEVO">
    <vt:lpwstr>2258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מדיניות ענישה: חבלה בכוונה מחמירה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>עקרון ההלימה‏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8984;19401;8982;8995;14799</vt:lpwstr>
  </property>
  <property fmtid="{D5CDD505-2E9C-101B-9397-08002B2CF9AE}" pid="60" name="PADIDATE">
    <vt:lpwstr>20230810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3105;3243</vt:lpwstr>
  </property>
  <property fmtid="{D5CDD505-2E9C-101B-9397-08002B2CF9AE}" pid="66" name="PROCYEAR">
    <vt:lpwstr>23;23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410120230809</vt:lpwstr>
  </property>
  <property fmtid="{D5CDD505-2E9C-101B-9397-08002B2CF9AE}" pid="70" name="TYPE_N_DATE">
    <vt:lpwstr>41020230809</vt:lpwstr>
  </property>
  <property fmtid="{D5CDD505-2E9C-101B-9397-08002B2CF9AE}" pid="71" name="VOLUME">
    <vt:lpwstr/>
  </property>
  <property fmtid="{D5CDD505-2E9C-101B-9397-08002B2CF9AE}" pid="72" name="WORDNUMPAGES">
    <vt:lpwstr>17</vt:lpwstr>
  </property>
</Properties>
</file>